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0D0D" w:rsidRPr="006D64CF" w:rsidP="001A6E33">
      <w:pPr>
        <w:jc w:val="right"/>
        <w:rPr>
          <w:b/>
          <w:color w:val="000000"/>
          <w:szCs w:val="22"/>
        </w:rPr>
      </w:pPr>
      <w:r w:rsidRPr="00A60599">
        <w:rPr>
          <w:b/>
          <w:szCs w:val="22"/>
        </w:rPr>
        <w:t>DA 1</w:t>
      </w:r>
      <w:r>
        <w:rPr>
          <w:b/>
          <w:szCs w:val="22"/>
        </w:rPr>
        <w:t>9</w:t>
      </w:r>
      <w:r w:rsidRPr="00A60599">
        <w:rPr>
          <w:b/>
          <w:szCs w:val="22"/>
        </w:rPr>
        <w:t>-</w:t>
      </w:r>
      <w:r w:rsidRPr="006D64CF" w:rsidR="003D141B">
        <w:rPr>
          <w:b/>
          <w:color w:val="000000"/>
          <w:szCs w:val="22"/>
        </w:rPr>
        <w:t>831</w:t>
      </w:r>
    </w:p>
    <w:p w:rsidR="00340D0D" w:rsidRPr="00960F53" w:rsidP="001A6E33">
      <w:pPr>
        <w:jc w:val="right"/>
        <w:rPr>
          <w:b/>
          <w:szCs w:val="22"/>
        </w:rPr>
      </w:pPr>
      <w:r w:rsidRPr="00960F53">
        <w:rPr>
          <w:b/>
          <w:szCs w:val="22"/>
        </w:rPr>
        <w:t>Release</w:t>
      </w:r>
      <w:bookmarkStart w:id="0" w:name="_GoBack"/>
      <w:bookmarkEnd w:id="0"/>
      <w:r w:rsidRPr="00960F53">
        <w:rPr>
          <w:b/>
          <w:szCs w:val="22"/>
        </w:rPr>
        <w:t xml:space="preserve">d: </w:t>
      </w:r>
      <w:r w:rsidRPr="00D94B19" w:rsidR="005E4253">
        <w:rPr>
          <w:b/>
          <w:szCs w:val="22"/>
        </w:rPr>
        <w:t xml:space="preserve">August </w:t>
      </w:r>
      <w:r w:rsidRPr="00D94B19" w:rsidR="00D94B19">
        <w:rPr>
          <w:b/>
          <w:szCs w:val="22"/>
        </w:rPr>
        <w:t>27</w:t>
      </w:r>
      <w:r w:rsidRPr="00D94B19" w:rsidR="005E4253">
        <w:rPr>
          <w:b/>
          <w:szCs w:val="22"/>
        </w:rPr>
        <w:t>, 2019</w:t>
      </w:r>
    </w:p>
    <w:p w:rsidR="00340D0D" w:rsidRPr="00960F53" w:rsidP="006D64CF">
      <w:pPr>
        <w:spacing w:after="120"/>
        <w:jc w:val="center"/>
        <w:rPr>
          <w:b/>
          <w:szCs w:val="22"/>
        </w:rPr>
      </w:pPr>
    </w:p>
    <w:p w:rsidR="0034759E" w:rsidP="006D64CF">
      <w:pPr>
        <w:jc w:val="center"/>
        <w:rPr>
          <w:b/>
          <w:szCs w:val="22"/>
        </w:rPr>
      </w:pPr>
      <w:r>
        <w:rPr>
          <w:b/>
          <w:szCs w:val="22"/>
        </w:rPr>
        <w:t xml:space="preserve">EFFECTIVE DATE ANNOUNCED FOR </w:t>
      </w:r>
      <w:r w:rsidR="005E4253">
        <w:rPr>
          <w:b/>
          <w:szCs w:val="22"/>
        </w:rPr>
        <w:t xml:space="preserve">RULES GOVERNING </w:t>
      </w:r>
      <w:r>
        <w:rPr>
          <w:b/>
          <w:szCs w:val="22"/>
        </w:rPr>
        <w:t>FRANCHISING AUTHORITY REGULATION OF CABLE OPERATORS</w:t>
      </w:r>
    </w:p>
    <w:p w:rsidR="006D64CF" w:rsidP="006D64CF">
      <w:pPr>
        <w:jc w:val="center"/>
        <w:rPr>
          <w:b/>
          <w:szCs w:val="22"/>
        </w:rPr>
      </w:pPr>
    </w:p>
    <w:p w:rsidR="00340D0D" w:rsidP="006D64CF">
      <w:pPr>
        <w:jc w:val="center"/>
        <w:rPr>
          <w:b/>
          <w:szCs w:val="22"/>
        </w:rPr>
      </w:pPr>
      <w:r w:rsidRPr="00960F53">
        <w:rPr>
          <w:b/>
          <w:szCs w:val="22"/>
        </w:rPr>
        <w:t xml:space="preserve">MB Docket No. </w:t>
      </w:r>
      <w:r w:rsidR="005E4253">
        <w:rPr>
          <w:b/>
          <w:szCs w:val="22"/>
        </w:rPr>
        <w:t>05-311</w:t>
      </w:r>
    </w:p>
    <w:p w:rsidR="006D64CF" w:rsidP="006D64CF">
      <w:pPr>
        <w:jc w:val="center"/>
        <w:rPr>
          <w:b/>
          <w:szCs w:val="22"/>
        </w:rPr>
      </w:pPr>
    </w:p>
    <w:p w:rsidR="005156A6" w:rsidP="006D64CF">
      <w:pPr>
        <w:rPr>
          <w:b/>
          <w:szCs w:val="22"/>
        </w:rPr>
      </w:pPr>
      <w:r w:rsidRPr="005156A6">
        <w:rPr>
          <w:b/>
          <w:szCs w:val="22"/>
        </w:rPr>
        <w:t xml:space="preserve">Effective Date: </w:t>
      </w:r>
      <w:r w:rsidR="005E4253">
        <w:rPr>
          <w:b/>
          <w:szCs w:val="22"/>
        </w:rPr>
        <w:t xml:space="preserve"> </w:t>
      </w:r>
      <w:r w:rsidRPr="00D94B19" w:rsidR="00EA0556">
        <w:rPr>
          <w:b/>
          <w:szCs w:val="22"/>
        </w:rPr>
        <w:t>September 26, 2019</w:t>
      </w:r>
    </w:p>
    <w:p w:rsidR="006D64CF" w:rsidRPr="00340D0D" w:rsidP="006D64CF">
      <w:pPr>
        <w:spacing w:after="120"/>
        <w:rPr>
          <w:b/>
          <w:szCs w:val="22"/>
        </w:rPr>
      </w:pPr>
    </w:p>
    <w:p w:rsidR="005E4253" w:rsidRPr="00090D93" w:rsidP="006D64CF">
      <w:pPr>
        <w:pStyle w:val="ParaNum"/>
        <w:numPr>
          <w:ilvl w:val="0"/>
          <w:numId w:val="0"/>
        </w:numPr>
        <w:ind w:firstLine="720"/>
      </w:pPr>
      <w:r>
        <w:t>On August 1</w:t>
      </w:r>
      <w:r w:rsidR="00C340D4">
        <w:t>, 201</w:t>
      </w:r>
      <w:r>
        <w:t xml:space="preserve">9, the Commission </w:t>
      </w:r>
      <w:r w:rsidR="00E6356B">
        <w:t>in its</w:t>
      </w:r>
      <w:r>
        <w:t xml:space="preserve"> </w:t>
      </w:r>
      <w:r w:rsidRPr="00E6356B">
        <w:rPr>
          <w:i/>
        </w:rPr>
        <w:t>Third Report and Order</w:t>
      </w:r>
      <w:r>
        <w:t xml:space="preserve"> </w:t>
      </w:r>
      <w:r w:rsidR="00C340D4">
        <w:t>in MB Docket N</w:t>
      </w:r>
      <w:r>
        <w:t>o</w:t>
      </w:r>
      <w:r w:rsidR="00C340D4">
        <w:t xml:space="preserve">. </w:t>
      </w:r>
      <w:r>
        <w:t>05-311</w:t>
      </w:r>
      <w:r>
        <w:rPr>
          <w:rStyle w:val="FootnoteReference"/>
        </w:rPr>
        <w:footnoteReference w:id="2"/>
      </w:r>
      <w:r>
        <w:t xml:space="preserve"> </w:t>
      </w:r>
      <w:r w:rsidR="00E6356B">
        <w:t xml:space="preserve">adopted rules </w:t>
      </w:r>
      <w:r w:rsidRPr="005E4253">
        <w:t>govern</w:t>
      </w:r>
      <w:r w:rsidR="00E6356B">
        <w:t>ing</w:t>
      </w:r>
      <w:r w:rsidRPr="005E4253">
        <w:t xml:space="preserve"> how </w:t>
      </w:r>
      <w:r>
        <w:t xml:space="preserve">local </w:t>
      </w:r>
      <w:r w:rsidRPr="005E4253">
        <w:t xml:space="preserve">franchising authorities </w:t>
      </w:r>
      <w:r>
        <w:t xml:space="preserve">(LFAs) </w:t>
      </w:r>
      <w:r w:rsidRPr="005E4253">
        <w:t xml:space="preserve">may regulate cable operators and cable television services, with specific focus on issues remanded from the United States Court of Appeals for the Sixth Circuit in </w:t>
      </w:r>
      <w:r w:rsidRPr="005E4253">
        <w:rPr>
          <w:i/>
        </w:rPr>
        <w:t>Montgomery County, Md. et al</w:t>
      </w:r>
      <w:r w:rsidRPr="005E4253">
        <w:t>.</w:t>
      </w:r>
      <w:r w:rsidRPr="005E4253">
        <w:rPr>
          <w:i/>
        </w:rPr>
        <w:t xml:space="preserve"> v. FCC</w:t>
      </w:r>
      <w:r w:rsidRPr="005E4253">
        <w:t>.</w:t>
      </w:r>
      <w:r>
        <w:rPr>
          <w:vertAlign w:val="superscript"/>
        </w:rPr>
        <w:footnoteReference w:id="3"/>
      </w:r>
      <w:r w:rsidRPr="005E4253">
        <w:t xml:space="preserve">  </w:t>
      </w:r>
      <w:r w:rsidR="00D113A2">
        <w:t xml:space="preserve">In the </w:t>
      </w:r>
      <w:r w:rsidR="00D113A2">
        <w:rPr>
          <w:i/>
        </w:rPr>
        <w:t>Order</w:t>
      </w:r>
      <w:r w:rsidRPr="00090D93">
        <w:t xml:space="preserve">, </w:t>
      </w:r>
      <w:r>
        <w:t xml:space="preserve">the Commission </w:t>
      </w:r>
      <w:r w:rsidRPr="00090D93">
        <w:t>conclude</w:t>
      </w:r>
      <w:r>
        <w:t>d</w:t>
      </w:r>
      <w:r w:rsidRPr="00090D93">
        <w:t xml:space="preserve"> that</w:t>
      </w:r>
      <w:r>
        <w:t xml:space="preserve">: </w:t>
      </w:r>
      <w:r w:rsidR="00D113A2">
        <w:t xml:space="preserve"> </w:t>
      </w:r>
      <w:r>
        <w:t>(i)</w:t>
      </w:r>
      <w:r w:rsidRPr="00090D93">
        <w:t xml:space="preserve"> cable-related, “in-kind” contributions required by a cable franchise are franchise fees subject to the statutory five percent cap on franchise fees in section 622 of the </w:t>
      </w:r>
      <w:r w:rsidR="00345583">
        <w:t xml:space="preserve">Communications </w:t>
      </w:r>
      <w:r w:rsidRPr="00090D93">
        <w:t>Act, with limited exceptions, including an exemption for certain capital costs related to public, educational, and governmental access channels</w:t>
      </w:r>
      <w:r>
        <w:t>; (ii)</w:t>
      </w:r>
      <w:r w:rsidRPr="00090D93">
        <w:t xml:space="preserve"> under </w:t>
      </w:r>
      <w:r w:rsidR="00345583">
        <w:t xml:space="preserve">Title VI of </w:t>
      </w:r>
      <w:r w:rsidRPr="00090D93">
        <w:t>the Act, LFAs may not regulate the provision of most non-cable services, including broadband Internet access service, offered over a cable system by an incumbent cable operator</w:t>
      </w:r>
      <w:r>
        <w:t>; (iii)</w:t>
      </w:r>
      <w:r w:rsidRPr="00090D93">
        <w:t xml:space="preserve"> the Act preempts any state or local regulation of a cable operator’s non-cable services that would impose obligations on franchised cable operators beyond what Title VI of the Act allows</w:t>
      </w:r>
      <w:r>
        <w:t>; and (iv)</w:t>
      </w:r>
      <w:r w:rsidRPr="00090D93">
        <w:t xml:space="preserve"> Commission requirements that concern LFA regulation of cable operators should apply to state-level franchising actions and state regulations that impose requirements on local franchising.</w:t>
      </w:r>
    </w:p>
    <w:p w:rsidR="00E6356B" w:rsidRPr="00E6356B" w:rsidP="006D64CF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E6356B">
        <w:rPr>
          <w:szCs w:val="22"/>
        </w:rPr>
        <w:t>The rule</w:t>
      </w:r>
      <w:r>
        <w:rPr>
          <w:szCs w:val="22"/>
        </w:rPr>
        <w:t>s</w:t>
      </w:r>
      <w:r w:rsidRPr="00E6356B">
        <w:rPr>
          <w:szCs w:val="22"/>
        </w:rPr>
        <w:t xml:space="preserve"> </w:t>
      </w:r>
      <w:r w:rsidR="00D113A2">
        <w:rPr>
          <w:szCs w:val="22"/>
        </w:rPr>
        <w:t xml:space="preserve">adopted in the </w:t>
      </w:r>
      <w:r w:rsidR="00D113A2">
        <w:rPr>
          <w:i/>
          <w:szCs w:val="22"/>
        </w:rPr>
        <w:t xml:space="preserve">Order </w:t>
      </w:r>
      <w:r w:rsidRPr="00E6356B">
        <w:rPr>
          <w:szCs w:val="22"/>
        </w:rPr>
        <w:t xml:space="preserve">become effective </w:t>
      </w:r>
      <w:r>
        <w:rPr>
          <w:szCs w:val="22"/>
        </w:rPr>
        <w:t>thirty</w:t>
      </w:r>
      <w:r w:rsidRPr="00E6356B">
        <w:rPr>
          <w:szCs w:val="22"/>
        </w:rPr>
        <w:t xml:space="preserve"> days after </w:t>
      </w:r>
      <w:r w:rsidR="00D113A2">
        <w:rPr>
          <w:szCs w:val="22"/>
        </w:rPr>
        <w:t xml:space="preserve">the date of </w:t>
      </w:r>
      <w:r w:rsidRPr="00E6356B">
        <w:rPr>
          <w:szCs w:val="22"/>
        </w:rPr>
        <w:t>publication in the Federal Register.</w:t>
      </w:r>
      <w:r>
        <w:rPr>
          <w:szCs w:val="22"/>
          <w:vertAlign w:val="superscript"/>
        </w:rPr>
        <w:footnoteReference w:id="4"/>
      </w:r>
      <w:r w:rsidRPr="00E6356B">
        <w:rPr>
          <w:szCs w:val="22"/>
        </w:rPr>
        <w:t xml:space="preserve">  The Federal Register published a summary of the </w:t>
      </w:r>
      <w:r w:rsidRPr="00E6356B">
        <w:rPr>
          <w:i/>
          <w:szCs w:val="22"/>
        </w:rPr>
        <w:t xml:space="preserve">Order </w:t>
      </w:r>
      <w:r w:rsidRPr="00D94B19">
        <w:rPr>
          <w:szCs w:val="22"/>
        </w:rPr>
        <w:t xml:space="preserve">on </w:t>
      </w:r>
      <w:r w:rsidRPr="00D94B19" w:rsidR="00D113A2">
        <w:rPr>
          <w:szCs w:val="22"/>
        </w:rPr>
        <w:t xml:space="preserve">August </w:t>
      </w:r>
      <w:r w:rsidRPr="00D94B19" w:rsidR="00EA0556">
        <w:rPr>
          <w:szCs w:val="22"/>
        </w:rPr>
        <w:t>27</w:t>
      </w:r>
      <w:r w:rsidRPr="00D94B19">
        <w:rPr>
          <w:szCs w:val="22"/>
        </w:rPr>
        <w:t>, 201</w:t>
      </w:r>
      <w:r w:rsidRPr="00D94B19" w:rsidR="00D113A2">
        <w:rPr>
          <w:szCs w:val="22"/>
        </w:rPr>
        <w:t>9</w:t>
      </w:r>
      <w:r w:rsidRPr="00D94B19">
        <w:rPr>
          <w:szCs w:val="22"/>
        </w:rPr>
        <w:t>.</w:t>
      </w:r>
      <w:r>
        <w:rPr>
          <w:szCs w:val="22"/>
          <w:vertAlign w:val="superscript"/>
        </w:rPr>
        <w:footnoteReference w:id="5"/>
      </w:r>
      <w:r w:rsidRPr="00D94B19">
        <w:rPr>
          <w:szCs w:val="22"/>
        </w:rPr>
        <w:t xml:space="preserve">  Accordingly, the rules adopted in the </w:t>
      </w:r>
      <w:r w:rsidRPr="00D94B19">
        <w:rPr>
          <w:i/>
          <w:szCs w:val="22"/>
        </w:rPr>
        <w:t xml:space="preserve">Order </w:t>
      </w:r>
      <w:r w:rsidRPr="00D94B19">
        <w:rPr>
          <w:szCs w:val="22"/>
        </w:rPr>
        <w:t xml:space="preserve">will take effect on </w:t>
      </w:r>
      <w:r w:rsidRPr="00D94B19" w:rsidR="00EA0556">
        <w:rPr>
          <w:szCs w:val="22"/>
        </w:rPr>
        <w:t>September 26, 2019</w:t>
      </w:r>
      <w:r w:rsidRPr="00D94B19">
        <w:rPr>
          <w:szCs w:val="22"/>
        </w:rPr>
        <w:t>.</w:t>
      </w:r>
      <w:r w:rsidRPr="00E6356B">
        <w:rPr>
          <w:szCs w:val="22"/>
        </w:rPr>
        <w:t xml:space="preserve">  </w:t>
      </w:r>
    </w:p>
    <w:p w:rsidR="000A6D05" w:rsidRPr="000A6D05" w:rsidP="006D64CF">
      <w:pPr>
        <w:pStyle w:val="ParaNum"/>
        <w:numPr>
          <w:ilvl w:val="0"/>
          <w:numId w:val="0"/>
        </w:numPr>
        <w:ind w:firstLine="720"/>
      </w:pPr>
      <w:r w:rsidRPr="000A6D05">
        <w:t xml:space="preserve">For additional information on this proceeding, contact Maria Mullarkey or Raelynn Remy of the Media Bureau, Policy Division, at </w:t>
      </w:r>
      <w:hyperlink r:id="rId5" w:history="1">
        <w:r w:rsidRPr="003A32AF">
          <w:rPr>
            <w:rStyle w:val="Hyperlink"/>
          </w:rPr>
          <w:t>Maria.Mullarkey@fcc.gov</w:t>
        </w:r>
      </w:hyperlink>
      <w:r w:rsidRPr="000A6D05">
        <w:t xml:space="preserve">, </w:t>
      </w:r>
      <w:hyperlink r:id="rId6" w:history="1">
        <w:r w:rsidRPr="000A6D05">
          <w:rPr>
            <w:rStyle w:val="Hyperlink"/>
          </w:rPr>
          <w:t>Raelynn.Remy@fcc.gov</w:t>
        </w:r>
      </w:hyperlink>
      <w:r>
        <w:rPr>
          <w:u w:val="single"/>
        </w:rPr>
        <w:t>,</w:t>
      </w:r>
      <w:r w:rsidRPr="000A6D05">
        <w:t xml:space="preserve"> or (202) 418-2120.</w:t>
      </w:r>
    </w:p>
    <w:p w:rsidR="005E4253" w:rsidP="00D94B19">
      <w:pPr>
        <w:jc w:val="center"/>
      </w:pPr>
      <w:r>
        <w:t xml:space="preserve">- </w:t>
      </w:r>
      <w:r w:rsidRPr="006D64CF">
        <w:rPr>
          <w:b/>
        </w:rPr>
        <w:t>FCC</w:t>
      </w:r>
      <w:r>
        <w:t xml:space="preserve"> -</w:t>
      </w:r>
    </w:p>
    <w:sectPr w:rsidSect="006D64CF">
      <w:head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6E33" w:rsidP="001A6E33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B45DE" w:rsidP="00887E69">
      <w:r>
        <w:separator/>
      </w:r>
    </w:p>
  </w:footnote>
  <w:footnote w:type="continuationSeparator" w:id="1">
    <w:p w:rsidR="002B45DE" w:rsidP="00887E69">
      <w:r>
        <w:continuationSeparator/>
      </w:r>
    </w:p>
  </w:footnote>
  <w:footnote w:id="2">
    <w:p w:rsidR="00D113A2" w:rsidRPr="00D113A2" w:rsidP="00D424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13A2">
        <w:rPr>
          <w:i/>
          <w:spacing w:val="-2"/>
        </w:rPr>
        <w:t>Implementation of Section 621(a)(1) of the Cable Communications Policy Act of 1984 as Amended by the Cable Television Consumer Protection and Competition Act of 1992</w:t>
      </w:r>
      <w:r>
        <w:rPr>
          <w:spacing w:val="-2"/>
        </w:rPr>
        <w:t>, MB Docket No. 05-311, Third Report and Order, FCC 19-80 (rel. Aug. 2, 2019) (</w:t>
      </w:r>
      <w:r>
        <w:rPr>
          <w:i/>
          <w:spacing w:val="-2"/>
        </w:rPr>
        <w:t>Order</w:t>
      </w:r>
      <w:r>
        <w:rPr>
          <w:spacing w:val="-2"/>
        </w:rPr>
        <w:t>).</w:t>
      </w:r>
    </w:p>
  </w:footnote>
  <w:footnote w:id="3">
    <w:p w:rsidR="005E4253" w:rsidP="00D42483">
      <w:pPr>
        <w:pStyle w:val="FootnoteText"/>
        <w:widowControl w:val="0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Montgomery County, Md. et al. v. FCC</w:t>
      </w:r>
      <w:r>
        <w:t>, 863 F.3d 485 (6th Cir. 2017).</w:t>
      </w:r>
    </w:p>
  </w:footnote>
  <w:footnote w:id="4">
    <w:p w:rsidR="00E6356B" w:rsidP="00D424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Order</w:t>
      </w:r>
      <w:r>
        <w:t xml:space="preserve"> at </w:t>
      </w:r>
      <w:r w:rsidR="00D113A2">
        <w:t>65</w:t>
      </w:r>
      <w:r>
        <w:t xml:space="preserve">, </w:t>
      </w:r>
      <w:r w:rsidR="000A6D05">
        <w:t>para.</w:t>
      </w:r>
      <w:r>
        <w:t xml:space="preserve"> </w:t>
      </w:r>
      <w:r w:rsidR="00D113A2">
        <w:t>125</w:t>
      </w:r>
      <w:r>
        <w:t xml:space="preserve">.  </w:t>
      </w:r>
    </w:p>
  </w:footnote>
  <w:footnote w:id="5">
    <w:p w:rsidR="00E6356B" w:rsidRPr="00D94B19" w:rsidP="00D424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4B19">
        <w:rPr>
          <w:i/>
        </w:rPr>
        <w:t>See</w:t>
      </w:r>
      <w:r w:rsidRPr="00D94B19" w:rsidR="00D94B19">
        <w:rPr>
          <w:i/>
        </w:rPr>
        <w:t xml:space="preserve"> </w:t>
      </w:r>
      <w:r w:rsidRPr="00D94B19" w:rsidR="00D94B19">
        <w:t xml:space="preserve">84 FR 44725 (Aug. 27, 2019), </w:t>
      </w:r>
      <w:hyperlink r:id="rId1" w:history="1">
        <w:r w:rsidRPr="00D94B19" w:rsidR="00D94B19">
          <w:rPr>
            <w:color w:val="0000FF"/>
            <w:u w:val="single"/>
          </w:rPr>
          <w:t>https://www.federalregister.gov/documents/2019/08/27/2019-18230/local-franchising-authorities-regulation-of-cable-operators-and-cable-television-services</w:t>
        </w:r>
      </w:hyperlink>
      <w:r w:rsidRPr="00D94B19" w:rsidR="00D113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7E69" w:rsidP="006D64CF">
    <w:pPr>
      <w:spacing w:before="40"/>
      <w:rPr>
        <w:rFonts w:ascii="News Gothic MT" w:hAnsi="News Gothic MT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width:244.8pt;height:50.4pt;margin-top:59.45pt;margin-left:-4.2pt;position:absolute;visibility:visible;z-index:251658240" stroked="f">
          <v:textbox>
            <w:txbxContent>
              <w:p w:rsidR="00887E69" w:rsidP="00887E69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887E69" w:rsidP="00887E69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887E69" w:rsidP="00887E69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b/>
                      </w:rPr>
                      <w:t>Washington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b/>
                      </w:rPr>
                      <w:t>D.C.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/>
                        <w:b/>
                      </w:rPr>
                      <w:t>20554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fcc_logo" style="width:41.75pt;height:41.75pt;margin-top:10.5pt;margin-left:-51pt;mso-position-horizontal-relative:margin;position:absolute;visibility:visible;z-index:251661312" o:allowincell="f">
          <v:imagedata r:id="rId1" o:title="fcc_logo"/>
          <w10:wrap type="topAndBottom"/>
        </v:shape>
      </w:pict>
    </w:r>
    <w:r w:rsidRPr="00887E69" w:rsidR="00C3539D">
      <w:rPr>
        <w:rFonts w:ascii="News Gothic MT" w:hAnsi="News Gothic MT"/>
        <w:b/>
        <w:sz w:val="96"/>
      </w:rPr>
      <w:t>PUBLIC NOTICE</w:t>
    </w:r>
  </w:p>
  <w:p w:rsidR="006D64CF" w:rsidRPr="00887E69" w:rsidP="006D64CF">
    <w:pPr>
      <w:spacing w:before="40"/>
      <w:rPr>
        <w:rFonts w:ascii="News Gothic MT" w:hAnsi="News Gothic MT"/>
        <w:b/>
        <w:sz w:val="96"/>
      </w:rPr>
    </w:pPr>
    <w:r>
      <w:rPr>
        <w:noProof/>
      </w:rPr>
      <w:pict>
        <v:shape id="Text Box 3" o:spid="_x0000_s2051" type="#_x0000_t202" style="width:196.5pt;height:45.15pt;margin-top:7.3pt;margin-left:260.25pt;position:absolute;visibility:visible;z-index:251660288" stroked="f">
          <v:textbox inset=",0,,0">
            <w:txbxContent>
              <w:p w:rsidR="00887E69" w:rsidP="00887E69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887E69" w:rsidP="00887E69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1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887E69" w:rsidP="00887E69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887E69" w:rsidP="00887E69">
                <w:pPr>
                  <w:jc w:val="right"/>
                </w:pPr>
              </w:p>
            </w:txbxContent>
          </v:textbox>
        </v:shape>
      </w:pict>
    </w:r>
    <w:r>
      <w:rPr>
        <w:noProof/>
      </w:rPr>
      <w:pict>
        <v:line id="Straight Connector 1" o:spid="_x0000_s2052" style="position:absolute;visibility:visible;z-index:251659264" from="-4.5pt,59.05pt" to="463.5pt,59.05pt" o:allowincell="f"/>
      </w:pict>
    </w:r>
  </w:p>
  <w:p w:rsidR="00887E69" w:rsidP="006D64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64CF" w:rsidP="006D64CF">
    <w:pPr>
      <w:spacing w:before="40"/>
      <w:rPr>
        <w:rFonts w:ascii="News Gothic MT" w:hAnsi="News Gothic MT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3" type="#_x0000_t202" style="width:244.8pt;height:50.4pt;margin-top:59.45pt;margin-left:-4.2pt;position:absolute;visibility:visible;z-index:251663360" stroked="f">
          <v:textbox>
            <w:txbxContent>
              <w:p w:rsidR="006D64CF" w:rsidP="006D64CF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D64CF" w:rsidP="006D64CF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6D64CF" w:rsidP="006D64CF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/>
                        <w:b/>
                      </w:rPr>
                      <w:t>Washington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/>
                        <w:b/>
                      </w:rPr>
                      <w:t>D.C.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/>
                        <w:b/>
                      </w:rPr>
                      <w:t>20554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4" type="#_x0000_t75" alt="fcc_logo" style="width:41.75pt;height:41.75pt;margin-top:10.5pt;margin-left:-51pt;mso-position-horizontal-relative:margin;position:absolute;visibility:visible;z-index:251665408" o:allowincell="f">
          <v:imagedata r:id="rId1" o:title="fcc_logo"/>
          <w10:wrap type="topAndBottom"/>
        </v:shape>
      </w:pict>
    </w:r>
    <w:r w:rsidRPr="00887E69">
      <w:rPr>
        <w:rFonts w:ascii="News Gothic MT" w:hAnsi="News Gothic MT"/>
        <w:b/>
        <w:sz w:val="96"/>
      </w:rPr>
      <w:t>PUBLIC NOTICE</w:t>
    </w:r>
  </w:p>
  <w:p w:rsidR="006D64CF" w:rsidRPr="00887E69" w:rsidP="006D64CF">
    <w:pPr>
      <w:spacing w:before="40"/>
      <w:rPr>
        <w:rFonts w:ascii="News Gothic MT" w:hAnsi="News Gothic MT"/>
        <w:b/>
        <w:sz w:val="96"/>
      </w:rPr>
    </w:pPr>
    <w:r>
      <w:rPr>
        <w:noProof/>
      </w:rPr>
      <w:pict>
        <v:shape id="Text Box 8" o:spid="_x0000_s2055" type="#_x0000_t202" style="width:196.5pt;height:45.15pt;margin-top:7.5pt;margin-left:276pt;position:absolute;visibility:visible;z-index:251664384" stroked="f">
          <v:textbox inset=",0,,0">
            <w:txbxContent>
              <w:p w:rsidR="006D64CF" w:rsidP="006D64CF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D64CF" w:rsidP="006D64CF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Internet: http://www.fcc.gov</w:t>
                </w:r>
              </w:p>
              <w:p w:rsidR="006D64CF" w:rsidP="006D64CF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D64CF" w:rsidP="006D64CF">
                <w:pPr>
                  <w:jc w:val="right"/>
                </w:pPr>
              </w:p>
            </w:txbxContent>
          </v:textbox>
        </v:shape>
      </w:pict>
    </w:r>
  </w:p>
  <w:p w:rsidR="006D64CF" w:rsidRPr="006D64CF" w:rsidP="006D64CF">
    <w:pPr>
      <w:pStyle w:val="Header"/>
      <w:ind w:firstLine="0"/>
      <w:rPr>
        <w:sz w:val="22"/>
        <w:szCs w:val="22"/>
      </w:rPr>
    </w:pPr>
    <w:r>
      <w:rPr>
        <w:noProof/>
      </w:rPr>
      <w:pict>
        <v:line id="Straight Connector 9" o:spid="_x0000_s2056" style="position:absolute;visibility:visible;z-index:251662336" from="0.75pt,1.85pt" to="468.75pt,1.8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revisionView w:comments="0" w:formatting="0" w:inkAnnotations="1" w:insDel="0" w:markup="1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9"/>
    <w:rsid w:val="00051736"/>
    <w:rsid w:val="00090D93"/>
    <w:rsid w:val="000A6D05"/>
    <w:rsid w:val="000F6DB8"/>
    <w:rsid w:val="00133A6A"/>
    <w:rsid w:val="00177F6A"/>
    <w:rsid w:val="001A6E33"/>
    <w:rsid w:val="001E3833"/>
    <w:rsid w:val="0021160C"/>
    <w:rsid w:val="002171A6"/>
    <w:rsid w:val="0024048A"/>
    <w:rsid w:val="002B45DE"/>
    <w:rsid w:val="002F575B"/>
    <w:rsid w:val="00340D0D"/>
    <w:rsid w:val="00345583"/>
    <w:rsid w:val="0034759E"/>
    <w:rsid w:val="00361DD4"/>
    <w:rsid w:val="003A293F"/>
    <w:rsid w:val="003A30AC"/>
    <w:rsid w:val="003A32AF"/>
    <w:rsid w:val="003D141B"/>
    <w:rsid w:val="004B3EFF"/>
    <w:rsid w:val="004E7EC0"/>
    <w:rsid w:val="00502B0B"/>
    <w:rsid w:val="00511B0D"/>
    <w:rsid w:val="00511F0B"/>
    <w:rsid w:val="005156A6"/>
    <w:rsid w:val="005A38EF"/>
    <w:rsid w:val="005E4253"/>
    <w:rsid w:val="00650FEF"/>
    <w:rsid w:val="0069575F"/>
    <w:rsid w:val="006D64CF"/>
    <w:rsid w:val="00723DC8"/>
    <w:rsid w:val="00760DD7"/>
    <w:rsid w:val="00764937"/>
    <w:rsid w:val="00774D0D"/>
    <w:rsid w:val="00794133"/>
    <w:rsid w:val="007D7F25"/>
    <w:rsid w:val="008444B5"/>
    <w:rsid w:val="008544E3"/>
    <w:rsid w:val="00880CE8"/>
    <w:rsid w:val="00887E69"/>
    <w:rsid w:val="00892138"/>
    <w:rsid w:val="008A1D2C"/>
    <w:rsid w:val="008A3273"/>
    <w:rsid w:val="008C5AF7"/>
    <w:rsid w:val="009036E2"/>
    <w:rsid w:val="009429DC"/>
    <w:rsid w:val="009556DD"/>
    <w:rsid w:val="00960F53"/>
    <w:rsid w:val="00985FAD"/>
    <w:rsid w:val="00A262BA"/>
    <w:rsid w:val="00A520CA"/>
    <w:rsid w:val="00A60599"/>
    <w:rsid w:val="00A62B59"/>
    <w:rsid w:val="00A941DD"/>
    <w:rsid w:val="00B267E7"/>
    <w:rsid w:val="00B53211"/>
    <w:rsid w:val="00C340D4"/>
    <w:rsid w:val="00C3539D"/>
    <w:rsid w:val="00C564C4"/>
    <w:rsid w:val="00C74AF2"/>
    <w:rsid w:val="00C87A99"/>
    <w:rsid w:val="00CE34DD"/>
    <w:rsid w:val="00D113A2"/>
    <w:rsid w:val="00D42483"/>
    <w:rsid w:val="00D5088A"/>
    <w:rsid w:val="00D94B19"/>
    <w:rsid w:val="00DB0024"/>
    <w:rsid w:val="00E30187"/>
    <w:rsid w:val="00E6356B"/>
    <w:rsid w:val="00E84C41"/>
    <w:rsid w:val="00EA0556"/>
    <w:rsid w:val="00EB0613"/>
    <w:rsid w:val="00F112AF"/>
    <w:rsid w:val="00F25B07"/>
    <w:rsid w:val="00F3120B"/>
    <w:rsid w:val="00F65456"/>
    <w:rsid w:val="00FF7F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08E8D6-DED7-4194-BA95-67C45E7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33"/>
    <w:pPr>
      <w:widowControl w:val="0"/>
    </w:pPr>
    <w:rPr>
      <w:rFonts w:ascii="Times New Roman" w:eastAsia="Times New Roman" w:hAnsi="Times New Roman"/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1A6E3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A6E3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A6E3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A6E3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A6E3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A6E3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A6E3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A6E3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A6E3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1A6E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A6E33"/>
  </w:style>
  <w:style w:type="paragraph" w:styleId="Header">
    <w:name w:val="header"/>
    <w:basedOn w:val="Normal"/>
    <w:link w:val="HeaderChar"/>
    <w:autoRedefine/>
    <w:rsid w:val="001A6E33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character" w:customStyle="1" w:styleId="HeaderChar">
    <w:name w:val="Header Char"/>
    <w:link w:val="Header"/>
    <w:rsid w:val="00887E69"/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rsid w:val="001A6E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6E33"/>
    <w:rPr>
      <w:rFonts w:ascii="Times New Roman" w:eastAsia="Times New Roman" w:hAnsi="Times New Roman"/>
      <w:snapToGrid w:val="0"/>
      <w:kern w:val="28"/>
      <w:sz w:val="22"/>
    </w:rPr>
  </w:style>
  <w:style w:type="paragraph" w:styleId="FootnoteText">
    <w:name w:val="footnote text"/>
    <w:link w:val="FootnoteTextChar"/>
    <w:semiHidden/>
    <w:rsid w:val="001A6E33"/>
    <w:pPr>
      <w:spacing w:after="12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semiHidden/>
    <w:rsid w:val="00774D0D"/>
    <w:rPr>
      <w:rFonts w:ascii="Times New Roman" w:eastAsia="Times New Roman" w:hAnsi="Times New Roman"/>
    </w:rPr>
  </w:style>
  <w:style w:type="character" w:styleId="FootnoteReference">
    <w:name w:val="footnote reference"/>
    <w:aliases w:val="(NECG) Footnote Reference,Appel note de bas de p,FR,Footnote Reference/,Footnote Reference1,Style 12,Style 124,Style 13,Style 17,Style 20,Style 3,Style 34,Style 4,Style 6,Style 7,Style 9,callout,fr,o"/>
    <w:semiHidden/>
    <w:rsid w:val="001A6E33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1A6E3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B06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5FAD"/>
    <w:rPr>
      <w:rFonts w:ascii="Segoe UI" w:eastAsia="Times New Roman" w:hAnsi="Segoe UI" w:cs="Segoe UI"/>
      <w:sz w:val="18"/>
      <w:szCs w:val="18"/>
    </w:rPr>
  </w:style>
  <w:style w:type="paragraph" w:customStyle="1" w:styleId="ParaNum">
    <w:name w:val="ParaNum"/>
    <w:basedOn w:val="Normal"/>
    <w:link w:val="ParaNumChar1"/>
    <w:rsid w:val="001A6E33"/>
    <w:pPr>
      <w:numPr>
        <w:numId w:val="1"/>
      </w:numPr>
      <w:tabs>
        <w:tab w:val="clear" w:pos="1080"/>
        <w:tab w:val="num" w:pos="1440"/>
      </w:tabs>
      <w:spacing w:after="120"/>
    </w:pPr>
  </w:style>
  <w:style w:type="character" w:customStyle="1" w:styleId="ParaNumChar1">
    <w:name w:val="ParaNum Char1"/>
    <w:link w:val="ParaNum"/>
    <w:locked/>
    <w:rsid w:val="005E4253"/>
    <w:rPr>
      <w:rFonts w:ascii="Times New Roman" w:eastAsia="Times New Roman" w:hAnsi="Times New Roman"/>
      <w:snapToGrid w:val="0"/>
      <w:kern w:val="28"/>
      <w:sz w:val="22"/>
    </w:rPr>
  </w:style>
  <w:style w:type="character" w:customStyle="1" w:styleId="UnresolvedMention2">
    <w:name w:val="Unresolved Mention2"/>
    <w:uiPriority w:val="99"/>
    <w:rsid w:val="000A6D0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45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5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455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5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5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6D64CF"/>
    <w:rPr>
      <w:rFonts w:ascii="Times New Roman Bold" w:eastAsia="Times New Roman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4Char">
    <w:name w:val="Heading 4 Char"/>
    <w:link w:val="Heading4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5Char">
    <w:name w:val="Heading 5 Char"/>
    <w:link w:val="Heading5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6Char">
    <w:name w:val="Heading 6 Char"/>
    <w:link w:val="Heading6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7Char">
    <w:name w:val="Heading 7 Char"/>
    <w:link w:val="Heading7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8Char">
    <w:name w:val="Heading 8 Char"/>
    <w:link w:val="Heading8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9Char">
    <w:name w:val="Heading 9 Char"/>
    <w:link w:val="Heading9"/>
    <w:rsid w:val="006D64CF"/>
    <w:rPr>
      <w:rFonts w:ascii="Times New Roman" w:eastAsia="Times New Roman" w:hAnsi="Times New Roman"/>
      <w:b/>
      <w:snapToGrid w:val="0"/>
      <w:kern w:val="28"/>
      <w:sz w:val="22"/>
    </w:rPr>
  </w:style>
  <w:style w:type="paragraph" w:styleId="EndnoteText">
    <w:name w:val="endnote text"/>
    <w:basedOn w:val="Normal"/>
    <w:link w:val="EndnoteTextChar"/>
    <w:semiHidden/>
    <w:rsid w:val="001A6E33"/>
    <w:rPr>
      <w:sz w:val="20"/>
    </w:rPr>
  </w:style>
  <w:style w:type="character" w:customStyle="1" w:styleId="EndnoteTextChar">
    <w:name w:val="Endnote Text Char"/>
    <w:link w:val="EndnoteText"/>
    <w:semiHidden/>
    <w:rsid w:val="006D64CF"/>
    <w:rPr>
      <w:rFonts w:ascii="Times New Roman" w:eastAsia="Times New Roman" w:hAnsi="Times New Roman"/>
      <w:snapToGrid w:val="0"/>
      <w:kern w:val="28"/>
    </w:rPr>
  </w:style>
  <w:style w:type="character" w:styleId="EndnoteReference">
    <w:name w:val="endnote reference"/>
    <w:semiHidden/>
    <w:rsid w:val="001A6E33"/>
    <w:rPr>
      <w:vertAlign w:val="superscript"/>
    </w:rPr>
  </w:style>
  <w:style w:type="paragraph" w:styleId="TOC1">
    <w:name w:val="toc 1"/>
    <w:basedOn w:val="Normal"/>
    <w:next w:val="Normal"/>
    <w:uiPriority w:val="39"/>
    <w:rsid w:val="001A6E3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A6E3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A6E3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A6E3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A6E3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A6E3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A6E3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A6E3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A6E3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A6E3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A6E33"/>
  </w:style>
  <w:style w:type="character" w:styleId="PageNumber">
    <w:name w:val="page number"/>
    <w:basedOn w:val="DefaultParagraphFont"/>
    <w:rsid w:val="001A6E33"/>
  </w:style>
  <w:style w:type="paragraph" w:styleId="BlockText">
    <w:name w:val="Block Text"/>
    <w:basedOn w:val="Normal"/>
    <w:rsid w:val="001A6E33"/>
    <w:pPr>
      <w:spacing w:after="240"/>
      <w:ind w:left="1440" w:right="1440"/>
    </w:pPr>
  </w:style>
  <w:style w:type="paragraph" w:customStyle="1" w:styleId="Paratitle">
    <w:name w:val="Para title"/>
    <w:basedOn w:val="Normal"/>
    <w:rsid w:val="001A6E3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A6E33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A6E33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A6E3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A6E33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Maria.Mullarkey@fcc.gov" TargetMode="External" /><Relationship Id="rId6" Type="http://schemas.openxmlformats.org/officeDocument/2006/relationships/hyperlink" Target="mailto:Raelynn.Remy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19/08/27/2019-18230/local-franchising-authorities-regulation-of-cable-operators-and-cable-television-services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