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rsidRPr="00B47BB5" w:rsidP="001C7657">
      <w:pPr>
        <w:jc w:val="right"/>
        <w:sectPr w:rsidSect="001D5E28">
          <w:footerReference w:type="default" r:id="rId5"/>
          <w:headerReference w:type="first" r:id="rId6"/>
          <w:pgSz w:w="12240" w:h="15840" w:code="1"/>
          <w:pgMar w:top="1440" w:right="1440" w:bottom="720" w:left="1440" w:header="720" w:footer="720" w:gutter="0"/>
          <w:cols w:space="720"/>
          <w:titlePg/>
        </w:sectPr>
      </w:pPr>
      <w:bookmarkStart w:id="1" w:name="_GoBack"/>
      <w:bookmarkEnd w:id="1"/>
    </w:p>
    <w:p w:rsidR="001C7657" w:rsidRPr="001D5E28" w:rsidP="001C7657">
      <w:pPr>
        <w:jc w:val="right"/>
        <w:rPr>
          <w:b/>
          <w:szCs w:val="22"/>
        </w:rPr>
      </w:pPr>
      <w:bookmarkStart w:id="2" w:name="_Hlk518379235"/>
      <w:r w:rsidRPr="001D5E28">
        <w:rPr>
          <w:b/>
          <w:szCs w:val="22"/>
        </w:rPr>
        <w:t>DA 1</w:t>
      </w:r>
      <w:r w:rsidRPr="001D5E28" w:rsidR="002C34B4">
        <w:rPr>
          <w:b/>
          <w:szCs w:val="22"/>
        </w:rPr>
        <w:t>9</w:t>
      </w:r>
      <w:r w:rsidRPr="001D5E28">
        <w:rPr>
          <w:b/>
          <w:szCs w:val="22"/>
        </w:rPr>
        <w:t>-</w:t>
      </w:r>
      <w:r w:rsidRPr="001D5E28" w:rsidR="00E57869">
        <w:rPr>
          <w:b/>
          <w:szCs w:val="22"/>
        </w:rPr>
        <w:t>83</w:t>
      </w:r>
    </w:p>
    <w:p w:rsidR="001C7657" w:rsidRPr="001D5E28" w:rsidP="001D5E28">
      <w:pPr>
        <w:jc w:val="right"/>
        <w:rPr>
          <w:b/>
          <w:szCs w:val="22"/>
        </w:rPr>
      </w:pPr>
      <w:r>
        <w:rPr>
          <w:b/>
          <w:szCs w:val="22"/>
        </w:rPr>
        <w:t xml:space="preserve">Released: </w:t>
      </w:r>
      <w:r w:rsidRPr="001D5E28" w:rsidR="00FA316E">
        <w:rPr>
          <w:b/>
          <w:szCs w:val="22"/>
        </w:rPr>
        <w:t>February 14</w:t>
      </w:r>
      <w:r w:rsidRPr="001D5E28" w:rsidR="007E05B2">
        <w:rPr>
          <w:b/>
          <w:szCs w:val="22"/>
        </w:rPr>
        <w:t>, 201</w:t>
      </w:r>
      <w:r w:rsidRPr="001D5E28" w:rsidR="00FA316E">
        <w:rPr>
          <w:b/>
          <w:szCs w:val="22"/>
        </w:rPr>
        <w:t>9</w:t>
      </w:r>
    </w:p>
    <w:p w:rsidR="001C7657" w:rsidRPr="00277EA6" w:rsidP="001D5E28">
      <w:pPr>
        <w:jc w:val="center"/>
        <w:rPr>
          <w:szCs w:val="22"/>
        </w:rPr>
      </w:pPr>
    </w:p>
    <w:p w:rsidR="001C7657" w:rsidP="001D5E28">
      <w:pPr>
        <w:spacing w:after="120"/>
        <w:jc w:val="center"/>
        <w:rPr>
          <w:b/>
          <w:szCs w:val="22"/>
        </w:rPr>
      </w:pPr>
      <w:r>
        <w:rPr>
          <w:b/>
          <w:szCs w:val="22"/>
        </w:rPr>
        <w:t>MEDIA</w:t>
      </w:r>
      <w:r w:rsidRPr="00277EA6" w:rsidR="007E05B2">
        <w:rPr>
          <w:b/>
          <w:szCs w:val="22"/>
        </w:rPr>
        <w:t xml:space="preserve"> BUREAU ANNOUNCES COMMENT </w:t>
      </w:r>
      <w:r w:rsidR="007E05B2">
        <w:rPr>
          <w:b/>
          <w:szCs w:val="22"/>
        </w:rPr>
        <w:t xml:space="preserve">AND REPLY COMMENT </w:t>
      </w:r>
      <w:r w:rsidRPr="00277EA6" w:rsidR="007E05B2">
        <w:rPr>
          <w:b/>
          <w:szCs w:val="22"/>
        </w:rPr>
        <w:t xml:space="preserve">DATES </w:t>
      </w:r>
      <w:r w:rsidR="002C34B4">
        <w:rPr>
          <w:b/>
          <w:szCs w:val="22"/>
        </w:rPr>
        <w:t>FOR</w:t>
      </w:r>
      <w:r w:rsidRPr="00B40ECF" w:rsidR="002C34B4">
        <w:rPr>
          <w:b/>
          <w:szCs w:val="22"/>
        </w:rPr>
        <w:t xml:space="preserve"> </w:t>
      </w:r>
      <w:r w:rsidR="002C34B4">
        <w:rPr>
          <w:b/>
          <w:szCs w:val="22"/>
        </w:rPr>
        <w:t>INDUSTRY</w:t>
      </w:r>
      <w:r w:rsidRPr="00B40ECF" w:rsidR="002C34B4">
        <w:rPr>
          <w:b/>
          <w:szCs w:val="22"/>
        </w:rPr>
        <w:t xml:space="preserve"> PROPOSAL</w:t>
      </w:r>
      <w:r w:rsidR="002C34B4">
        <w:rPr>
          <w:b/>
          <w:szCs w:val="22"/>
        </w:rPr>
        <w:t xml:space="preserve"> FOR CARRIAGE ELECTION NOTICE MODERNIZATION</w:t>
      </w:r>
    </w:p>
    <w:p w:rsidR="001C7657" w:rsidRPr="00277EA6" w:rsidP="001C7657">
      <w:pPr>
        <w:jc w:val="center"/>
        <w:rPr>
          <w:b/>
          <w:szCs w:val="22"/>
        </w:rPr>
      </w:pPr>
      <w:r>
        <w:rPr>
          <w:b/>
          <w:szCs w:val="22"/>
        </w:rPr>
        <w:t>MB</w:t>
      </w:r>
      <w:r w:rsidRPr="00277EA6" w:rsidR="007E05B2">
        <w:rPr>
          <w:b/>
          <w:szCs w:val="22"/>
        </w:rPr>
        <w:t xml:space="preserve"> Docket No. 1</w:t>
      </w:r>
      <w:r>
        <w:rPr>
          <w:b/>
          <w:szCs w:val="22"/>
        </w:rPr>
        <w:t>7</w:t>
      </w:r>
      <w:r w:rsidRPr="00277EA6" w:rsidR="007E05B2">
        <w:rPr>
          <w:b/>
          <w:szCs w:val="22"/>
        </w:rPr>
        <w:t>-</w:t>
      </w:r>
      <w:r>
        <w:rPr>
          <w:b/>
          <w:szCs w:val="22"/>
        </w:rPr>
        <w:t>317</w:t>
      </w:r>
    </w:p>
    <w:p w:rsidR="001C7657" w:rsidRPr="00277EA6" w:rsidP="001C7657">
      <w:pPr>
        <w:jc w:val="center"/>
        <w:rPr>
          <w:szCs w:val="22"/>
        </w:rPr>
      </w:pPr>
    </w:p>
    <w:p w:rsidR="001C7657" w:rsidRPr="007E05B2" w:rsidP="001C7657">
      <w:pPr>
        <w:rPr>
          <w:b/>
          <w:szCs w:val="22"/>
        </w:rPr>
      </w:pPr>
      <w:r w:rsidRPr="00277EA6">
        <w:rPr>
          <w:b/>
          <w:szCs w:val="22"/>
        </w:rPr>
        <w:t xml:space="preserve">Comment </w:t>
      </w:r>
      <w:r w:rsidRPr="007E05B2">
        <w:rPr>
          <w:b/>
          <w:szCs w:val="22"/>
        </w:rPr>
        <w:t xml:space="preserve">Date: </w:t>
      </w:r>
      <w:r w:rsidRPr="007E05B2" w:rsidR="002C34B4">
        <w:rPr>
          <w:b/>
          <w:szCs w:val="22"/>
        </w:rPr>
        <w:t xml:space="preserve">March </w:t>
      </w:r>
      <w:r w:rsidRPr="007E05B2" w:rsidR="00683DAE">
        <w:rPr>
          <w:b/>
          <w:szCs w:val="22"/>
        </w:rPr>
        <w:t>18</w:t>
      </w:r>
      <w:r w:rsidRPr="007E05B2">
        <w:rPr>
          <w:b/>
          <w:szCs w:val="22"/>
        </w:rPr>
        <w:t>, 201</w:t>
      </w:r>
      <w:r w:rsidRPr="007E05B2" w:rsidR="002C34B4">
        <w:rPr>
          <w:b/>
          <w:szCs w:val="22"/>
        </w:rPr>
        <w:t>9</w:t>
      </w:r>
    </w:p>
    <w:p w:rsidR="001C7657" w:rsidP="001D5E28">
      <w:pPr>
        <w:rPr>
          <w:b/>
          <w:szCs w:val="22"/>
        </w:rPr>
      </w:pPr>
      <w:r w:rsidRPr="007E05B2">
        <w:rPr>
          <w:b/>
          <w:szCs w:val="22"/>
        </w:rPr>
        <w:t xml:space="preserve">Reply Comment Date: </w:t>
      </w:r>
      <w:r w:rsidRPr="007E05B2" w:rsidR="002C34B4">
        <w:rPr>
          <w:b/>
          <w:szCs w:val="22"/>
        </w:rPr>
        <w:t xml:space="preserve">March </w:t>
      </w:r>
      <w:r w:rsidRPr="007E05B2" w:rsidR="00683DAE">
        <w:rPr>
          <w:b/>
          <w:szCs w:val="22"/>
        </w:rPr>
        <w:t>26</w:t>
      </w:r>
      <w:r w:rsidRPr="007E05B2">
        <w:rPr>
          <w:b/>
          <w:szCs w:val="22"/>
        </w:rPr>
        <w:t>,</w:t>
      </w:r>
      <w:r>
        <w:rPr>
          <w:b/>
          <w:szCs w:val="22"/>
        </w:rPr>
        <w:t xml:space="preserve"> 201</w:t>
      </w:r>
      <w:r w:rsidR="002C34B4">
        <w:rPr>
          <w:b/>
          <w:szCs w:val="22"/>
        </w:rPr>
        <w:t>9</w:t>
      </w:r>
    </w:p>
    <w:p w:rsidR="001D5E28" w:rsidRPr="00277EA6" w:rsidP="001D5E28">
      <w:pPr>
        <w:rPr>
          <w:b/>
          <w:szCs w:val="22"/>
        </w:rPr>
      </w:pPr>
    </w:p>
    <w:p w:rsidR="002C34B4" w:rsidP="001D5E28">
      <w:pPr>
        <w:pStyle w:val="ParaNum0"/>
        <w:numPr>
          <w:ilvl w:val="0"/>
          <w:numId w:val="0"/>
        </w:numPr>
        <w:ind w:firstLine="720"/>
        <w:rPr>
          <w:szCs w:val="22"/>
        </w:rPr>
      </w:pPr>
      <w:r>
        <w:t>On December 13, 2018, the Media Bureau released a Public Notice (</w:t>
      </w:r>
      <w:r w:rsidRPr="00516A4A">
        <w:rPr>
          <w:i/>
        </w:rPr>
        <w:t>December Public Notice</w:t>
      </w:r>
      <w:r>
        <w:t>) seeking comment on the p</w:t>
      </w:r>
      <w:r w:rsidRPr="00B40ECF">
        <w:t>roposal</w:t>
      </w:r>
      <w:r>
        <w:t xml:space="preserve"> that was submitted by the National Association of Broadcasters (NAB) and NCTA – The Internet and Television Association (NCTA) on December 7, 2018 in docket number 17-317 (</w:t>
      </w:r>
      <w:r w:rsidRPr="00993A90">
        <w:rPr>
          <w:i/>
        </w:rPr>
        <w:t>Joint Proposal</w:t>
      </w:r>
      <w:r>
        <w:t>).</w:t>
      </w:r>
      <w:r>
        <w:rPr>
          <w:rStyle w:val="FootnoteReference"/>
        </w:rPr>
        <w:footnoteReference w:id="3"/>
      </w:r>
      <w:r>
        <w:t xml:space="preserve">  The </w:t>
      </w:r>
      <w:r w:rsidRPr="00993A90">
        <w:rPr>
          <w:i/>
        </w:rPr>
        <w:t>Joint Proposal</w:t>
      </w:r>
      <w:r>
        <w:t xml:space="preserve"> responds to the </w:t>
      </w:r>
      <w:r w:rsidRPr="00165D5F">
        <w:rPr>
          <w:i/>
        </w:rPr>
        <w:t>Electronic Delivery of MVPD Subscriber Notification Rules</w:t>
      </w:r>
      <w:r>
        <w:t xml:space="preserve"> </w:t>
      </w:r>
      <w:r w:rsidRPr="009F4250">
        <w:t xml:space="preserve">Notice of Proposed Rulemaking </w:t>
      </w:r>
      <w:r>
        <w:t>(</w:t>
      </w:r>
      <w:r w:rsidRPr="00515F59">
        <w:rPr>
          <w:i/>
        </w:rPr>
        <w:t>NPRM</w:t>
      </w:r>
      <w:r>
        <w:t xml:space="preserve">) that sought comment, in part, on updating the requirement that broadcast televisions stations send carriage election notices via certified mail.  </w:t>
      </w:r>
    </w:p>
    <w:p w:rsidR="001C7657" w:rsidP="001D5E28">
      <w:pPr>
        <w:pStyle w:val="ParaNum0"/>
        <w:numPr>
          <w:ilvl w:val="0"/>
          <w:numId w:val="0"/>
        </w:numPr>
        <w:ind w:firstLine="720"/>
        <w:rPr>
          <w:szCs w:val="22"/>
        </w:rPr>
      </w:pPr>
      <w:r>
        <w:t>The comment and reply deadlines established by that Public Notice fell during a lapse in funding.  On January 29, 2019 the Media Bureau, on its own motion, extended the deadlines.</w:t>
      </w:r>
      <w:r>
        <w:rPr>
          <w:rStyle w:val="FootnoteReference"/>
          <w:szCs w:val="22"/>
        </w:rPr>
        <w:footnoteReference w:id="4"/>
      </w:r>
      <w:r>
        <w:t xml:space="preserve">  </w:t>
      </w:r>
      <w:r w:rsidR="007E05B2">
        <w:rPr>
          <w:szCs w:val="22"/>
        </w:rPr>
        <w:t xml:space="preserve">The </w:t>
      </w:r>
      <w:r>
        <w:rPr>
          <w:i/>
          <w:szCs w:val="22"/>
        </w:rPr>
        <w:t>January Public Notice</w:t>
      </w:r>
      <w:r w:rsidR="007E05B2">
        <w:rPr>
          <w:szCs w:val="22"/>
        </w:rPr>
        <w:t xml:space="preserve"> sets deadlines for filing comments and reply comments at </w:t>
      </w:r>
      <w:r>
        <w:rPr>
          <w:szCs w:val="22"/>
        </w:rPr>
        <w:t>3</w:t>
      </w:r>
      <w:r w:rsidR="007E05B2">
        <w:rPr>
          <w:szCs w:val="22"/>
        </w:rPr>
        <w:t xml:space="preserve">0 and </w:t>
      </w:r>
      <w:r>
        <w:rPr>
          <w:szCs w:val="22"/>
        </w:rPr>
        <w:t>4</w:t>
      </w:r>
      <w:r w:rsidR="007E05B2">
        <w:rPr>
          <w:szCs w:val="22"/>
        </w:rPr>
        <w:t>0 days, respectively, following publication in the Federal Register.</w:t>
      </w:r>
    </w:p>
    <w:p w:rsidR="001C7657" w:rsidRPr="00277EA6" w:rsidP="001D5E28">
      <w:pPr>
        <w:pStyle w:val="ParaNum0"/>
        <w:numPr>
          <w:ilvl w:val="0"/>
          <w:numId w:val="0"/>
        </w:numPr>
        <w:ind w:firstLine="720"/>
        <w:rPr>
          <w:szCs w:val="22"/>
        </w:rPr>
      </w:pPr>
      <w:r>
        <w:rPr>
          <w:szCs w:val="22"/>
        </w:rPr>
        <w:t>The Federal Register p</w:t>
      </w:r>
      <w:r w:rsidRPr="00277EA6">
        <w:rPr>
          <w:szCs w:val="22"/>
        </w:rPr>
        <w:t xml:space="preserve">ublished a </w:t>
      </w:r>
      <w:r w:rsidRPr="007E05B2">
        <w:rPr>
          <w:szCs w:val="22"/>
        </w:rPr>
        <w:t xml:space="preserve">summary of the </w:t>
      </w:r>
      <w:r w:rsidRPr="007E05B2" w:rsidR="00651B9F">
        <w:rPr>
          <w:i/>
          <w:szCs w:val="22"/>
        </w:rPr>
        <w:t>January Public Notice</w:t>
      </w:r>
      <w:r w:rsidRPr="007E05B2">
        <w:rPr>
          <w:szCs w:val="22"/>
        </w:rPr>
        <w:t xml:space="preserve"> on </w:t>
      </w:r>
      <w:r w:rsidRPr="007E05B2" w:rsidR="00651B9F">
        <w:rPr>
          <w:szCs w:val="22"/>
        </w:rPr>
        <w:t>February 14</w:t>
      </w:r>
      <w:r w:rsidRPr="007E05B2">
        <w:rPr>
          <w:szCs w:val="22"/>
        </w:rPr>
        <w:t>, 201</w:t>
      </w:r>
      <w:r w:rsidRPr="007E05B2" w:rsidR="00651B9F">
        <w:rPr>
          <w:szCs w:val="22"/>
        </w:rPr>
        <w:t>9</w:t>
      </w:r>
      <w:r w:rsidRPr="007E05B2">
        <w:rPr>
          <w:szCs w:val="22"/>
        </w:rPr>
        <w:t>.</w:t>
      </w:r>
      <w:r>
        <w:rPr>
          <w:rStyle w:val="FootnoteReference"/>
          <w:szCs w:val="22"/>
        </w:rPr>
        <w:footnoteReference w:id="5"/>
      </w:r>
      <w:r w:rsidRPr="007E05B2">
        <w:rPr>
          <w:szCs w:val="22"/>
        </w:rPr>
        <w:t xml:space="preserve">  Accordingly, comments will be due on or before </w:t>
      </w:r>
      <w:r w:rsidRPr="007E05B2" w:rsidR="00651B9F">
        <w:rPr>
          <w:szCs w:val="22"/>
        </w:rPr>
        <w:t xml:space="preserve">March </w:t>
      </w:r>
      <w:r w:rsidRPr="007E05B2">
        <w:rPr>
          <w:szCs w:val="22"/>
        </w:rPr>
        <w:t>18, 201</w:t>
      </w:r>
      <w:r w:rsidRPr="007E05B2" w:rsidR="00651B9F">
        <w:rPr>
          <w:szCs w:val="22"/>
        </w:rPr>
        <w:t>9</w:t>
      </w:r>
      <w:r w:rsidRPr="007E05B2">
        <w:rPr>
          <w:szCs w:val="22"/>
        </w:rPr>
        <w:t xml:space="preserve">, and reply comments will be due on or before </w:t>
      </w:r>
      <w:r w:rsidRPr="007E05B2" w:rsidR="00651B9F">
        <w:rPr>
          <w:szCs w:val="22"/>
        </w:rPr>
        <w:t xml:space="preserve">March </w:t>
      </w:r>
      <w:r w:rsidRPr="007E05B2">
        <w:rPr>
          <w:szCs w:val="22"/>
        </w:rPr>
        <w:t>26, 201</w:t>
      </w:r>
      <w:r w:rsidRPr="007E05B2" w:rsidR="00651B9F">
        <w:rPr>
          <w:szCs w:val="22"/>
        </w:rPr>
        <w:t>9</w:t>
      </w:r>
      <w:r w:rsidRPr="007E05B2">
        <w:rPr>
          <w:szCs w:val="22"/>
        </w:rPr>
        <w:t>.  Complete filing instructions are</w:t>
      </w:r>
      <w:r w:rsidRPr="00277EA6">
        <w:rPr>
          <w:szCs w:val="22"/>
        </w:rPr>
        <w:t xml:space="preserve"> provided in the </w:t>
      </w:r>
      <w:r w:rsidRPr="00516A4A" w:rsidR="00651B9F">
        <w:rPr>
          <w:i/>
        </w:rPr>
        <w:t>December Public Notice</w:t>
      </w:r>
      <w:r>
        <w:rPr>
          <w:szCs w:val="22"/>
          <w:vertAlign w:val="superscript"/>
        </w:rPr>
        <w:t xml:space="preserve"> </w:t>
      </w:r>
      <w:r>
        <w:rPr>
          <w:rStyle w:val="FootnoteReference"/>
          <w:szCs w:val="22"/>
        </w:rPr>
        <w:footnoteReference w:id="6"/>
      </w:r>
      <w:r w:rsidRPr="00277EA6">
        <w:rPr>
          <w:szCs w:val="22"/>
        </w:rPr>
        <w:t xml:space="preserve"> and the Federal Register.</w:t>
      </w:r>
      <w:r>
        <w:rPr>
          <w:rStyle w:val="FootnoteReference"/>
          <w:szCs w:val="22"/>
        </w:rPr>
        <w:footnoteReference w:id="7"/>
      </w:r>
    </w:p>
    <w:p w:rsidR="001C7657" w:rsidP="001D5E28">
      <w:pPr>
        <w:pStyle w:val="ParaNum0"/>
        <w:keepNext/>
        <w:widowControl/>
        <w:numPr>
          <w:ilvl w:val="0"/>
          <w:numId w:val="0"/>
        </w:numPr>
        <w:ind w:firstLine="720"/>
        <w:rPr>
          <w:szCs w:val="22"/>
        </w:rPr>
      </w:pPr>
      <w:r>
        <w:rPr>
          <w:szCs w:val="22"/>
        </w:rPr>
        <w:t xml:space="preserve">For additional information on this proceeding, contact Varsha Mangal, </w:t>
      </w:r>
      <w:r>
        <w:rPr>
          <w:szCs w:val="22"/>
        </w:rPr>
        <w:t xml:space="preserve">of the Media Bureau, Video Division, (202) 418-0073 or </w:t>
      </w:r>
      <w:r w:rsidRPr="00AB66F9">
        <w:rPr>
          <w:rStyle w:val="DefaultParagraphFont"/>
          <w:szCs w:val="22"/>
        </w:rPr>
        <w:t>varsha.mangal@fcc.gov</w:t>
      </w:r>
      <w:r>
        <w:rPr>
          <w:szCs w:val="22"/>
        </w:rPr>
        <w:t>, or Lyle Elder of the Media Bureau, Policy Division, (202) 418-2365 or lyle.elder@fcc.gov.</w:t>
      </w:r>
    </w:p>
    <w:p w:rsidR="00602577" w:rsidRPr="00960B64" w:rsidP="001D5E28">
      <w:pPr>
        <w:keepNext/>
        <w:widowControl/>
        <w:jc w:val="center"/>
        <w:rPr>
          <w:rFonts w:eastAsia="TimesNewRoman"/>
          <w:color w:val="000000"/>
          <w:szCs w:val="22"/>
        </w:rPr>
      </w:pPr>
      <w:r w:rsidRPr="00061767">
        <w:rPr>
          <w:b/>
          <w:szCs w:val="22"/>
        </w:rPr>
        <w:t>-FCC-</w:t>
      </w:r>
      <w:bookmarkEnd w:id="2"/>
    </w:p>
    <w:sectPr w:rsidSect="001D5E28">
      <w:headerReference w:type="first" r:id="rId7"/>
      <w:type w:val="continuous"/>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20E" w:rsidP="008043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6D94">
      <w:r>
        <w:separator/>
      </w:r>
    </w:p>
  </w:footnote>
  <w:footnote w:type="continuationSeparator" w:id="1">
    <w:p w:rsidR="00646D94">
      <w:r>
        <w:continuationSeparator/>
      </w:r>
    </w:p>
  </w:footnote>
  <w:footnote w:type="continuationNotice" w:id="2">
    <w:p w:rsidR="00646D94"/>
  </w:footnote>
  <w:footnote w:id="3">
    <w:p w:rsidR="002C34B4" w:rsidRPr="00651B9F" w:rsidP="00651B9F">
      <w:pPr>
        <w:pStyle w:val="FootnoteText"/>
      </w:pPr>
      <w:r w:rsidRPr="00651B9F">
        <w:rPr>
          <w:rStyle w:val="FootnoteReference"/>
          <w:sz w:val="20"/>
        </w:rPr>
        <w:footnoteRef/>
      </w:r>
      <w:r w:rsidRPr="00651B9F">
        <w:t xml:space="preserve"> </w:t>
      </w:r>
      <w:r w:rsidRPr="00651B9F">
        <w:rPr>
          <w:i/>
        </w:rPr>
        <w:t>Media Bureau Seeks Comment on Industry Proposal for Carriage Election Notice Modernization</w:t>
      </w:r>
      <w:r w:rsidRPr="00651B9F">
        <w:t>, MB Docket No. 17-317, Public Notice, DA 18-1250 (MB December 13, 2018).</w:t>
      </w:r>
      <w:r w:rsidR="007E05B2">
        <w:t xml:space="preserve">  The </w:t>
      </w:r>
      <w:r w:rsidRPr="007E05B2" w:rsidR="007E05B2">
        <w:rPr>
          <w:i/>
        </w:rPr>
        <w:t>Joint Proposal</w:t>
      </w:r>
      <w:r w:rsidR="007E05B2">
        <w:t xml:space="preserve"> is</w:t>
      </w:r>
      <w:r w:rsidRPr="007E05B2" w:rsidR="007E05B2">
        <w:t xml:space="preserve"> available online at </w:t>
      </w:r>
      <w:r w:rsidRPr="007E05B2" w:rsidR="007E05B2">
        <w:rPr>
          <w:rStyle w:val="DefaultParagraphFont"/>
        </w:rPr>
        <w:t>https://ecfsapi.fcc.gov/file/1207161565486/Ex%20Parte%20Carriage%20Elections%20Notice%20%20NCTA-NAB%2012-7-18.pdf</w:t>
      </w:r>
      <w:r w:rsidR="007E05B2">
        <w:t>.</w:t>
      </w:r>
      <w:r w:rsidRPr="007E05B2" w:rsidR="007E05B2">
        <w:t xml:space="preserve"> </w:t>
      </w:r>
    </w:p>
  </w:footnote>
  <w:footnote w:id="4">
    <w:p w:rsidR="00651B9F" w:rsidRPr="00667010" w:rsidP="00651B9F">
      <w:pPr>
        <w:pStyle w:val="Footnotes2"/>
        <w:spacing w:after="120"/>
        <w:ind w:left="0"/>
      </w:pPr>
      <w:r w:rsidRPr="00651B9F">
        <w:rPr>
          <w:rStyle w:val="FootnoteReference"/>
        </w:rPr>
        <w:footnoteRef/>
      </w:r>
      <w:r w:rsidRPr="00651B9F">
        <w:t xml:space="preserve"> </w:t>
      </w:r>
      <w:r w:rsidRPr="00667010" w:rsidR="00667010">
        <w:rPr>
          <w:i/>
        </w:rPr>
        <w:t xml:space="preserve">Media Bureau Extends Comment </w:t>
      </w:r>
      <w:r w:rsidR="00667010">
        <w:rPr>
          <w:i/>
        </w:rPr>
        <w:t>a</w:t>
      </w:r>
      <w:r w:rsidRPr="00667010" w:rsidR="00667010">
        <w:rPr>
          <w:i/>
        </w:rPr>
        <w:t xml:space="preserve">nd Reply Dates </w:t>
      </w:r>
      <w:r w:rsidR="00667010">
        <w:rPr>
          <w:i/>
        </w:rPr>
        <w:t>f</w:t>
      </w:r>
      <w:r w:rsidRPr="00667010" w:rsidR="00667010">
        <w:rPr>
          <w:i/>
        </w:rPr>
        <w:t xml:space="preserve">or Industry Proposal </w:t>
      </w:r>
      <w:r w:rsidR="00667010">
        <w:rPr>
          <w:i/>
        </w:rPr>
        <w:t>o</w:t>
      </w:r>
      <w:r w:rsidRPr="00667010" w:rsidR="00667010">
        <w:rPr>
          <w:i/>
        </w:rPr>
        <w:t>n Carriage Election Notice Modernization</w:t>
      </w:r>
      <w:r w:rsidR="00667010">
        <w:t>,</w:t>
      </w:r>
      <w:r w:rsidRPr="00667010" w:rsidR="00667010">
        <w:t xml:space="preserve"> </w:t>
      </w:r>
      <w:r w:rsidRPr="00651B9F" w:rsidR="00667010">
        <w:t>MB Docket No. 17-317, Public Notice, DA 1</w:t>
      </w:r>
      <w:r w:rsidR="00667010">
        <w:t>9</w:t>
      </w:r>
      <w:r w:rsidRPr="00651B9F" w:rsidR="00667010">
        <w:t xml:space="preserve">-25 (MB </w:t>
      </w:r>
      <w:r w:rsidR="00667010">
        <w:t>January 29</w:t>
      </w:r>
      <w:r w:rsidRPr="00651B9F" w:rsidR="00667010">
        <w:t>, 201</w:t>
      </w:r>
      <w:r w:rsidR="00667010">
        <w:t>9</w:t>
      </w:r>
      <w:r w:rsidRPr="00651B9F" w:rsidR="00667010">
        <w:t>).</w:t>
      </w:r>
    </w:p>
  </w:footnote>
  <w:footnote w:id="5">
    <w:p w:rsidR="001C7657" w:rsidRPr="00651B9F" w:rsidP="001C7657">
      <w:pPr>
        <w:pStyle w:val="Footnotes2"/>
        <w:spacing w:after="120"/>
        <w:ind w:left="0"/>
      </w:pPr>
      <w:r w:rsidRPr="00651B9F">
        <w:rPr>
          <w:rStyle w:val="FootnoteReference"/>
        </w:rPr>
        <w:footnoteRef/>
      </w:r>
      <w:r w:rsidR="00667010">
        <w:rPr>
          <w:i/>
        </w:rPr>
        <w:t xml:space="preserve"> </w:t>
      </w:r>
      <w:r w:rsidRPr="00667010" w:rsidR="00667010">
        <w:rPr>
          <w:i/>
        </w:rPr>
        <w:t>Electronic Delivery of MVPD Communications; Modernization of Media Regulation Initiative</w:t>
      </w:r>
      <w:r w:rsidRPr="00651B9F">
        <w:t>, Proposed Rule</w:t>
      </w:r>
      <w:r w:rsidRPr="007E05B2">
        <w:t>, 84 Fed. Reg. 4039</w:t>
      </w:r>
      <w:r w:rsidRPr="00651B9F">
        <w:t xml:space="preserve"> (</w:t>
      </w:r>
      <w:r w:rsidR="00667010">
        <w:t>February 14</w:t>
      </w:r>
      <w:r w:rsidRPr="00651B9F">
        <w:t>, 201</w:t>
      </w:r>
      <w:r w:rsidR="00667010">
        <w:t>9</w:t>
      </w:r>
      <w:r w:rsidRPr="00651B9F">
        <w:t xml:space="preserve">), </w:t>
      </w:r>
      <w:r w:rsidRPr="007E05B2">
        <w:t>https://www.govinfo.gov/content/pkg/FR-2019-02-14/pdf/2019-02314.pdf</w:t>
      </w:r>
      <w:r w:rsidR="00667010">
        <w:rPr>
          <w:highlight w:val="yellow"/>
        </w:rPr>
        <w:t xml:space="preserve"> </w:t>
      </w:r>
      <w:r w:rsidRPr="007E05B2" w:rsidR="00667010">
        <w:t>(</w:t>
      </w:r>
      <w:r w:rsidRPr="007E05B2" w:rsidR="00667010">
        <w:rPr>
          <w:i/>
        </w:rPr>
        <w:t>Notice</w:t>
      </w:r>
      <w:r w:rsidRPr="007E05B2" w:rsidR="00667010">
        <w:t>)</w:t>
      </w:r>
      <w:r w:rsidRPr="007E05B2">
        <w:t>.</w:t>
      </w:r>
    </w:p>
  </w:footnote>
  <w:footnote w:id="6">
    <w:p w:rsidR="001C7657" w:rsidRPr="00651B9F" w:rsidP="001C7657">
      <w:pPr>
        <w:pStyle w:val="Footnotes2"/>
        <w:spacing w:after="120"/>
        <w:ind w:left="0"/>
      </w:pPr>
      <w:r w:rsidRPr="00651B9F">
        <w:rPr>
          <w:rStyle w:val="FootnoteReference"/>
        </w:rPr>
        <w:footnoteRef/>
      </w:r>
      <w:r w:rsidRPr="00651B9F">
        <w:t xml:space="preserve"> </w:t>
      </w:r>
      <w:r w:rsidRPr="00516A4A" w:rsidR="00667010">
        <w:rPr>
          <w:i/>
        </w:rPr>
        <w:t>December Public Notice</w:t>
      </w:r>
      <w:r w:rsidRPr="00651B9F">
        <w:t xml:space="preserve"> at 2-3.  To request materials in accessible formats for people with disabilities (Braille, large print, electronic files, audio format), send an e-mail to </w:t>
      </w:r>
      <w:r w:rsidRPr="00651B9F">
        <w:rPr>
          <w:rStyle w:val="DefaultParagraphFont"/>
        </w:rPr>
        <w:t>fcc504@fcc.gov</w:t>
      </w:r>
      <w:r w:rsidRPr="00651B9F">
        <w:t xml:space="preserve"> or call the Consumer &amp; Governmental Affairs Bureau at 202-418-0530 (voice), 202-418-0432 (tty).</w:t>
      </w:r>
    </w:p>
  </w:footnote>
  <w:footnote w:id="7">
    <w:p w:rsidR="001C7657" w:rsidRPr="00CC3FF9" w:rsidP="001C7657">
      <w:pPr>
        <w:pStyle w:val="Footnotes2"/>
        <w:spacing w:after="120"/>
        <w:ind w:left="0"/>
      </w:pPr>
      <w:r w:rsidRPr="00F94485">
        <w:rPr>
          <w:rStyle w:val="FootnoteReference"/>
        </w:rPr>
        <w:footnoteRef/>
      </w:r>
      <w:r w:rsidRPr="00F94485">
        <w:t xml:space="preserve"> </w:t>
      </w:r>
      <w:r w:rsidRPr="00667010">
        <w:rPr>
          <w:i/>
        </w:rPr>
        <w:t>See Notice</w:t>
      </w:r>
      <w:r w:rsidRPr="00822DE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20E" w:rsidP="001D5E28">
    <w:pPr>
      <w:pStyle w:val="Header"/>
    </w:pPr>
    <w:r>
      <w:rPr>
        <w:noProof/>
        <w:sz w:val="24"/>
      </w:rPr>
      <w:drawing>
        <wp:anchor distT="0" distB="0" distL="114300" distR="114300" simplePos="0" relativeHeight="251664384" behindDoc="1" locked="0" layoutInCell="1" allowOverlap="1">
          <wp:simplePos x="0" y="0"/>
          <wp:positionH relativeFrom="column">
            <wp:posOffset>-625475</wp:posOffset>
          </wp:positionH>
          <wp:positionV relativeFrom="paragraph">
            <wp:posOffset>95250</wp:posOffset>
          </wp:positionV>
          <wp:extent cx="530225" cy="530225"/>
          <wp:effectExtent l="0" t="0" r="3175" b="3175"/>
          <wp:wrapTight wrapText="bothSides">
            <wp:wrapPolygon>
              <wp:start x="0" y="0"/>
              <wp:lineTo x="0" y="20953"/>
              <wp:lineTo x="20953" y="20953"/>
              <wp:lineTo x="20953" y="0"/>
              <wp:lineTo x="0" y="0"/>
            </wp:wrapPolygon>
          </wp:wrapTight>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498612" name="Picture 6"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16E">
      <w:rPr>
        <w:noProof/>
        <w:sz w:val="24"/>
      </w:rPr>
      <mc:AlternateContent>
        <mc:Choice Requires="wps">
          <w:drawing>
            <wp:anchor distT="0" distB="0" distL="114300" distR="114300" simplePos="0" relativeHeight="251658240" behindDoc="0" locked="0" layoutInCell="0" allowOverlap="1">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320E">
                          <w:pPr>
                            <w:rPr>
                              <w:rFonts w:ascii="Arial" w:hAnsi="Arial"/>
                              <w:b/>
                            </w:rPr>
                          </w:pPr>
                          <w:r>
                            <w:rPr>
                              <w:rFonts w:ascii="Arial" w:hAnsi="Arial"/>
                              <w:b/>
                            </w:rPr>
                            <w:t>Federal Communications Commission</w:t>
                          </w:r>
                        </w:p>
                        <w:p w:rsidR="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320E">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6pt;margin-left:-7.8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BF320E">
                    <w:pPr>
                      <w:rPr>
                        <w:rFonts w:ascii="Arial" w:hAnsi="Arial"/>
                        <w:b/>
                      </w:rPr>
                    </w:pPr>
                    <w:r>
                      <w:rPr>
                        <w:rFonts w:ascii="Arial" w:hAnsi="Arial"/>
                        <w:b/>
                      </w:rPr>
                      <w:t>Federal Communications Commission</w:t>
                    </w:r>
                  </w:p>
                  <w:p w:rsidR="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320E">
                    <w:pPr>
                      <w:rPr>
                        <w:rFonts w:ascii="Arial" w:hAnsi="Arial"/>
                        <w:sz w:val="24"/>
                      </w:rPr>
                    </w:pPr>
                    <w:r>
                      <w:rPr>
                        <w:rFonts w:ascii="Arial" w:hAnsi="Arial"/>
                        <w:b/>
                      </w:rPr>
                      <w:t>Washington, D.C. 20554</w:t>
                    </w:r>
                  </w:p>
                </w:txbxContent>
              </v:textbox>
            </v:shape>
          </w:pict>
        </mc:Fallback>
      </mc:AlternateContent>
    </w:r>
    <w:r w:rsidR="00FA316E">
      <w:t>PUBLIC NOTICE</w:t>
    </w:r>
  </w:p>
  <w:p w:rsidR="00BF320E" w:rsidP="001D5E28">
    <w:pPr>
      <w:pStyle w:val="Header"/>
      <w:rPr>
        <w:sz w:val="28"/>
      </w:rPr>
    </w:pPr>
    <w:r>
      <w:rPr>
        <w:rFonts w:ascii="News Gothic MT" w:hAnsi="News Gothic MT"/>
        <w:noProof/>
      </w:rPr>
      <mc:AlternateContent>
        <mc:Choice Requires="wps">
          <w:drawing>
            <wp:anchor distT="0" distB="0" distL="114300" distR="114300" simplePos="0" relativeHeight="251662336" behindDoc="0" locked="0" layoutInCell="0" allowOverlap="1">
              <wp:simplePos x="0" y="0"/>
              <wp:positionH relativeFrom="column">
                <wp:posOffset>3388995</wp:posOffset>
              </wp:positionH>
              <wp:positionV relativeFrom="paragraph">
                <wp:posOffset>97790</wp:posOffset>
              </wp:positionV>
              <wp:extent cx="2642616" cy="548640"/>
              <wp:effectExtent l="0" t="0" r="571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2616"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320E">
                          <w:pPr>
                            <w:spacing w:before="40"/>
                            <w:jc w:val="right"/>
                            <w:rPr>
                              <w:rFonts w:ascii="Arial" w:hAnsi="Arial"/>
                              <w:b/>
                              <w:sz w:val="16"/>
                            </w:rPr>
                          </w:pPr>
                          <w:r>
                            <w:rPr>
                              <w:rFonts w:ascii="Arial" w:hAnsi="Arial"/>
                              <w:b/>
                              <w:sz w:val="16"/>
                            </w:rPr>
                            <w:t>News Media Information 202 / 418-0500</w:t>
                          </w:r>
                        </w:p>
                        <w:p w:rsidR="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320E">
                          <w:pPr>
                            <w:jc w:val="right"/>
                            <w:rPr>
                              <w:rFonts w:ascii="Arial" w:hAnsi="Arial"/>
                              <w:b/>
                              <w:sz w:val="16"/>
                            </w:rPr>
                          </w:pPr>
                          <w:r>
                            <w:rPr>
                              <w:rFonts w:ascii="Arial" w:hAnsi="Arial"/>
                              <w:b/>
                              <w:sz w:val="16"/>
                            </w:rPr>
                            <w:t>TTY: 1-888-835-5322</w:t>
                          </w:r>
                        </w:p>
                        <w:p w:rsidR="00BF320E">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8.1pt;height:43.2pt;margin-top:7.7pt;margin-left:266.8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F320E">
                    <w:pPr>
                      <w:spacing w:before="40"/>
                      <w:jc w:val="right"/>
                      <w:rPr>
                        <w:rFonts w:ascii="Arial" w:hAnsi="Arial"/>
                        <w:b/>
                        <w:sz w:val="16"/>
                      </w:rPr>
                    </w:pPr>
                    <w:r>
                      <w:rPr>
                        <w:rFonts w:ascii="Arial" w:hAnsi="Arial"/>
                        <w:b/>
                        <w:sz w:val="16"/>
                      </w:rPr>
                      <w:t>News Media Information 202 / 418-0500</w:t>
                    </w:r>
                  </w:p>
                  <w:p w:rsidR="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320E">
                    <w:pPr>
                      <w:jc w:val="right"/>
                      <w:rPr>
                        <w:rFonts w:ascii="Arial" w:hAnsi="Arial"/>
                        <w:b/>
                        <w:sz w:val="16"/>
                      </w:rPr>
                    </w:pPr>
                    <w:r>
                      <w:rPr>
                        <w:rFonts w:ascii="Arial" w:hAnsi="Arial"/>
                        <w:b/>
                        <w:sz w:val="16"/>
                      </w:rPr>
                      <w:t>TTY: 1-888-835-5322</w:t>
                    </w:r>
                  </w:p>
                  <w:p w:rsidR="00BF320E">
                    <w:pPr>
                      <w:jc w:val="right"/>
                    </w:pP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695960</wp:posOffset>
              </wp:positionV>
              <wp:extent cx="5943600" cy="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8pt" to="468pt,54.8pt"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657" w:rsidP="001D5E28">
    <w:pPr>
      <w:pStyle w:val="Header"/>
    </w:pPr>
    <w:r>
      <w:rPr>
        <w:noProof/>
        <w:sz w:val="24"/>
      </w:rPr>
      <w:drawing>
        <wp:anchor distT="0" distB="0" distL="114300" distR="114300" simplePos="0" relativeHeight="251671552"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15242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PUBLIC NOTICE</w:t>
    </w:r>
  </w:p>
  <w:p w:rsidR="001C7657" w:rsidP="001D5E28">
    <w:pPr>
      <w:pStyle w:val="Header"/>
      <w:rPr>
        <w:sz w:val="28"/>
      </w:rPr>
    </w:pPr>
    <w:r>
      <w:rPr>
        <w:noProof/>
      </w:rPr>
      <mc:AlternateContent>
        <mc:Choice Requires="wps">
          <w:drawing>
            <wp:anchor distT="0" distB="0" distL="114300" distR="114300" simplePos="0" relativeHeight="25166745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68480" from="37.6pt,54.95pt" to="501.1pt,55.15pt" o:allowincell="f"/>
          </w:pict>
        </mc:Fallback>
      </mc:AlternateContent>
    </w:r>
    <w:r>
      <w:rPr>
        <w:rFonts w:ascii="News Gothic MT" w:hAnsi="News Gothic MT"/>
        <w:noProof/>
      </w:rPr>
      <mc:AlternateContent>
        <mc:Choice Requires="wps">
          <w:drawing>
            <wp:anchor distT="0" distB="0" distL="114300" distR="114300" simplePos="0" relativeHeight="251665408"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C7657">
                          <w:pPr>
                            <w:rPr>
                              <w:rFonts w:ascii="Arial" w:hAnsi="Arial"/>
                              <w:b/>
                            </w:rPr>
                          </w:pPr>
                          <w:r>
                            <w:rPr>
                              <w:rFonts w:ascii="Arial" w:hAnsi="Arial"/>
                              <w:b/>
                            </w:rPr>
                            <w:t>Federal Communications Commission</w:t>
                          </w:r>
                        </w:p>
                        <w:p w:rsidR="001C765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C765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6432" o:allowincell="f" stroked="f">
              <v:textbox>
                <w:txbxContent>
                  <w:p w:rsidR="001C7657">
                    <w:pPr>
                      <w:rPr>
                        <w:rFonts w:ascii="Arial" w:hAnsi="Arial"/>
                        <w:b/>
                      </w:rPr>
                    </w:pPr>
                    <w:r>
                      <w:rPr>
                        <w:rFonts w:ascii="Arial" w:hAnsi="Arial"/>
                        <w:b/>
                      </w:rPr>
                      <w:t>Federal Communications Commission</w:t>
                    </w:r>
                  </w:p>
                  <w:p w:rsidR="001C765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C7657">
                    <w:pPr>
                      <w:rPr>
                        <w:rFonts w:ascii="Arial" w:hAnsi="Arial"/>
                        <w:sz w:val="24"/>
                      </w:rPr>
                    </w:pPr>
                    <w:r>
                      <w:rPr>
                        <w:rFonts w:ascii="Arial" w:hAnsi="Arial"/>
                        <w:b/>
                      </w:rPr>
                      <w:t>Washington, D.C. 20554</w:t>
                    </w:r>
                  </w:p>
                </w:txbxContent>
              </v:textbox>
            </v:shape>
          </w:pict>
        </mc:Fallback>
      </mc:AlternateContent>
    </w:r>
    <w:r>
      <w:rPr>
        <w:rFonts w:ascii="News Gothic MT" w:hAnsi="News Gothic MT"/>
        <w:noProof/>
      </w:rPr>
      <mc:AlternateContent>
        <mc:Choice Requires="wps">
          <w:drawing>
            <wp:anchor distT="0" distB="0" distL="114300" distR="114300" simplePos="0" relativeHeight="251669504"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C7657">
                          <w:pPr>
                            <w:spacing w:before="40"/>
                            <w:jc w:val="right"/>
                            <w:rPr>
                              <w:rFonts w:ascii="Arial" w:hAnsi="Arial"/>
                              <w:b/>
                              <w:sz w:val="16"/>
                            </w:rPr>
                          </w:pPr>
                          <w:r>
                            <w:rPr>
                              <w:rFonts w:ascii="Arial" w:hAnsi="Arial"/>
                              <w:b/>
                              <w:sz w:val="16"/>
                            </w:rPr>
                            <w:t>News Media Information 202 / 418-0500</w:t>
                          </w:r>
                        </w:p>
                        <w:p w:rsidR="001C7657">
                          <w:pPr>
                            <w:jc w:val="right"/>
                            <w:rPr>
                              <w:rFonts w:ascii="Arial" w:hAnsi="Arial"/>
                              <w:b/>
                              <w:sz w:val="16"/>
                            </w:rPr>
                          </w:pPr>
                          <w:r>
                            <w:rPr>
                              <w:rFonts w:ascii="Arial" w:hAnsi="Arial"/>
                              <w:b/>
                              <w:sz w:val="16"/>
                            </w:rPr>
                            <w:tab/>
                            <w:t>Internet: http://www.fcc.gov</w:t>
                          </w:r>
                        </w:p>
                        <w:p w:rsidR="001C7657">
                          <w:pPr>
                            <w:jc w:val="right"/>
                            <w:rPr>
                              <w:rFonts w:ascii="Arial" w:hAnsi="Arial"/>
                              <w:b/>
                              <w:sz w:val="16"/>
                            </w:rPr>
                          </w:pPr>
                          <w:r>
                            <w:rPr>
                              <w:rFonts w:ascii="Arial" w:hAnsi="Arial"/>
                              <w:b/>
                              <w:sz w:val="16"/>
                            </w:rPr>
                            <w:t>TTY: 1-888-835-5322</w:t>
                          </w:r>
                        </w:p>
                        <w:p w:rsidR="001C765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1C7657">
                    <w:pPr>
                      <w:spacing w:before="40"/>
                      <w:jc w:val="right"/>
                      <w:rPr>
                        <w:rFonts w:ascii="Arial" w:hAnsi="Arial"/>
                        <w:b/>
                        <w:sz w:val="16"/>
                      </w:rPr>
                    </w:pPr>
                    <w:r>
                      <w:rPr>
                        <w:rFonts w:ascii="Arial" w:hAnsi="Arial"/>
                        <w:b/>
                        <w:sz w:val="16"/>
                      </w:rPr>
                      <w:t>News Media Information 202 / 418-0500</w:t>
                    </w:r>
                  </w:p>
                  <w:p w:rsidR="001C7657">
                    <w:pPr>
                      <w:jc w:val="right"/>
                      <w:rPr>
                        <w:rFonts w:ascii="Arial" w:hAnsi="Arial"/>
                        <w:b/>
                        <w:sz w:val="16"/>
                      </w:rPr>
                    </w:pPr>
                    <w:r>
                      <w:rPr>
                        <w:rFonts w:ascii="Arial" w:hAnsi="Arial"/>
                        <w:b/>
                        <w:sz w:val="16"/>
                      </w:rPr>
                      <w:tab/>
                      <w:t>Internet: http://www.fcc.gov</w:t>
                    </w:r>
                  </w:p>
                  <w:p w:rsidR="001C7657">
                    <w:pPr>
                      <w:jc w:val="right"/>
                      <w:rPr>
                        <w:rFonts w:ascii="Arial" w:hAnsi="Arial"/>
                        <w:b/>
                        <w:sz w:val="16"/>
                      </w:rPr>
                    </w:pPr>
                    <w:r>
                      <w:rPr>
                        <w:rFonts w:ascii="Arial" w:hAnsi="Arial"/>
                        <w:b/>
                        <w:sz w:val="16"/>
                      </w:rPr>
                      <w:t>TTY: 1-888-835-5322</w:t>
                    </w:r>
                  </w:p>
                  <w:p w:rsidR="001C7657">
                    <w:pPr>
                      <w:jc w:val="right"/>
                    </w:pPr>
                  </w:p>
                </w:txbxContent>
              </v:textbox>
            </v:shape>
          </w:pict>
        </mc:Fallback>
      </mc:AlternateContent>
    </w:r>
  </w:p>
  <w:p w:rsidR="001C7657" w:rsidP="001D5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6F75D3"/>
    <w:multiLevelType w:val="hybridMultilevel"/>
    <w:tmpl w:val="F91AEE54"/>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AC30CBF"/>
    <w:multiLevelType w:val="hybridMultilevel"/>
    <w:tmpl w:val="062889D6"/>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5">
    <w:nsid w:val="0B4C2588"/>
    <w:multiLevelType w:val="hybridMultilevel"/>
    <w:tmpl w:val="B8AC4CB2"/>
    <w:lvl w:ilvl="0">
      <w:start w:val="1"/>
      <w:numFmt w:val="bullet"/>
      <w:lvlText w:val=""/>
      <w:lvlJc w:val="left"/>
      <w:pPr>
        <w:ind w:left="4320" w:hanging="360"/>
      </w:pPr>
      <w:rPr>
        <w:rFonts w:ascii="Symbol" w:hAnsi="Symbol" w:hint="default"/>
        <w:b w:val="0"/>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6">
    <w:nsid w:val="0BAD2858"/>
    <w:multiLevelType w:val="hybridMultilevel"/>
    <w:tmpl w:val="E60AC63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0E44096D"/>
    <w:multiLevelType w:val="hybridMultilevel"/>
    <w:tmpl w:val="7AC0A260"/>
    <w:lvl w:ilvl="0">
      <w:start w:val="0"/>
      <w:numFmt w:val="bullet"/>
      <w:lvlText w:val=""/>
      <w:lvlJc w:val="left"/>
      <w:pPr>
        <w:ind w:left="720" w:hanging="360"/>
      </w:pPr>
      <w:rPr>
        <w:rFonts w:ascii="Times New Roman" w:eastAsia="TimesNew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D53C21"/>
    <w:multiLevelType w:val="hybridMultilevel"/>
    <w:tmpl w:val="334EA65E"/>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80A3971"/>
    <w:multiLevelType w:val="hybridMultilevel"/>
    <w:tmpl w:val="887467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2AB4724D"/>
    <w:multiLevelType w:val="hybridMultilevel"/>
    <w:tmpl w:val="3B021D0C"/>
    <w:lvl w:ilvl="0">
      <w:start w:val="1"/>
      <w:numFmt w:val="bullet"/>
      <w:lvlText w:val=""/>
      <w:lvlJc w:val="left"/>
      <w:pPr>
        <w:ind w:left="3600" w:hanging="360"/>
      </w:pPr>
      <w:rPr>
        <w:rFonts w:ascii="Symbol" w:hAnsi="Symbol" w:hint="default"/>
        <w:b w:val="0"/>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5">
    <w:nsid w:val="3A2554E8"/>
    <w:multiLevelType w:val="hybridMultilevel"/>
    <w:tmpl w:val="61D0E0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BC36DD5"/>
    <w:multiLevelType w:val="hybridMultilevel"/>
    <w:tmpl w:val="71A66B4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CEF52F5"/>
    <w:multiLevelType w:val="hybridMultilevel"/>
    <w:tmpl w:val="9ACE3DF0"/>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9">
    <w:nsid w:val="40A71986"/>
    <w:multiLevelType w:val="hybridMultilevel"/>
    <w:tmpl w:val="E320D11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9DC32D9"/>
    <w:multiLevelType w:val="hybridMultilevel"/>
    <w:tmpl w:val="BBE83AF2"/>
    <w:lvl w:ilvl="0">
      <w:start w:val="1"/>
      <w:numFmt w:val="decimal"/>
      <w:lvlText w:val="%1."/>
      <w:lvlJc w:val="left"/>
      <w:pPr>
        <w:ind w:left="1890" w:hanging="360"/>
      </w:pPr>
      <w:rPr>
        <w:rFonts w:hint="default"/>
        <w:i w:val="0"/>
        <w:u w:val="none"/>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1">
    <w:nsid w:val="4D7B2C3F"/>
    <w:multiLevelType w:val="hybridMultilevel"/>
    <w:tmpl w:val="1FC8813E"/>
    <w:lvl w:ilvl="0">
      <w:start w:val="0"/>
      <w:numFmt w:val="bullet"/>
      <w:lvlText w:val="-"/>
      <w:lvlJc w:val="left"/>
      <w:pPr>
        <w:ind w:left="3960" w:hanging="360"/>
      </w:pPr>
      <w:rPr>
        <w:rFonts w:ascii="Times New Roman" w:eastAsia="Times New Roman" w:hAnsi="Times New Roman" w:cs="Times New Roman" w:hint="default"/>
        <w:b/>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E56E5C4A"/>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val="0"/>
      </w:rPr>
    </w:lvl>
    <w:lvl w:ilvl="4">
      <w:start w:val="1"/>
      <w:numFmt w:val="lowerRoman"/>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58E6466D"/>
    <w:multiLevelType w:val="hybridMultilevel"/>
    <w:tmpl w:val="08CAA85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6">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27">
    <w:nsid w:val="5A1D56CF"/>
    <w:multiLevelType w:val="hybridMultilevel"/>
    <w:tmpl w:val="7BAC1562"/>
    <w:lvl w:ilvl="0">
      <w:start w:val="1"/>
      <w:numFmt w:val="decimal"/>
      <w:lvlText w:val="%1."/>
      <w:lvlJc w:val="left"/>
      <w:pPr>
        <w:ind w:left="153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ACE4917"/>
    <w:multiLevelType w:val="hybridMultilevel"/>
    <w:tmpl w:val="A83EE65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0">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31">
    <w:nsid w:val="7A5D06AB"/>
    <w:multiLevelType w:val="hybridMultilevel"/>
    <w:tmpl w:val="561CE3F8"/>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num w:numId="1">
    <w:abstractNumId w:val="26"/>
  </w:num>
  <w:num w:numId="2">
    <w:abstractNumId w:val="24"/>
  </w:num>
  <w:num w:numId="3">
    <w:abstractNumId w:val="29"/>
  </w:num>
  <w:num w:numId="4">
    <w:abstractNumId w:val="13"/>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3"/>
  </w:num>
  <w:num w:numId="12">
    <w:abstractNumId w:val="18"/>
  </w:num>
  <w:num w:numId="13">
    <w:abstractNumId w:val="27"/>
  </w:num>
  <w:num w:numId="14">
    <w:abstractNumId w:val="6"/>
  </w:num>
  <w:num w:numId="15">
    <w:abstractNumId w:val="3"/>
  </w:num>
  <w:num w:numId="16">
    <w:abstractNumId w:val="14"/>
  </w:num>
  <w:num w:numId="17">
    <w:abstractNumId w:val="12"/>
  </w:num>
  <w:num w:numId="18">
    <w:abstractNumId w:val="25"/>
  </w:num>
  <w:num w:numId="19">
    <w:abstractNumId w:val="20"/>
  </w:num>
  <w:num w:numId="20">
    <w:abstractNumId w:val="5"/>
  </w:num>
  <w:num w:numId="21">
    <w:abstractNumId w:val="19"/>
  </w:num>
  <w:num w:numId="22">
    <w:abstractNumId w:val="21"/>
  </w:num>
  <w:num w:numId="23">
    <w:abstractNumId w:val="4"/>
  </w:num>
  <w:num w:numId="24">
    <w:abstractNumId w:val="17"/>
  </w:num>
  <w:num w:numId="25">
    <w:abstractNumId w:val="1"/>
  </w:num>
  <w:num w:numId="26">
    <w:abstractNumId w:val="28"/>
  </w:num>
  <w:num w:numId="27">
    <w:abstractNumId w:val="16"/>
  </w:num>
  <w:num w:numId="28">
    <w:abstractNumId w:val="8"/>
  </w:num>
  <w:num w:numId="29">
    <w:abstractNumId w:val="31"/>
  </w:num>
  <w:num w:numId="30">
    <w:abstractNumId w:val="15"/>
  </w:num>
  <w:num w:numId="31">
    <w:abstractNumId w:val="7"/>
  </w:num>
  <w:num w:numId="32">
    <w:abstractNumId w:val="0"/>
  </w:num>
  <w:num w:numId="33">
    <w:abstractNumId w:val="30"/>
  </w:num>
  <w:num w:numId="34">
    <w:abstractNumId w:val="9"/>
  </w:num>
  <w:num w:numId="35">
    <w:abstractNumId w:val="11"/>
  </w:num>
  <w:num w:numId="36">
    <w:abstractNumId w:val="22"/>
  </w:num>
  <w:num w:numId="37">
    <w:abstractNumId w:val="1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linkStyl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A95"/>
    <w:rsid w:val="00061767"/>
    <w:rsid w:val="00087D22"/>
    <w:rsid w:val="00165D5F"/>
    <w:rsid w:val="001A388C"/>
    <w:rsid w:val="001C7657"/>
    <w:rsid w:val="001D5E28"/>
    <w:rsid w:val="00277EA6"/>
    <w:rsid w:val="002C34B4"/>
    <w:rsid w:val="00515F59"/>
    <w:rsid w:val="00516A4A"/>
    <w:rsid w:val="00602577"/>
    <w:rsid w:val="00646D94"/>
    <w:rsid w:val="00651B9F"/>
    <w:rsid w:val="00667010"/>
    <w:rsid w:val="00683DAE"/>
    <w:rsid w:val="00795B8C"/>
    <w:rsid w:val="007C5B21"/>
    <w:rsid w:val="007E05B2"/>
    <w:rsid w:val="008043C6"/>
    <w:rsid w:val="00822DE8"/>
    <w:rsid w:val="00960B64"/>
    <w:rsid w:val="00993A90"/>
    <w:rsid w:val="009F4250"/>
    <w:rsid w:val="00AB66F9"/>
    <w:rsid w:val="00B00706"/>
    <w:rsid w:val="00B40ECF"/>
    <w:rsid w:val="00B47BB5"/>
    <w:rsid w:val="00BF320E"/>
    <w:rsid w:val="00CC3FF9"/>
    <w:rsid w:val="00CE40E0"/>
    <w:rsid w:val="00DF73E0"/>
    <w:rsid w:val="00E57869"/>
    <w:rsid w:val="00F27A95"/>
    <w:rsid w:val="00F32674"/>
    <w:rsid w:val="00F94485"/>
    <w:rsid w:val="00FA31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88C"/>
    <w:pPr>
      <w:widowControl w:val="0"/>
    </w:pPr>
    <w:rPr>
      <w:snapToGrid w:val="0"/>
      <w:kern w:val="28"/>
      <w:sz w:val="22"/>
    </w:rPr>
  </w:style>
  <w:style w:type="paragraph" w:styleId="Heading1">
    <w:name w:val="heading 1"/>
    <w:basedOn w:val="Normal"/>
    <w:next w:val="ParaNum0"/>
    <w:qFormat/>
    <w:rsid w:val="001A388C"/>
    <w:pPr>
      <w:keepNext/>
      <w:numPr>
        <w:numId w:val="3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1A388C"/>
    <w:pPr>
      <w:keepNext/>
      <w:numPr>
        <w:ilvl w:val="1"/>
        <w:numId w:val="35"/>
      </w:numPr>
      <w:spacing w:after="120"/>
      <w:outlineLvl w:val="1"/>
    </w:pPr>
    <w:rPr>
      <w:b/>
    </w:rPr>
  </w:style>
  <w:style w:type="paragraph" w:styleId="Heading3">
    <w:name w:val="heading 3"/>
    <w:basedOn w:val="Normal"/>
    <w:next w:val="ParaNum0"/>
    <w:qFormat/>
    <w:rsid w:val="001A388C"/>
    <w:pPr>
      <w:keepNext/>
      <w:numPr>
        <w:ilvl w:val="2"/>
        <w:numId w:val="35"/>
      </w:numPr>
      <w:tabs>
        <w:tab w:val="left" w:pos="2160"/>
      </w:tabs>
      <w:spacing w:after="120"/>
      <w:outlineLvl w:val="2"/>
    </w:pPr>
    <w:rPr>
      <w:b/>
    </w:rPr>
  </w:style>
  <w:style w:type="paragraph" w:styleId="Heading4">
    <w:name w:val="heading 4"/>
    <w:basedOn w:val="Normal"/>
    <w:next w:val="ParaNum0"/>
    <w:qFormat/>
    <w:rsid w:val="001A388C"/>
    <w:pPr>
      <w:keepNext/>
      <w:numPr>
        <w:ilvl w:val="3"/>
        <w:numId w:val="35"/>
      </w:numPr>
      <w:tabs>
        <w:tab w:val="left" w:pos="2880"/>
      </w:tabs>
      <w:spacing w:after="120"/>
      <w:outlineLvl w:val="3"/>
    </w:pPr>
    <w:rPr>
      <w:b/>
    </w:rPr>
  </w:style>
  <w:style w:type="paragraph" w:styleId="Heading5">
    <w:name w:val="heading 5"/>
    <w:basedOn w:val="Normal"/>
    <w:next w:val="ParaNum0"/>
    <w:qFormat/>
    <w:rsid w:val="001A388C"/>
    <w:pPr>
      <w:keepNext/>
      <w:numPr>
        <w:ilvl w:val="4"/>
        <w:numId w:val="35"/>
      </w:numPr>
      <w:tabs>
        <w:tab w:val="left" w:pos="3600"/>
      </w:tabs>
      <w:suppressAutoHyphens/>
      <w:spacing w:after="120"/>
      <w:outlineLvl w:val="4"/>
    </w:pPr>
    <w:rPr>
      <w:b/>
    </w:rPr>
  </w:style>
  <w:style w:type="paragraph" w:styleId="Heading6">
    <w:name w:val="heading 6"/>
    <w:basedOn w:val="Normal"/>
    <w:next w:val="ParaNum0"/>
    <w:qFormat/>
    <w:rsid w:val="001A388C"/>
    <w:pPr>
      <w:numPr>
        <w:ilvl w:val="5"/>
        <w:numId w:val="35"/>
      </w:numPr>
      <w:tabs>
        <w:tab w:val="left" w:pos="4320"/>
      </w:tabs>
      <w:spacing w:after="120"/>
      <w:outlineLvl w:val="5"/>
    </w:pPr>
    <w:rPr>
      <w:b/>
    </w:rPr>
  </w:style>
  <w:style w:type="paragraph" w:styleId="Heading7">
    <w:name w:val="heading 7"/>
    <w:basedOn w:val="Normal"/>
    <w:next w:val="ParaNum0"/>
    <w:qFormat/>
    <w:rsid w:val="001A388C"/>
    <w:pPr>
      <w:numPr>
        <w:ilvl w:val="6"/>
        <w:numId w:val="35"/>
      </w:numPr>
      <w:tabs>
        <w:tab w:val="left" w:pos="5040"/>
      </w:tabs>
      <w:spacing w:after="120"/>
      <w:ind w:left="5040" w:hanging="720"/>
      <w:outlineLvl w:val="6"/>
    </w:pPr>
    <w:rPr>
      <w:b/>
    </w:rPr>
  </w:style>
  <w:style w:type="paragraph" w:styleId="Heading8">
    <w:name w:val="heading 8"/>
    <w:basedOn w:val="Normal"/>
    <w:next w:val="ParaNum0"/>
    <w:qFormat/>
    <w:rsid w:val="001A388C"/>
    <w:pPr>
      <w:numPr>
        <w:ilvl w:val="7"/>
        <w:numId w:val="35"/>
      </w:numPr>
      <w:tabs>
        <w:tab w:val="clear" w:pos="5400"/>
        <w:tab w:val="left" w:pos="5760"/>
      </w:tabs>
      <w:spacing w:after="120"/>
      <w:ind w:left="5760" w:hanging="720"/>
      <w:outlineLvl w:val="7"/>
    </w:pPr>
    <w:rPr>
      <w:b/>
    </w:rPr>
  </w:style>
  <w:style w:type="paragraph" w:styleId="Heading9">
    <w:name w:val="heading 9"/>
    <w:basedOn w:val="Normal"/>
    <w:next w:val="ParaNum0"/>
    <w:qFormat/>
    <w:rsid w:val="001A388C"/>
    <w:pPr>
      <w:numPr>
        <w:ilvl w:val="8"/>
        <w:numId w:val="35"/>
      </w:numPr>
      <w:tabs>
        <w:tab w:val="clear" w:pos="6120"/>
        <w:tab w:val="left" w:pos="6480"/>
      </w:tabs>
      <w:spacing w:after="120"/>
      <w:ind w:left="6480" w:hanging="720"/>
      <w:outlineLvl w:val="8"/>
    </w:pPr>
    <w:rPr>
      <w:b/>
    </w:rPr>
  </w:style>
  <w:style w:type="character" w:default="1" w:styleId="DefaultParagraphFont">
    <w:name w:val="Default Paragraph Font"/>
    <w:semiHidden/>
    <w:rsid w:val="001A38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A388C"/>
  </w:style>
  <w:style w:type="paragraph" w:styleId="Header">
    <w:name w:val="header"/>
    <w:basedOn w:val="Normal"/>
    <w:autoRedefine/>
    <w:rsid w:val="001A388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1A388C"/>
    <w:pPr>
      <w:tabs>
        <w:tab w:val="center" w:pos="4320"/>
        <w:tab w:val="right" w:pos="8640"/>
      </w:tabs>
    </w:pPr>
  </w:style>
  <w:style w:type="character" w:styleId="Hyperlink">
    <w:name w:val="Hyperlink"/>
    <w:rsid w:val="001A388C"/>
    <w:rPr>
      <w:color w:val="0000FF"/>
      <w:u w:val="single"/>
    </w:rPr>
  </w:style>
  <w:style w:type="paragraph" w:styleId="BlockText">
    <w:name w:val="Block Text"/>
    <w:basedOn w:val="Normal"/>
    <w:rsid w:val="001A388C"/>
    <w:pPr>
      <w:spacing w:after="240"/>
      <w:ind w:left="1440" w:right="1440"/>
    </w:pPr>
  </w:style>
  <w:style w:type="paragraph" w:customStyle="1" w:styleId="Bullet">
    <w:name w:val="Bullet"/>
    <w:basedOn w:val="Normal"/>
    <w:rsid w:val="001A388C"/>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A388C"/>
    <w:rPr>
      <w:rFonts w:ascii="Times New Roman" w:hAnsi="Times New Roman"/>
      <w:dstrike w:val="0"/>
      <w:color w:val="auto"/>
      <w:sz w:val="22"/>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Char"/>
    <w:link w:val="FootnoteTextChar"/>
    <w:rsid w:val="001A388C"/>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1A388C"/>
    <w:pPr>
      <w:tabs>
        <w:tab w:val="left" w:pos="360"/>
        <w:tab w:val="right" w:leader="dot" w:pos="9360"/>
      </w:tabs>
      <w:suppressAutoHyphens/>
      <w:ind w:left="360" w:right="720" w:hanging="360"/>
    </w:pPr>
    <w:rPr>
      <w:caps/>
      <w:noProof/>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 Char1,ALTS FOOTNOTE Char2,Footnote Text Char Char Char Char Char Char Char,Footnote Text Char Char Char Char1,Footnote Text Char1 Char Char1,Footnote Text Char1 Char1 Char Char Char Char,f Char1,fn Char2"/>
    <w:basedOn w:val="DefaultParagraphFont"/>
    <w:link w:val="FootnoteText"/>
    <w:rsid w:val="00045B50"/>
  </w:style>
  <w:style w:type="character" w:customStyle="1" w:styleId="FooterChar">
    <w:name w:val="Footer Char"/>
    <w:link w:val="Footer"/>
    <w:uiPriority w:val="99"/>
    <w:rsid w:val="001A388C"/>
    <w:rPr>
      <w:snapToGrid w:val="0"/>
      <w:kern w:val="28"/>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Footnote Text Char2 Char Char Char Char,f Char,fn Char Char,fn Char1"/>
    <w:locked/>
    <w:rsid w:val="0073223F"/>
  </w:style>
  <w:style w:type="character" w:customStyle="1" w:styleId="apple-converted-space">
    <w:name w:val="apple-converted-space"/>
    <w:basedOn w:val="DefaultParagraphFont"/>
    <w:rsid w:val="00437F55"/>
  </w:style>
  <w:style w:type="paragraph" w:customStyle="1" w:styleId="ParaNum0">
    <w:name w:val="ParaNum"/>
    <w:basedOn w:val="Normal"/>
    <w:link w:val="ParaNumChar"/>
    <w:rsid w:val="001A388C"/>
    <w:pPr>
      <w:numPr>
        <w:numId w:val="33"/>
      </w:numPr>
      <w:tabs>
        <w:tab w:val="clear" w:pos="1080"/>
        <w:tab w:val="num" w:pos="1440"/>
      </w:tabs>
      <w:spacing w:after="120"/>
    </w:pPr>
  </w:style>
  <w:style w:type="character" w:customStyle="1" w:styleId="ParaNumChar">
    <w:name w:val="ParaNum Char"/>
    <w:link w:val="ParaNum0"/>
    <w:locked/>
    <w:rsid w:val="008B444E"/>
    <w:rPr>
      <w:snapToGrid w:val="0"/>
      <w:kern w:val="28"/>
      <w:sz w:val="22"/>
    </w:rPr>
  </w:style>
  <w:style w:type="character" w:customStyle="1" w:styleId="UnresolvedMention1">
    <w:name w:val="Unresolved Mention1"/>
    <w:basedOn w:val="DefaultParagraphFont"/>
    <w:uiPriority w:val="99"/>
    <w:semiHidden/>
    <w:unhideWhenUsed/>
    <w:rsid w:val="00EF5392"/>
    <w:rPr>
      <w:color w:val="808080"/>
      <w:shd w:val="clear" w:color="auto" w:fill="E6E6E6"/>
    </w:rPr>
  </w:style>
  <w:style w:type="character" w:customStyle="1" w:styleId="UnresolvedMention2">
    <w:name w:val="Unresolved Mention2"/>
    <w:basedOn w:val="DefaultParagraphFont"/>
    <w:uiPriority w:val="99"/>
    <w:semiHidden/>
    <w:unhideWhenUsed/>
    <w:rsid w:val="006970F8"/>
    <w:rPr>
      <w:color w:val="808080"/>
      <w:shd w:val="clear" w:color="auto" w:fill="E6E6E6"/>
    </w:rPr>
  </w:style>
  <w:style w:type="character" w:styleId="Emphasis">
    <w:name w:val="Emphasis"/>
    <w:basedOn w:val="DefaultParagraphFont"/>
    <w:uiPriority w:val="20"/>
    <w:qFormat/>
    <w:rsid w:val="008848D3"/>
    <w:rPr>
      <w:i/>
      <w:iCs/>
    </w:rPr>
  </w:style>
  <w:style w:type="character" w:customStyle="1" w:styleId="UnresolvedMention3">
    <w:name w:val="Unresolved Mention3"/>
    <w:basedOn w:val="DefaultParagraphFont"/>
    <w:uiPriority w:val="99"/>
    <w:semiHidden/>
    <w:unhideWhenUsed/>
    <w:rsid w:val="00BF4E16"/>
    <w:rPr>
      <w:color w:val="808080"/>
      <w:shd w:val="clear" w:color="auto" w:fill="E6E6E6"/>
    </w:rPr>
  </w:style>
  <w:style w:type="paragraph" w:customStyle="1" w:styleId="Footnotes2">
    <w:name w:val="Footnotes_2"/>
    <w:basedOn w:val="Normal"/>
    <w:link w:val="Footnotes2Char"/>
    <w:qFormat/>
    <w:rsid w:val="001C7657"/>
    <w:pPr>
      <w:tabs>
        <w:tab w:val="left" w:pos="720"/>
      </w:tabs>
      <w:ind w:left="720"/>
    </w:pPr>
    <w:rPr>
      <w:sz w:val="20"/>
    </w:rPr>
  </w:style>
  <w:style w:type="character" w:customStyle="1" w:styleId="Footnotes2Char">
    <w:name w:val="Footnotes_2 Char"/>
    <w:basedOn w:val="DefaultParagraphFont"/>
    <w:link w:val="Footnotes2"/>
    <w:rsid w:val="001C7657"/>
  </w:style>
  <w:style w:type="character" w:customStyle="1" w:styleId="UnresolvedMention4">
    <w:name w:val="Unresolved Mention4"/>
    <w:basedOn w:val="DefaultParagraphFont"/>
    <w:uiPriority w:val="99"/>
    <w:rsid w:val="00667010"/>
    <w:rPr>
      <w:color w:val="605E5C"/>
      <w:shd w:val="clear" w:color="auto" w:fill="E1DFDD"/>
    </w:rPr>
  </w:style>
  <w:style w:type="paragraph" w:styleId="EndnoteText">
    <w:name w:val="endnote text"/>
    <w:basedOn w:val="Normal"/>
    <w:link w:val="EndnoteTextChar"/>
    <w:semiHidden/>
    <w:rsid w:val="001A388C"/>
    <w:rPr>
      <w:sz w:val="20"/>
    </w:rPr>
  </w:style>
  <w:style w:type="character" w:customStyle="1" w:styleId="EndnoteTextChar">
    <w:name w:val="Endnote Text Char"/>
    <w:basedOn w:val="DefaultParagraphFont"/>
    <w:link w:val="EndnoteText"/>
    <w:semiHidden/>
    <w:rsid w:val="001D5E28"/>
    <w:rPr>
      <w:snapToGrid w:val="0"/>
      <w:kern w:val="28"/>
    </w:rPr>
  </w:style>
  <w:style w:type="character" w:styleId="EndnoteReference">
    <w:name w:val="endnote reference"/>
    <w:semiHidden/>
    <w:rsid w:val="001A388C"/>
    <w:rPr>
      <w:vertAlign w:val="superscript"/>
    </w:rPr>
  </w:style>
  <w:style w:type="paragraph" w:styleId="TOC2">
    <w:name w:val="toc 2"/>
    <w:basedOn w:val="Normal"/>
    <w:next w:val="Normal"/>
    <w:semiHidden/>
    <w:rsid w:val="001A388C"/>
    <w:pPr>
      <w:tabs>
        <w:tab w:val="left" w:pos="720"/>
        <w:tab w:val="right" w:leader="dot" w:pos="9360"/>
      </w:tabs>
      <w:suppressAutoHyphens/>
      <w:ind w:left="720" w:right="720" w:hanging="360"/>
    </w:pPr>
    <w:rPr>
      <w:noProof/>
    </w:rPr>
  </w:style>
  <w:style w:type="paragraph" w:styleId="TOC3">
    <w:name w:val="toc 3"/>
    <w:basedOn w:val="Normal"/>
    <w:next w:val="Normal"/>
    <w:semiHidden/>
    <w:rsid w:val="001A38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A38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38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38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38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38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38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388C"/>
    <w:pPr>
      <w:tabs>
        <w:tab w:val="right" w:pos="9360"/>
      </w:tabs>
      <w:suppressAutoHyphens/>
    </w:pPr>
  </w:style>
  <w:style w:type="character" w:customStyle="1" w:styleId="EquationCaption">
    <w:name w:val="_Equation Caption"/>
    <w:rsid w:val="001A388C"/>
  </w:style>
  <w:style w:type="character" w:styleId="PageNumber">
    <w:name w:val="page number"/>
    <w:basedOn w:val="DefaultParagraphFont"/>
    <w:rsid w:val="001A388C"/>
  </w:style>
  <w:style w:type="paragraph" w:customStyle="1" w:styleId="Paratitle">
    <w:name w:val="Para title"/>
    <w:basedOn w:val="Normal"/>
    <w:rsid w:val="001A388C"/>
    <w:pPr>
      <w:tabs>
        <w:tab w:val="center" w:pos="9270"/>
      </w:tabs>
      <w:spacing w:after="240"/>
    </w:pPr>
    <w:rPr>
      <w:spacing w:val="-2"/>
    </w:rPr>
  </w:style>
  <w:style w:type="paragraph" w:customStyle="1" w:styleId="TableFormat0">
    <w:name w:val="TableFormat"/>
    <w:basedOn w:val="Bullet"/>
    <w:rsid w:val="001A388C"/>
    <w:pPr>
      <w:numPr>
        <w:numId w:val="0"/>
      </w:numPr>
      <w:tabs>
        <w:tab w:val="clear" w:pos="2160"/>
        <w:tab w:val="left" w:pos="5040"/>
      </w:tabs>
      <w:ind w:left="5040" w:hanging="3600"/>
    </w:pPr>
  </w:style>
  <w:style w:type="paragraph" w:customStyle="1" w:styleId="TOCTitle">
    <w:name w:val="TOC Title"/>
    <w:basedOn w:val="Normal"/>
    <w:rsid w:val="001A38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388C"/>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