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7ABF" w:rsidRPr="006823C2" w:rsidP="00007ABF">
      <w:pPr>
        <w:jc w:val="center"/>
        <w:rPr>
          <w:b/>
          <w:szCs w:val="22"/>
        </w:rPr>
      </w:pPr>
      <w:r w:rsidRPr="006823C2">
        <w:rPr>
          <w:b/>
          <w:szCs w:val="22"/>
        </w:rPr>
        <w:t>Before the</w:t>
      </w:r>
    </w:p>
    <w:p w:rsidR="00007ABF" w:rsidRPr="006823C2" w:rsidP="00007ABF">
      <w:pPr>
        <w:jc w:val="center"/>
        <w:rPr>
          <w:b/>
          <w:szCs w:val="22"/>
        </w:rPr>
      </w:pPr>
      <w:r w:rsidRPr="006823C2">
        <w:rPr>
          <w:b/>
          <w:szCs w:val="22"/>
        </w:rPr>
        <w:t>Federal Communications Commission</w:t>
      </w:r>
    </w:p>
    <w:p w:rsidR="00007ABF" w:rsidRPr="006823C2" w:rsidP="00007ABF">
      <w:pPr>
        <w:jc w:val="center"/>
        <w:rPr>
          <w:b/>
          <w:szCs w:val="22"/>
        </w:rPr>
      </w:pPr>
      <w:r w:rsidRPr="006823C2">
        <w:rPr>
          <w:b/>
          <w:szCs w:val="22"/>
        </w:rPr>
        <w:t>Washington, D.C. 20554</w:t>
      </w:r>
    </w:p>
    <w:p w:rsidR="00007ABF" w:rsidRPr="006823C2" w:rsidP="00007ABF">
      <w:pPr>
        <w:rPr>
          <w:szCs w:val="22"/>
        </w:rPr>
      </w:pPr>
    </w:p>
    <w:p w:rsidR="00007ABF" w:rsidRPr="006823C2" w:rsidP="00007ABF">
      <w:pPr>
        <w:rPr>
          <w:szCs w:val="22"/>
        </w:rPr>
      </w:pPr>
    </w:p>
    <w:tbl>
      <w:tblPr>
        <w:tblW w:w="0" w:type="auto"/>
        <w:tblLayout w:type="fixed"/>
        <w:tblLook w:val="0000"/>
      </w:tblPr>
      <w:tblGrid>
        <w:gridCol w:w="4698"/>
        <w:gridCol w:w="720"/>
        <w:gridCol w:w="4230"/>
      </w:tblGrid>
      <w:tr w:rsidTr="003B47EC">
        <w:tblPrEx>
          <w:tblW w:w="0" w:type="auto"/>
          <w:tblLayout w:type="fixed"/>
          <w:tblLook w:val="0000"/>
        </w:tblPrEx>
        <w:tc>
          <w:tcPr>
            <w:tcW w:w="4698" w:type="dxa"/>
          </w:tcPr>
          <w:p w:rsidR="00007ABF" w:rsidRPr="006823C2" w:rsidP="003B47EC">
            <w:pPr>
              <w:ind w:right="-18"/>
              <w:rPr>
                <w:szCs w:val="22"/>
              </w:rPr>
            </w:pPr>
            <w:r w:rsidRPr="006823C2">
              <w:rPr>
                <w:szCs w:val="22"/>
              </w:rPr>
              <w:t>In the Matter of</w:t>
            </w:r>
          </w:p>
          <w:p w:rsidR="00007ABF" w:rsidRPr="006823C2" w:rsidP="003B47EC">
            <w:pPr>
              <w:ind w:right="-18"/>
              <w:rPr>
                <w:szCs w:val="22"/>
              </w:rPr>
            </w:pPr>
          </w:p>
          <w:p w:rsidR="00007ABF" w:rsidRPr="006823C2" w:rsidP="003B47EC">
            <w:pPr>
              <w:ind w:right="-18"/>
              <w:rPr>
                <w:szCs w:val="22"/>
              </w:rPr>
            </w:pPr>
            <w:r w:rsidRPr="006823C2">
              <w:rPr>
                <w:szCs w:val="22"/>
              </w:rPr>
              <w:t>Telephone Number Portability</w:t>
            </w:r>
          </w:p>
          <w:p w:rsidR="00007ABF" w:rsidRPr="006823C2" w:rsidP="003B47EC">
            <w:pPr>
              <w:ind w:right="-18"/>
              <w:rPr>
                <w:szCs w:val="22"/>
              </w:rPr>
            </w:pPr>
          </w:p>
          <w:p w:rsidR="00007ABF" w:rsidRPr="006823C2" w:rsidP="003B47EC">
            <w:pPr>
              <w:ind w:right="-18"/>
              <w:rPr>
                <w:szCs w:val="22"/>
              </w:rPr>
            </w:pPr>
            <w:r w:rsidRPr="006823C2">
              <w:rPr>
                <w:szCs w:val="22"/>
              </w:rPr>
              <w:t>Numbering Resource Optimization</w:t>
            </w:r>
          </w:p>
        </w:tc>
        <w:tc>
          <w:tcPr>
            <w:tcW w:w="720" w:type="dxa"/>
          </w:tcPr>
          <w:p w:rsidR="00007ABF" w:rsidRPr="006823C2" w:rsidP="003B47EC">
            <w:pPr>
              <w:rPr>
                <w:b/>
                <w:szCs w:val="22"/>
              </w:rPr>
            </w:pPr>
            <w:r w:rsidRPr="006823C2">
              <w:rPr>
                <w:b/>
                <w:szCs w:val="22"/>
              </w:rPr>
              <w:t>)</w:t>
            </w:r>
          </w:p>
          <w:p w:rsidR="00007ABF" w:rsidRPr="006823C2" w:rsidP="003B47EC">
            <w:pPr>
              <w:rPr>
                <w:b/>
                <w:szCs w:val="22"/>
              </w:rPr>
            </w:pPr>
            <w:r w:rsidRPr="006823C2">
              <w:rPr>
                <w:b/>
                <w:szCs w:val="22"/>
              </w:rPr>
              <w:t>)</w:t>
            </w:r>
          </w:p>
          <w:p w:rsidR="00007ABF" w:rsidRPr="006823C2" w:rsidP="003B47EC">
            <w:pPr>
              <w:rPr>
                <w:b/>
                <w:szCs w:val="22"/>
              </w:rPr>
            </w:pPr>
            <w:r w:rsidRPr="006823C2">
              <w:rPr>
                <w:b/>
                <w:szCs w:val="22"/>
              </w:rPr>
              <w:t>)</w:t>
            </w:r>
          </w:p>
          <w:p w:rsidR="00007ABF" w:rsidRPr="006823C2" w:rsidP="003B47EC">
            <w:pPr>
              <w:rPr>
                <w:b/>
                <w:szCs w:val="22"/>
              </w:rPr>
            </w:pPr>
            <w:r w:rsidRPr="006823C2">
              <w:rPr>
                <w:b/>
                <w:szCs w:val="22"/>
              </w:rPr>
              <w:t>)</w:t>
            </w:r>
          </w:p>
          <w:p w:rsidR="00007ABF" w:rsidRPr="006823C2" w:rsidP="003B47EC">
            <w:pPr>
              <w:rPr>
                <w:b/>
                <w:szCs w:val="22"/>
              </w:rPr>
            </w:pPr>
            <w:r w:rsidRPr="006823C2">
              <w:rPr>
                <w:b/>
                <w:szCs w:val="22"/>
              </w:rPr>
              <w:t>)</w:t>
            </w:r>
          </w:p>
          <w:p w:rsidR="00007ABF" w:rsidRPr="006823C2" w:rsidP="003B47EC">
            <w:pPr>
              <w:rPr>
                <w:b/>
                <w:szCs w:val="22"/>
              </w:rPr>
            </w:pPr>
          </w:p>
        </w:tc>
        <w:tc>
          <w:tcPr>
            <w:tcW w:w="4230" w:type="dxa"/>
          </w:tcPr>
          <w:p w:rsidR="00007ABF" w:rsidRPr="006823C2" w:rsidP="003B47EC">
            <w:pPr>
              <w:rPr>
                <w:szCs w:val="22"/>
              </w:rPr>
            </w:pPr>
          </w:p>
          <w:p w:rsidR="00007ABF" w:rsidRPr="006823C2" w:rsidP="003B47EC">
            <w:pPr>
              <w:rPr>
                <w:szCs w:val="22"/>
              </w:rPr>
            </w:pPr>
          </w:p>
          <w:p w:rsidR="00007ABF" w:rsidRPr="006823C2" w:rsidP="003B47EC">
            <w:pPr>
              <w:rPr>
                <w:szCs w:val="22"/>
              </w:rPr>
            </w:pPr>
            <w:r w:rsidRPr="006823C2">
              <w:rPr>
                <w:spacing w:val="-2"/>
                <w:szCs w:val="22"/>
              </w:rPr>
              <w:t xml:space="preserve">CC Docket No. </w:t>
            </w:r>
            <w:r>
              <w:rPr>
                <w:spacing w:val="-2"/>
                <w:szCs w:val="22"/>
              </w:rPr>
              <w:t>95-116</w:t>
            </w:r>
          </w:p>
          <w:p w:rsidR="00007ABF" w:rsidRPr="006823C2" w:rsidP="003B47EC">
            <w:pPr>
              <w:rPr>
                <w:szCs w:val="22"/>
              </w:rPr>
            </w:pPr>
          </w:p>
          <w:p w:rsidR="00007ABF" w:rsidRPr="006823C2" w:rsidP="003B47EC">
            <w:pPr>
              <w:rPr>
                <w:szCs w:val="22"/>
              </w:rPr>
            </w:pPr>
            <w:r w:rsidRPr="006823C2">
              <w:rPr>
                <w:szCs w:val="22"/>
              </w:rPr>
              <w:t xml:space="preserve">CC Docket No. </w:t>
            </w:r>
            <w:r>
              <w:rPr>
                <w:szCs w:val="22"/>
              </w:rPr>
              <w:t>99-200</w:t>
            </w:r>
          </w:p>
        </w:tc>
      </w:tr>
    </w:tbl>
    <w:p w:rsidR="00007ABF" w:rsidRPr="006823C2" w:rsidP="00007ABF">
      <w:pPr>
        <w:rPr>
          <w:szCs w:val="22"/>
        </w:rPr>
      </w:pPr>
    </w:p>
    <w:p w:rsidR="00007ABF" w:rsidRPr="006823C2" w:rsidP="00007ABF">
      <w:pPr>
        <w:spacing w:before="120"/>
        <w:jc w:val="center"/>
        <w:rPr>
          <w:b/>
          <w:szCs w:val="22"/>
        </w:rPr>
      </w:pPr>
      <w:r w:rsidRPr="006823C2">
        <w:rPr>
          <w:b/>
          <w:szCs w:val="22"/>
        </w:rPr>
        <w:t>ORDER</w:t>
      </w:r>
    </w:p>
    <w:p w:rsidR="00007ABF" w:rsidRPr="006823C2" w:rsidP="00007ABF">
      <w:pPr>
        <w:rPr>
          <w:szCs w:val="22"/>
        </w:rPr>
      </w:pPr>
    </w:p>
    <w:p w:rsidR="00007ABF" w:rsidRPr="006823C2" w:rsidP="00007ABF">
      <w:pPr>
        <w:tabs>
          <w:tab w:val="left" w:pos="5760"/>
        </w:tabs>
        <w:rPr>
          <w:b/>
          <w:szCs w:val="22"/>
        </w:rPr>
      </w:pPr>
      <w:r w:rsidRPr="006823C2">
        <w:rPr>
          <w:b/>
          <w:szCs w:val="22"/>
        </w:rPr>
        <w:t xml:space="preserve">Adopted:  </w:t>
      </w:r>
      <w:r>
        <w:rPr>
          <w:b/>
          <w:szCs w:val="22"/>
        </w:rPr>
        <w:t xml:space="preserve">August </w:t>
      </w:r>
      <w:r w:rsidR="00073301">
        <w:rPr>
          <w:b/>
          <w:szCs w:val="22"/>
        </w:rPr>
        <w:t>30</w:t>
      </w:r>
      <w:r w:rsidRPr="006823C2">
        <w:rPr>
          <w:b/>
          <w:spacing w:val="-2"/>
          <w:szCs w:val="22"/>
        </w:rPr>
        <w:t>, 201</w:t>
      </w:r>
      <w:r>
        <w:rPr>
          <w:b/>
          <w:spacing w:val="-2"/>
          <w:szCs w:val="22"/>
        </w:rPr>
        <w:t>9</w:t>
      </w:r>
      <w:r w:rsidRPr="006823C2">
        <w:rPr>
          <w:b/>
          <w:szCs w:val="22"/>
        </w:rPr>
        <w:tab/>
        <w:t xml:space="preserve">Released:  </w:t>
      </w:r>
      <w:r>
        <w:rPr>
          <w:b/>
          <w:szCs w:val="22"/>
        </w:rPr>
        <w:t xml:space="preserve">August </w:t>
      </w:r>
      <w:r w:rsidR="00073301">
        <w:rPr>
          <w:b/>
          <w:szCs w:val="22"/>
        </w:rPr>
        <w:t>30</w:t>
      </w:r>
      <w:bookmarkStart w:id="0" w:name="_GoBack"/>
      <w:bookmarkEnd w:id="0"/>
      <w:r w:rsidRPr="006823C2">
        <w:rPr>
          <w:b/>
          <w:spacing w:val="-2"/>
          <w:szCs w:val="22"/>
        </w:rPr>
        <w:t>, 201</w:t>
      </w:r>
      <w:r>
        <w:rPr>
          <w:b/>
          <w:spacing w:val="-2"/>
          <w:szCs w:val="22"/>
        </w:rPr>
        <w:t>9</w:t>
      </w:r>
    </w:p>
    <w:p w:rsidR="00007ABF" w:rsidRPr="006823C2" w:rsidP="00007ABF">
      <w:pPr>
        <w:tabs>
          <w:tab w:val="left" w:pos="5760"/>
        </w:tabs>
        <w:rPr>
          <w:b/>
          <w:szCs w:val="22"/>
        </w:rPr>
      </w:pPr>
    </w:p>
    <w:p w:rsidR="00007ABF" w:rsidRPr="006823C2" w:rsidP="00007ABF">
      <w:pPr>
        <w:tabs>
          <w:tab w:val="left" w:pos="5760"/>
        </w:tabs>
        <w:rPr>
          <w:szCs w:val="22"/>
        </w:rPr>
      </w:pPr>
      <w:r w:rsidRPr="006823C2">
        <w:rPr>
          <w:szCs w:val="22"/>
        </w:rPr>
        <w:t>By the</w:t>
      </w:r>
      <w:r w:rsidRPr="006823C2">
        <w:rPr>
          <w:spacing w:val="-2"/>
          <w:szCs w:val="22"/>
        </w:rPr>
        <w:t xml:space="preserve"> Chief, Wireline Competition Bureau:</w:t>
      </w:r>
    </w:p>
    <w:p w:rsidR="00007ABF" w:rsidRPr="006823C2" w:rsidP="00007ABF">
      <w:pPr>
        <w:pStyle w:val="Heading1"/>
        <w:numPr>
          <w:ilvl w:val="0"/>
          <w:numId w:val="0"/>
        </w:numPr>
        <w:rPr>
          <w:szCs w:val="22"/>
        </w:rPr>
      </w:pPr>
    </w:p>
    <w:p w:rsidR="00007ABF" w:rsidRPr="00772399" w:rsidP="00007ABF">
      <w:pPr>
        <w:pStyle w:val="ParaNum"/>
        <w:widowControl/>
        <w:numPr>
          <w:ilvl w:val="0"/>
          <w:numId w:val="7"/>
        </w:numPr>
        <w:tabs>
          <w:tab w:val="left" w:pos="1440"/>
        </w:tabs>
        <w:spacing w:after="220"/>
        <w:rPr>
          <w:szCs w:val="22"/>
        </w:rPr>
      </w:pPr>
      <w:r w:rsidRPr="00184BEB">
        <w:rPr>
          <w:szCs w:val="22"/>
        </w:rPr>
        <w:t xml:space="preserve"> </w:t>
      </w:r>
      <w:r>
        <w:rPr>
          <w:szCs w:val="22"/>
        </w:rPr>
        <w:t xml:space="preserve">On August 27, 2019, </w:t>
      </w:r>
      <w:r w:rsidRPr="00F962E5">
        <w:rPr>
          <w:szCs w:val="22"/>
        </w:rPr>
        <w:t xml:space="preserve">the Federal Emergency Management Agency (FEMA), Department of Homeland Security, </w:t>
      </w:r>
      <w:r>
        <w:rPr>
          <w:szCs w:val="22"/>
        </w:rPr>
        <w:t xml:space="preserve">announced that the President had signed a declaration for the Commonwealth of Puerto Rico </w:t>
      </w:r>
      <w:r w:rsidRPr="00F962E5">
        <w:rPr>
          <w:szCs w:val="22"/>
        </w:rPr>
        <w:t>due</w:t>
      </w:r>
      <w:r>
        <w:rPr>
          <w:szCs w:val="22"/>
        </w:rPr>
        <w:t xml:space="preserve"> to then</w:t>
      </w:r>
      <w:r w:rsidRPr="00F962E5">
        <w:rPr>
          <w:szCs w:val="22"/>
        </w:rPr>
        <w:t xml:space="preserve"> </w:t>
      </w:r>
      <w:r>
        <w:rPr>
          <w:szCs w:val="22"/>
        </w:rPr>
        <w:t>Tropical Storm Dorian, which has since been classified as a hurricane.</w:t>
      </w:r>
      <w:r>
        <w:rPr>
          <w:rStyle w:val="FootnoteReference"/>
          <w:sz w:val="22"/>
          <w:szCs w:val="22"/>
        </w:rPr>
        <w:footnoteReference w:id="3"/>
      </w:r>
      <w:r w:rsidRPr="00F962E5">
        <w:rPr>
          <w:szCs w:val="22"/>
        </w:rPr>
        <w:t xml:space="preserve"> </w:t>
      </w:r>
      <w:r>
        <w:rPr>
          <w:szCs w:val="22"/>
        </w:rPr>
        <w:t xml:space="preserve"> Likewise, on August 28, 2019, FEMA announced that the President had signed a declaration for the U.S. Virgin Islands due to Hurricane Dorian.</w:t>
      </w:r>
      <w:r>
        <w:rPr>
          <w:rStyle w:val="FootnoteReference"/>
          <w:szCs w:val="22"/>
        </w:rPr>
        <w:footnoteReference w:id="4"/>
      </w:r>
      <w:r>
        <w:rPr>
          <w:szCs w:val="22"/>
        </w:rPr>
        <w:t xml:space="preserve">  Hurricane Dorian has brought strong winds, rough surf, heavy rainfall, and flooding over Puerto Rico and </w:t>
      </w:r>
      <w:r w:rsidRPr="001E0A72">
        <w:rPr>
          <w:szCs w:val="22"/>
        </w:rPr>
        <w:t>the U.S. Virgin Islands</w:t>
      </w:r>
      <w:r>
        <w:rPr>
          <w:szCs w:val="22"/>
        </w:rPr>
        <w:t xml:space="preserve"> and is forecast to intensify into a major hurricane with impacts possible over the Southeast U.S. coast.</w:t>
      </w:r>
      <w:r>
        <w:rPr>
          <w:rStyle w:val="FootnoteReference"/>
          <w:szCs w:val="22"/>
        </w:rPr>
        <w:footnoteReference w:id="5"/>
      </w:r>
      <w:r>
        <w:rPr>
          <w:szCs w:val="22"/>
        </w:rPr>
        <w:t xml:space="preserve">  It is expected to cause significant damage in the areas within its path, and may result in significant property damage and personal injury.</w:t>
      </w:r>
      <w:r w:rsidRPr="00C267BD">
        <w:rPr>
          <w:szCs w:val="22"/>
        </w:rPr>
        <w:t xml:space="preserve"> </w:t>
      </w:r>
      <w:r>
        <w:rPr>
          <w:szCs w:val="22"/>
        </w:rPr>
        <w:t xml:space="preserve"> Hurricane Dorian may also cause substantial telephone service outages in all affected areas.  </w:t>
      </w:r>
      <w:r>
        <w:rPr>
          <w:color w:val="000000"/>
          <w:szCs w:val="22"/>
        </w:rPr>
        <w:t>T</w:t>
      </w:r>
      <w:r w:rsidRPr="00F962E5">
        <w:rPr>
          <w:color w:val="000000"/>
          <w:szCs w:val="22"/>
        </w:rPr>
        <w:t xml:space="preserve">o assist </w:t>
      </w:r>
      <w:r>
        <w:rPr>
          <w:color w:val="000000"/>
          <w:szCs w:val="22"/>
        </w:rPr>
        <w:t xml:space="preserve">telephone subscribers </w:t>
      </w:r>
      <w:r w:rsidRPr="00F962E5">
        <w:rPr>
          <w:color w:val="000000"/>
          <w:szCs w:val="22"/>
        </w:rPr>
        <w:t xml:space="preserve">in </w:t>
      </w:r>
      <w:r>
        <w:rPr>
          <w:color w:val="000000"/>
          <w:szCs w:val="22"/>
        </w:rPr>
        <w:t xml:space="preserve">those areas, </w:t>
      </w:r>
      <w:r w:rsidRPr="00F962E5">
        <w:rPr>
          <w:color w:val="000000"/>
          <w:szCs w:val="22"/>
        </w:rPr>
        <w:t xml:space="preserve">we </w:t>
      </w:r>
      <w:bookmarkStart w:id="1" w:name="Document1zzSDUNumber2"/>
      <w:bookmarkEnd w:id="1"/>
      <w:r w:rsidRPr="00F962E5">
        <w:rPr>
          <w:color w:val="000000"/>
          <w:szCs w:val="22"/>
        </w:rPr>
        <w:t>grant, on our own motion, a tem</w:t>
      </w:r>
      <w:r>
        <w:rPr>
          <w:color w:val="000000"/>
          <w:szCs w:val="22"/>
        </w:rPr>
        <w:t>porary waiver of the Commission’</w:t>
      </w:r>
      <w:r w:rsidRPr="00F962E5">
        <w:rPr>
          <w:color w:val="000000"/>
          <w:szCs w:val="22"/>
        </w:rPr>
        <w:t xml:space="preserve">s </w:t>
      </w:r>
      <w:r>
        <w:rPr>
          <w:color w:val="000000"/>
          <w:szCs w:val="22"/>
        </w:rPr>
        <w:t>telephone number “aging” rule.  Specifically, we waive section 52.15(f)(ii), which states that service providers may only age telephone numbers that have been disconnected for up to 90 days before assigning them to other customers.</w:t>
      </w:r>
      <w:r>
        <w:rPr>
          <w:rStyle w:val="FootnoteReference"/>
          <w:szCs w:val="22"/>
        </w:rPr>
        <w:footnoteReference w:id="6"/>
      </w:r>
      <w:r>
        <w:rPr>
          <w:color w:val="000000"/>
          <w:szCs w:val="22"/>
        </w:rPr>
        <w:t xml:space="preserve"> </w:t>
      </w:r>
    </w:p>
    <w:p w:rsidR="00007ABF" w:rsidRPr="00184BEB" w:rsidP="00007ABF">
      <w:pPr>
        <w:pStyle w:val="ParaNum"/>
        <w:widowControl/>
        <w:numPr>
          <w:ilvl w:val="0"/>
          <w:numId w:val="7"/>
        </w:numPr>
        <w:tabs>
          <w:tab w:val="left" w:pos="1440"/>
        </w:tabs>
        <w:spacing w:after="240"/>
        <w:rPr>
          <w:szCs w:val="22"/>
        </w:rPr>
      </w:pPr>
      <w:r>
        <w:rPr>
          <w:szCs w:val="22"/>
        </w:rPr>
        <w:t>There is good cause for this waiver, as required by s</w:t>
      </w:r>
      <w:r w:rsidRPr="00184BEB">
        <w:rPr>
          <w:szCs w:val="22"/>
        </w:rPr>
        <w:t>ection 1.3 of our rules</w:t>
      </w:r>
      <w:r>
        <w:rPr>
          <w:szCs w:val="22"/>
        </w:rPr>
        <w:t>.</w:t>
      </w:r>
      <w:r>
        <w:rPr>
          <w:rStyle w:val="FootnoteReference"/>
          <w:sz w:val="22"/>
          <w:szCs w:val="22"/>
        </w:rPr>
        <w:footnoteReference w:id="7"/>
      </w:r>
      <w:r w:rsidRPr="00184BEB">
        <w:rPr>
          <w:szCs w:val="22"/>
        </w:rPr>
        <w:t xml:space="preserve"> </w:t>
      </w:r>
      <w:r>
        <w:rPr>
          <w:szCs w:val="22"/>
        </w:rPr>
        <w:t xml:space="preserve"> Assisting </w:t>
      </w:r>
      <w:r>
        <w:rPr>
          <w:color w:val="000000"/>
          <w:szCs w:val="22"/>
        </w:rPr>
        <w:t>residential subscribers who are dealing with the effects of a hurricane or major storm</w:t>
      </w:r>
      <w:r w:rsidRPr="00184BEB">
        <w:rPr>
          <w:color w:val="000000"/>
          <w:szCs w:val="22"/>
        </w:rPr>
        <w:t xml:space="preserve"> is in the public interest </w:t>
      </w:r>
      <w:r>
        <w:rPr>
          <w:color w:val="000000"/>
          <w:szCs w:val="22"/>
        </w:rPr>
        <w:t>and thus warrants a</w:t>
      </w:r>
      <w:r w:rsidRPr="00184BEB">
        <w:rPr>
          <w:color w:val="000000"/>
          <w:szCs w:val="22"/>
        </w:rPr>
        <w:t xml:space="preserve"> temporar</w:t>
      </w:r>
      <w:r>
        <w:rPr>
          <w:color w:val="000000"/>
          <w:szCs w:val="22"/>
        </w:rPr>
        <w:t>y</w:t>
      </w:r>
      <w:r w:rsidRPr="00184BEB">
        <w:rPr>
          <w:color w:val="000000"/>
          <w:szCs w:val="22"/>
        </w:rPr>
        <w:t xml:space="preserve"> waive</w:t>
      </w:r>
      <w:r>
        <w:rPr>
          <w:color w:val="000000"/>
          <w:szCs w:val="22"/>
        </w:rPr>
        <w:t>r of</w:t>
      </w:r>
      <w:r w:rsidRPr="00184BEB">
        <w:rPr>
          <w:color w:val="000000"/>
          <w:szCs w:val="22"/>
        </w:rPr>
        <w:t xml:space="preserve"> section 52.15(f)(ii) of the Commission’s rules</w:t>
      </w:r>
      <w:r>
        <w:rPr>
          <w:color w:val="000000"/>
          <w:szCs w:val="22"/>
        </w:rPr>
        <w:t xml:space="preserve">.  </w:t>
      </w:r>
      <w:r w:rsidRPr="00F962E5">
        <w:rPr>
          <w:color w:val="000000"/>
          <w:szCs w:val="22"/>
        </w:rPr>
        <w:t xml:space="preserve">Waiver of </w:t>
      </w:r>
      <w:r>
        <w:rPr>
          <w:color w:val="000000"/>
          <w:szCs w:val="22"/>
        </w:rPr>
        <w:t>section 52.15(f)(ii)</w:t>
      </w:r>
      <w:r w:rsidRPr="00F962E5">
        <w:rPr>
          <w:color w:val="000000"/>
          <w:szCs w:val="22"/>
        </w:rPr>
        <w:t xml:space="preserve"> will allow </w:t>
      </w:r>
      <w:r>
        <w:rPr>
          <w:color w:val="000000"/>
          <w:szCs w:val="22"/>
        </w:rPr>
        <w:t xml:space="preserve">service providers </w:t>
      </w:r>
      <w:r w:rsidRPr="00F962E5">
        <w:rPr>
          <w:color w:val="000000"/>
          <w:szCs w:val="22"/>
        </w:rPr>
        <w:t>in the affected areas</w:t>
      </w:r>
      <w:r>
        <w:rPr>
          <w:color w:val="000000"/>
          <w:szCs w:val="22"/>
        </w:rPr>
        <w:t>, upon customers’ request,</w:t>
      </w:r>
      <w:r w:rsidRPr="00F962E5">
        <w:rPr>
          <w:color w:val="000000"/>
          <w:szCs w:val="22"/>
        </w:rPr>
        <w:t xml:space="preserve"> to disconnect temporarily customers</w:t>
      </w:r>
      <w:r>
        <w:rPr>
          <w:color w:val="000000"/>
          <w:szCs w:val="22"/>
        </w:rPr>
        <w:t>’</w:t>
      </w:r>
      <w:r w:rsidRPr="00F962E5">
        <w:rPr>
          <w:color w:val="000000"/>
          <w:szCs w:val="22"/>
        </w:rPr>
        <w:t xml:space="preserve"> telephone service</w:t>
      </w:r>
      <w:r>
        <w:rPr>
          <w:color w:val="000000"/>
          <w:szCs w:val="22"/>
        </w:rPr>
        <w:t xml:space="preserve"> </w:t>
      </w:r>
      <w:r w:rsidRPr="00F962E5">
        <w:rPr>
          <w:color w:val="000000"/>
          <w:szCs w:val="22"/>
        </w:rPr>
        <w:t xml:space="preserve">to avoid billing issues, and then reinstate the </w:t>
      </w:r>
      <w:r>
        <w:rPr>
          <w:color w:val="000000"/>
          <w:szCs w:val="22"/>
        </w:rPr>
        <w:t xml:space="preserve">customers’ </w:t>
      </w:r>
      <w:r w:rsidRPr="00F962E5">
        <w:rPr>
          <w:color w:val="000000"/>
          <w:szCs w:val="22"/>
        </w:rPr>
        <w:t>same number</w:t>
      </w:r>
      <w:r>
        <w:rPr>
          <w:color w:val="000000"/>
          <w:szCs w:val="22"/>
        </w:rPr>
        <w:t>s</w:t>
      </w:r>
      <w:r w:rsidRPr="00F962E5">
        <w:rPr>
          <w:color w:val="000000"/>
          <w:szCs w:val="22"/>
        </w:rPr>
        <w:t xml:space="preserve"> when service is reconnected. </w:t>
      </w:r>
      <w:r>
        <w:rPr>
          <w:color w:val="000000"/>
          <w:szCs w:val="22"/>
        </w:rPr>
        <w:t xml:space="preserve"> </w:t>
      </w:r>
      <w:r w:rsidRPr="00184BEB">
        <w:rPr>
          <w:color w:val="000000"/>
          <w:szCs w:val="22"/>
        </w:rPr>
        <w:t xml:space="preserve">This waiver applies to all </w:t>
      </w:r>
      <w:r>
        <w:rPr>
          <w:color w:val="000000"/>
          <w:szCs w:val="22"/>
        </w:rPr>
        <w:t xml:space="preserve">companies </w:t>
      </w:r>
      <w:r w:rsidRPr="00184BEB">
        <w:rPr>
          <w:color w:val="000000"/>
          <w:szCs w:val="22"/>
        </w:rPr>
        <w:t>that provide service in</w:t>
      </w:r>
      <w:r>
        <w:rPr>
          <w:color w:val="000000"/>
          <w:szCs w:val="22"/>
        </w:rPr>
        <w:t xml:space="preserve"> areas of Puerto Rico and the U.S. Virgin Islands affected by Hurricane Dorian.  </w:t>
      </w:r>
      <w:r w:rsidRPr="00184BEB">
        <w:rPr>
          <w:color w:val="000000"/>
          <w:szCs w:val="22"/>
        </w:rPr>
        <w:t xml:space="preserve">This waiver is in effect immediately and for a nine-month period, expiring on </w:t>
      </w:r>
      <w:r>
        <w:rPr>
          <w:color w:val="000000"/>
          <w:szCs w:val="22"/>
        </w:rPr>
        <w:t>May 29</w:t>
      </w:r>
      <w:r w:rsidRPr="00261975">
        <w:rPr>
          <w:color w:val="000000"/>
          <w:szCs w:val="22"/>
        </w:rPr>
        <w:t>,</w:t>
      </w:r>
      <w:r>
        <w:rPr>
          <w:color w:val="000000"/>
          <w:szCs w:val="22"/>
        </w:rPr>
        <w:t xml:space="preserve"> 2020.</w:t>
      </w:r>
      <w:r w:rsidRPr="00184BEB">
        <w:rPr>
          <w:color w:val="000000"/>
          <w:szCs w:val="22"/>
        </w:rPr>
        <w:t xml:space="preserve"> </w:t>
      </w:r>
      <w:r>
        <w:rPr>
          <w:color w:val="000000"/>
          <w:szCs w:val="22"/>
        </w:rPr>
        <w:t xml:space="preserve"> This waiver of the aging rule will also apply, without need for further action by the Wireline Competition Bureau, to residential customers in other areas for which the President declares states of emergency due to Hurricane Dorian.  These waivers will expire 270 days from the date the President declares a state of emergency for the area(s) affected. </w:t>
      </w:r>
    </w:p>
    <w:p w:rsidR="00007ABF" w:rsidRPr="00184BEB" w:rsidP="00007ABF">
      <w:pPr>
        <w:pStyle w:val="ParaNum"/>
        <w:widowControl/>
        <w:numPr>
          <w:ilvl w:val="0"/>
          <w:numId w:val="7"/>
        </w:numPr>
        <w:tabs>
          <w:tab w:val="left" w:pos="1440"/>
        </w:tabs>
        <w:spacing w:after="220"/>
        <w:rPr>
          <w:szCs w:val="22"/>
        </w:rPr>
      </w:pPr>
      <w:r>
        <w:rPr>
          <w:szCs w:val="22"/>
        </w:rPr>
        <w:t>Also, b</w:t>
      </w:r>
      <w:r w:rsidRPr="00184BEB">
        <w:rPr>
          <w:szCs w:val="22"/>
        </w:rPr>
        <w:t xml:space="preserve">ecause of substantial damage to telecommunications systems we expect to be caused by </w:t>
      </w:r>
      <w:r>
        <w:rPr>
          <w:szCs w:val="22"/>
        </w:rPr>
        <w:t>Hurricane Dorian</w:t>
      </w:r>
      <w:r w:rsidRPr="00184BEB">
        <w:rPr>
          <w:szCs w:val="22"/>
        </w:rPr>
        <w:t xml:space="preserve"> to </w:t>
      </w:r>
      <w:r>
        <w:rPr>
          <w:szCs w:val="22"/>
        </w:rPr>
        <w:t>areas within its path</w:t>
      </w:r>
      <w:r w:rsidRPr="00184BEB">
        <w:rPr>
          <w:szCs w:val="22"/>
        </w:rPr>
        <w:t xml:space="preserve">, </w:t>
      </w:r>
      <w:r w:rsidRPr="00184BEB">
        <w:rPr>
          <w:snapToGrid/>
          <w:color w:val="000000"/>
          <w:kern w:val="0"/>
          <w:szCs w:val="22"/>
        </w:rPr>
        <w:t xml:space="preserve">we recognize that customers </w:t>
      </w:r>
      <w:r w:rsidRPr="00184BEB">
        <w:rPr>
          <w:snapToGrid/>
          <w:kern w:val="0"/>
          <w:szCs w:val="22"/>
        </w:rPr>
        <w:t xml:space="preserve">in the affected </w:t>
      </w:r>
      <w:r>
        <w:rPr>
          <w:snapToGrid/>
          <w:kern w:val="0"/>
          <w:szCs w:val="22"/>
        </w:rPr>
        <w:t xml:space="preserve">areas </w:t>
      </w:r>
      <w:r w:rsidRPr="00184BEB">
        <w:rPr>
          <w:snapToGrid/>
          <w:kern w:val="0"/>
          <w:szCs w:val="22"/>
        </w:rPr>
        <w:t xml:space="preserve">may </w:t>
      </w:r>
      <w:r>
        <w:rPr>
          <w:snapToGrid/>
          <w:kern w:val="0"/>
          <w:szCs w:val="22"/>
        </w:rPr>
        <w:t xml:space="preserve">wish </w:t>
      </w:r>
      <w:r w:rsidRPr="00184BEB">
        <w:rPr>
          <w:snapToGrid/>
          <w:kern w:val="0"/>
          <w:szCs w:val="22"/>
        </w:rPr>
        <w:t xml:space="preserve">to port numbers to locations outside </w:t>
      </w:r>
      <w:r>
        <w:rPr>
          <w:snapToGrid/>
          <w:kern w:val="0"/>
          <w:szCs w:val="22"/>
        </w:rPr>
        <w:t xml:space="preserve">their </w:t>
      </w:r>
      <w:r w:rsidRPr="00184BEB">
        <w:rPr>
          <w:snapToGrid/>
          <w:kern w:val="0"/>
          <w:szCs w:val="22"/>
        </w:rPr>
        <w:t xml:space="preserve">rate centers. </w:t>
      </w:r>
      <w:r>
        <w:rPr>
          <w:snapToGrid/>
          <w:kern w:val="0"/>
          <w:szCs w:val="22"/>
        </w:rPr>
        <w:t xml:space="preserve"> </w:t>
      </w:r>
      <w:r>
        <w:rPr>
          <w:snapToGrid/>
          <w:color w:val="000000"/>
          <w:kern w:val="0"/>
          <w:szCs w:val="22"/>
        </w:rPr>
        <w:t xml:space="preserve">To facilitate their customers’ continued access to telecommunications service </w:t>
      </w:r>
      <w:r>
        <w:rPr>
          <w:snapToGrid/>
          <w:kern w:val="0"/>
          <w:szCs w:val="22"/>
        </w:rPr>
        <w:t xml:space="preserve">following the hurricane, </w:t>
      </w:r>
      <w:r w:rsidRPr="00184BEB">
        <w:rPr>
          <w:snapToGrid/>
          <w:kern w:val="0"/>
          <w:szCs w:val="22"/>
        </w:rPr>
        <w:t xml:space="preserve">we encourage </w:t>
      </w:r>
      <w:r>
        <w:rPr>
          <w:snapToGrid/>
          <w:color w:val="000000"/>
          <w:kern w:val="0"/>
          <w:szCs w:val="22"/>
        </w:rPr>
        <w:t xml:space="preserve">service providers </w:t>
      </w:r>
      <w:r w:rsidRPr="00184BEB">
        <w:rPr>
          <w:snapToGrid/>
          <w:color w:val="000000"/>
          <w:kern w:val="0"/>
          <w:szCs w:val="22"/>
        </w:rPr>
        <w:t xml:space="preserve">to port telephone numbers geographically outside a rate center to the extent it is technically feasible.  </w:t>
      </w:r>
      <w:r w:rsidRPr="00184BEB">
        <w:rPr>
          <w:snapToGrid/>
          <w:kern w:val="0"/>
          <w:szCs w:val="22"/>
        </w:rPr>
        <w:t xml:space="preserve">We also encourage all </w:t>
      </w:r>
      <w:r>
        <w:rPr>
          <w:snapToGrid/>
          <w:kern w:val="0"/>
          <w:szCs w:val="22"/>
        </w:rPr>
        <w:t xml:space="preserve">service providers </w:t>
      </w:r>
      <w:r w:rsidRPr="00184BEB">
        <w:rPr>
          <w:snapToGrid/>
          <w:kern w:val="0"/>
          <w:szCs w:val="22"/>
        </w:rPr>
        <w:t xml:space="preserve">in the </w:t>
      </w:r>
      <w:r>
        <w:rPr>
          <w:snapToGrid/>
          <w:kern w:val="0"/>
          <w:szCs w:val="22"/>
        </w:rPr>
        <w:t xml:space="preserve">areas </w:t>
      </w:r>
      <w:r w:rsidRPr="00184BEB">
        <w:rPr>
          <w:snapToGrid/>
          <w:kern w:val="0"/>
          <w:szCs w:val="22"/>
        </w:rPr>
        <w:t xml:space="preserve">affected </w:t>
      </w:r>
      <w:r>
        <w:rPr>
          <w:snapToGrid/>
          <w:kern w:val="0"/>
          <w:szCs w:val="22"/>
        </w:rPr>
        <w:t>by Hurricane Dorian t</w:t>
      </w:r>
      <w:r w:rsidRPr="00184BEB">
        <w:rPr>
          <w:snapToGrid/>
          <w:kern w:val="0"/>
          <w:szCs w:val="22"/>
        </w:rPr>
        <w:t xml:space="preserve">o waive call forwarding, message center, and voicemail service charges for affected customers, to the extent lawfully permitted, until the customers’ service is restored.   </w:t>
      </w:r>
    </w:p>
    <w:p w:rsidR="00007ABF" w:rsidRPr="006823C2" w:rsidP="00007ABF">
      <w:pPr>
        <w:pStyle w:val="ParaNum"/>
        <w:numPr>
          <w:ilvl w:val="0"/>
          <w:numId w:val="7"/>
        </w:numPr>
        <w:rPr>
          <w:szCs w:val="22"/>
        </w:rPr>
      </w:pPr>
      <w:r w:rsidRPr="002218A8">
        <w:rPr>
          <w:szCs w:val="22"/>
        </w:rPr>
        <w:t>Accordingly, IT IS ORDERED, pursuant to sections 4(</w:t>
      </w:r>
      <w:r w:rsidRPr="002218A8">
        <w:rPr>
          <w:szCs w:val="22"/>
        </w:rPr>
        <w:t>i</w:t>
      </w:r>
      <w:r w:rsidRPr="002218A8">
        <w:rPr>
          <w:szCs w:val="22"/>
        </w:rPr>
        <w:t>), 251(b)(2), and 251(e) of the Communications Act of 1934, as amended, 47 U.S.C. §§ 154(</w:t>
      </w:r>
      <w:r w:rsidRPr="002218A8">
        <w:rPr>
          <w:szCs w:val="22"/>
        </w:rPr>
        <w:t>i</w:t>
      </w:r>
      <w:r w:rsidRPr="002218A8">
        <w:rPr>
          <w:szCs w:val="22"/>
        </w:rPr>
        <w:t xml:space="preserve">), 251(b)(2) and 251(e), and sections 0.291 and 1.3 of the Commission’s rules, 47 CFR §§ 0.291, 1.3, that section 52.15(f)(ii), </w:t>
      </w:r>
      <w:hyperlink r:id="rId5" w:history="1">
        <w:r w:rsidRPr="002218A8">
          <w:rPr>
            <w:szCs w:val="22"/>
          </w:rPr>
          <w:t>47 CFR § 52.15(f)(ii)</w:t>
        </w:r>
      </w:hyperlink>
      <w:r w:rsidRPr="002218A8">
        <w:rPr>
          <w:szCs w:val="22"/>
        </w:rPr>
        <w:t xml:space="preserve">, </w:t>
      </w:r>
      <w:r w:rsidRPr="002218A8">
        <w:rPr>
          <w:color w:val="000000"/>
          <w:szCs w:val="22"/>
        </w:rPr>
        <w:t xml:space="preserve">is waived to the extent herein described herein. </w:t>
      </w:r>
    </w:p>
    <w:p w:rsidR="00007ABF" w:rsidRPr="00184BEB" w:rsidP="00007ABF">
      <w:pPr>
        <w:pStyle w:val="ParaNum"/>
        <w:widowControl/>
        <w:numPr>
          <w:ilvl w:val="0"/>
          <w:numId w:val="0"/>
        </w:numPr>
        <w:tabs>
          <w:tab w:val="left" w:pos="1440"/>
        </w:tabs>
        <w:spacing w:after="240"/>
        <w:ind w:left="630"/>
        <w:rPr>
          <w:szCs w:val="22"/>
        </w:rPr>
      </w:pPr>
    </w:p>
    <w:p w:rsidR="00007ABF" w:rsidRPr="006823C2" w:rsidP="00007ABF">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007ABF" w:rsidP="00007ABF">
      <w:pPr>
        <w:pStyle w:val="ParaNum"/>
        <w:numPr>
          <w:ilvl w:val="0"/>
          <w:numId w:val="0"/>
        </w:numPr>
        <w:ind w:firstLine="720"/>
        <w:contextualSpacing/>
        <w:rPr>
          <w:szCs w:val="22"/>
        </w:rPr>
      </w:pPr>
    </w:p>
    <w:p w:rsidR="00007ABF" w:rsidP="00007ABF">
      <w:pPr>
        <w:pStyle w:val="ParaNum"/>
        <w:numPr>
          <w:ilvl w:val="0"/>
          <w:numId w:val="0"/>
        </w:numPr>
        <w:ind w:firstLine="720"/>
        <w:contextualSpacing/>
        <w:rPr>
          <w:szCs w:val="22"/>
        </w:rPr>
      </w:pPr>
    </w:p>
    <w:p w:rsidR="00007ABF" w:rsidRPr="006823C2" w:rsidP="00007ABF">
      <w:pPr>
        <w:pStyle w:val="ParaNum"/>
        <w:numPr>
          <w:ilvl w:val="0"/>
          <w:numId w:val="0"/>
        </w:numPr>
        <w:ind w:firstLine="720"/>
        <w:contextualSpacing/>
        <w:rPr>
          <w:szCs w:val="22"/>
        </w:rPr>
      </w:pPr>
    </w:p>
    <w:p w:rsidR="00007ABF" w:rsidRPr="006823C2" w:rsidP="00007ABF">
      <w:pPr>
        <w:pStyle w:val="ParaNum"/>
        <w:numPr>
          <w:ilvl w:val="0"/>
          <w:numId w:val="0"/>
        </w:numPr>
        <w:ind w:firstLine="720"/>
        <w:contextualSpacing/>
        <w:rPr>
          <w:szCs w:val="22"/>
        </w:rPr>
      </w:pPr>
    </w:p>
    <w:p w:rsidR="00007ABF" w:rsidRPr="006823C2" w:rsidP="00007ABF">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Kris A Monteith</w:t>
      </w:r>
    </w:p>
    <w:p w:rsidR="00007ABF" w:rsidRPr="006823C2" w:rsidP="00007ABF">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Pr>
          <w:szCs w:val="22"/>
        </w:rPr>
        <w:t>Chief</w:t>
      </w:r>
    </w:p>
    <w:p w:rsidR="00007ABF" w:rsidRPr="006823C2" w:rsidP="00007ABF">
      <w:pPr>
        <w:ind w:left="3600" w:firstLine="720"/>
        <w:contextualSpacing/>
        <w:rPr>
          <w:szCs w:val="22"/>
        </w:rPr>
      </w:pPr>
      <w:r w:rsidRPr="006823C2">
        <w:rPr>
          <w:szCs w:val="22"/>
        </w:rPr>
        <w:t>Wireline Competition Bureau</w:t>
      </w:r>
    </w:p>
    <w:p w:rsidR="00007ABF" w:rsidRPr="006823C2" w:rsidP="00007ABF">
      <w:pPr>
        <w:rPr>
          <w:szCs w:val="22"/>
        </w:rPr>
      </w:pPr>
    </w:p>
    <w:p w:rsidR="00412FC5" w:rsidRPr="00007ABF" w:rsidP="00007ABF"/>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2F6">
      <w:r>
        <w:separator/>
      </w:r>
    </w:p>
  </w:footnote>
  <w:footnote w:type="continuationSeparator" w:id="1">
    <w:p w:rsidR="00AB72F6" w:rsidP="00C721AC">
      <w:pPr>
        <w:spacing w:before="120"/>
        <w:rPr>
          <w:sz w:val="20"/>
        </w:rPr>
      </w:pPr>
      <w:r>
        <w:rPr>
          <w:sz w:val="20"/>
        </w:rPr>
        <w:t xml:space="preserve">(Continued from previous page)  </w:t>
      </w:r>
      <w:r>
        <w:rPr>
          <w:sz w:val="20"/>
        </w:rPr>
        <w:separator/>
      </w:r>
    </w:p>
  </w:footnote>
  <w:footnote w:type="continuationNotice" w:id="2">
    <w:p w:rsidR="00AB72F6" w:rsidP="00C721AC">
      <w:pPr>
        <w:jc w:val="right"/>
        <w:rPr>
          <w:sz w:val="20"/>
        </w:rPr>
      </w:pPr>
      <w:r>
        <w:rPr>
          <w:sz w:val="20"/>
        </w:rPr>
        <w:t>(continued….)</w:t>
      </w:r>
    </w:p>
  </w:footnote>
  <w:footnote w:id="3">
    <w:p w:rsidR="00007ABF" w:rsidRPr="007301B4" w:rsidP="00007ABF">
      <w:pPr>
        <w:pStyle w:val="FootnoteText"/>
      </w:pPr>
      <w:r>
        <w:rPr>
          <w:rStyle w:val="FootnoteReference"/>
        </w:rPr>
        <w:footnoteRef/>
      </w:r>
      <w:r>
        <w:t xml:space="preserve"> </w:t>
      </w:r>
      <w:r w:rsidRPr="002D7BCD">
        <w:rPr>
          <w:i/>
        </w:rPr>
        <w:t>See</w:t>
      </w:r>
      <w:r w:rsidRPr="002D7BCD">
        <w:t xml:space="preserve"> </w:t>
      </w:r>
      <w:r>
        <w:t xml:space="preserve">FEMA, President Donald J. Trump Signs Emergency Declaration for Puerto Rico (August 27, 2019), </w:t>
      </w:r>
      <w:hyperlink r:id="rId1" w:history="1">
        <w:r>
          <w:rPr>
            <w:rStyle w:val="Hyperlink"/>
          </w:rPr>
          <w:t>https://www.fema.gov/news-release/2019/08/27/president-donald-j-trump-signs-emergency-declaration-puerto-rico</w:t>
        </w:r>
      </w:hyperlink>
      <w:r>
        <w:t xml:space="preserve">  (last visited Aug. 29, 2019) (“Specifically, FEMA is authorized to identify, mobilize, and provide at its discretion, equipment and resources necessary to alleviate the impacts of the emergency.  Emergency protective measures (Category B), limited to direct federal assistance under the Public Assistance Program, will be provided at 75 percent federal funding.  The assistance is for all 78 municipalities in the Commonwealth of Puerto Rico.”).</w:t>
      </w:r>
    </w:p>
  </w:footnote>
  <w:footnote w:id="4">
    <w:p w:rsidR="00007ABF" w:rsidRPr="001D1A61" w:rsidP="00007ABF">
      <w:pPr>
        <w:pStyle w:val="FootnoteText"/>
      </w:pPr>
      <w:r>
        <w:rPr>
          <w:rStyle w:val="FootnoteReference"/>
        </w:rPr>
        <w:footnoteRef/>
      </w:r>
      <w:r>
        <w:t xml:space="preserve"> </w:t>
      </w:r>
      <w:r>
        <w:rPr>
          <w:i/>
        </w:rPr>
        <w:t>See</w:t>
      </w:r>
      <w:r>
        <w:t xml:space="preserve"> FEMA, President Donald J. Trump Signs Emergency Declaration for the U.S. Virgin Islands (August 28, 2019), </w:t>
      </w:r>
      <w:hyperlink r:id="rId2" w:history="1">
        <w:r>
          <w:rPr>
            <w:rStyle w:val="Hyperlink"/>
          </w:rPr>
          <w:t>https://www.fema.gov/news-release/2019/08/28/president-donald-j-trump-signs-emergency-declaration-us-virgin-islands</w:t>
        </w:r>
      </w:hyperlink>
      <w:r>
        <w:t xml:space="preserve"> (last visited Aug. 29, 2019) (“Specifically, FEMA is authorized to identify, mobilize and provide at its discretion, equipment and resources necessary to alleviate the impacts of the emergency.  Emergency protective measures (</w:t>
      </w:r>
      <w:r w:rsidRPr="001D1A61">
        <w:t xml:space="preserve">Category </w:t>
      </w:r>
      <w:r w:rsidRPr="002135A9">
        <w:rPr>
          <w:rFonts w:eastAsia="Segoe UI Emoji"/>
        </w:rPr>
        <w:t>B), limited to direc</w:t>
      </w:r>
      <w:r>
        <w:rPr>
          <w:rFonts w:eastAsia="Segoe UI Emoji"/>
        </w:rPr>
        <w:t>t federal assistance under the Public Assistance Program, will be provided at 75 percent federal funding.  This assistance is for all islands in the territory of the U.S. Virgin Islands.”).</w:t>
      </w:r>
    </w:p>
  </w:footnote>
  <w:footnote w:id="5">
    <w:p w:rsidR="00007ABF" w:rsidP="00007ABF">
      <w:pPr>
        <w:pStyle w:val="FootnoteText"/>
      </w:pPr>
      <w:r>
        <w:rPr>
          <w:rStyle w:val="FootnoteReference"/>
        </w:rPr>
        <w:footnoteRef/>
      </w:r>
      <w:r>
        <w:t xml:space="preserve"> NOAA, National Hurricane Center, Hurricane Dorian Public Advisory, </w:t>
      </w:r>
      <w:hyperlink r:id="rId3" w:history="1">
        <w:r>
          <w:rPr>
            <w:rStyle w:val="Hyperlink"/>
          </w:rPr>
          <w:t>https://www.nhc.noaa.gov/text/refresh/MIATCPAT5+shtml/281744.shtml</w:t>
        </w:r>
      </w:hyperlink>
      <w:r>
        <w:t xml:space="preserve"> (last visited Aug. 29, 2019).</w:t>
      </w:r>
    </w:p>
  </w:footnote>
  <w:footnote w:id="6">
    <w:p w:rsidR="00007ABF" w:rsidRPr="00261975" w:rsidP="00007ABF">
      <w:pPr>
        <w:autoSpaceDE w:val="0"/>
        <w:autoSpaceDN w:val="0"/>
        <w:adjustRightInd w:val="0"/>
        <w:spacing w:after="120"/>
        <w:rPr>
          <w:sz w:val="20"/>
        </w:rPr>
      </w:pPr>
      <w:r>
        <w:rPr>
          <w:rStyle w:val="FootnoteReference"/>
        </w:rPr>
        <w:footnoteRef/>
      </w:r>
      <w:r>
        <w:t xml:space="preserve"> </w:t>
      </w:r>
      <w:bookmarkStart w:id="2" w:name="_Hlk17980362"/>
      <w:hyperlink r:id="rId4" w:history="1">
        <w:r w:rsidRPr="00B9791D">
          <w:rPr>
            <w:sz w:val="20"/>
          </w:rPr>
          <w:t>47 C.F.R. § 52.15(f)(ii)</w:t>
        </w:r>
      </w:hyperlink>
      <w:r>
        <w:rPr>
          <w:sz w:val="20"/>
        </w:rPr>
        <w:t xml:space="preserve"> (“</w:t>
      </w:r>
      <w:r w:rsidRPr="00412685">
        <w:rPr>
          <w:sz w:val="20"/>
        </w:rPr>
        <w:t xml:space="preserve">Aging numbers are disconnected numbers that are not available for assignment to another end user or customer for a specified period of time. </w:t>
      </w:r>
      <w:r>
        <w:rPr>
          <w:sz w:val="20"/>
        </w:rPr>
        <w:t xml:space="preserve"> </w:t>
      </w:r>
      <w:r w:rsidRPr="00412685">
        <w:rPr>
          <w:sz w:val="20"/>
        </w:rPr>
        <w:t>Number</w:t>
      </w:r>
      <w:r>
        <w:rPr>
          <w:sz w:val="20"/>
        </w:rPr>
        <w:t>s</w:t>
      </w:r>
      <w:r w:rsidRPr="00412685">
        <w:rPr>
          <w:sz w:val="20"/>
        </w:rPr>
        <w:t xml:space="preserve"> previously assigned to residential customers may be aged for no more than 90 days.</w:t>
      </w:r>
      <w:r>
        <w:rPr>
          <w:sz w:val="20"/>
        </w:rPr>
        <w:t>”).</w:t>
      </w:r>
      <w:bookmarkEnd w:id="2"/>
    </w:p>
  </w:footnote>
  <w:footnote w:id="7">
    <w:p w:rsidR="00007ABF" w:rsidP="00007ABF">
      <w:pPr>
        <w:pStyle w:val="FootnoteText"/>
      </w:pPr>
      <w:r>
        <w:rPr>
          <w:rStyle w:val="FootnoteReference"/>
        </w:rPr>
        <w:footnoteRef/>
      </w:r>
      <w:r>
        <w:t xml:space="preserve"> 47 CFR § 1.3 (providing that “[a]</w:t>
      </w:r>
      <w:r>
        <w:t>ny</w:t>
      </w:r>
      <w:r>
        <w:t xml:space="preserve"> provision of the rules may be waived by the Commission on its own motion or on petition if good cause therefore is shown”).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07ABF">
      <w:t>DA 19-852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7ABF">
      <w:rPr>
        <w:spacing w:val="-2"/>
      </w:rPr>
      <w:t>DA 19-852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BF"/>
    <w:rsid w:val="00007ABF"/>
    <w:rsid w:val="00036039"/>
    <w:rsid w:val="00037F90"/>
    <w:rsid w:val="00073301"/>
    <w:rsid w:val="000875BF"/>
    <w:rsid w:val="00096D8C"/>
    <w:rsid w:val="000C0B65"/>
    <w:rsid w:val="000E05FE"/>
    <w:rsid w:val="000E3D42"/>
    <w:rsid w:val="00122BD5"/>
    <w:rsid w:val="00133F79"/>
    <w:rsid w:val="00184BEB"/>
    <w:rsid w:val="00194A66"/>
    <w:rsid w:val="001D1A61"/>
    <w:rsid w:val="001D6BCF"/>
    <w:rsid w:val="001E01CA"/>
    <w:rsid w:val="001E0A72"/>
    <w:rsid w:val="002135A9"/>
    <w:rsid w:val="002218A8"/>
    <w:rsid w:val="00261975"/>
    <w:rsid w:val="00275CF5"/>
    <w:rsid w:val="0028301F"/>
    <w:rsid w:val="00285017"/>
    <w:rsid w:val="002A2D2E"/>
    <w:rsid w:val="002C00E8"/>
    <w:rsid w:val="002D7BCD"/>
    <w:rsid w:val="00343749"/>
    <w:rsid w:val="003660ED"/>
    <w:rsid w:val="003B0550"/>
    <w:rsid w:val="003B47EC"/>
    <w:rsid w:val="003B694F"/>
    <w:rsid w:val="003F171C"/>
    <w:rsid w:val="00412685"/>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23C2"/>
    <w:rsid w:val="00683388"/>
    <w:rsid w:val="00683F84"/>
    <w:rsid w:val="006A6A81"/>
    <w:rsid w:val="006F7393"/>
    <w:rsid w:val="0070224F"/>
    <w:rsid w:val="007115F7"/>
    <w:rsid w:val="007301B4"/>
    <w:rsid w:val="00772399"/>
    <w:rsid w:val="00785689"/>
    <w:rsid w:val="0079754B"/>
    <w:rsid w:val="007A1E6D"/>
    <w:rsid w:val="007B0EB2"/>
    <w:rsid w:val="00810B6F"/>
    <w:rsid w:val="00822CE0"/>
    <w:rsid w:val="00841AB1"/>
    <w:rsid w:val="008C68F1"/>
    <w:rsid w:val="00921803"/>
    <w:rsid w:val="00926503"/>
    <w:rsid w:val="009726D8"/>
    <w:rsid w:val="00991610"/>
    <w:rsid w:val="009D7308"/>
    <w:rsid w:val="009F76DB"/>
    <w:rsid w:val="00A32C3B"/>
    <w:rsid w:val="00A45F4F"/>
    <w:rsid w:val="00A600A9"/>
    <w:rsid w:val="00AA55B7"/>
    <w:rsid w:val="00AA5B9E"/>
    <w:rsid w:val="00AB2407"/>
    <w:rsid w:val="00AB53DF"/>
    <w:rsid w:val="00AB72F6"/>
    <w:rsid w:val="00B07E5C"/>
    <w:rsid w:val="00B811F7"/>
    <w:rsid w:val="00B9791D"/>
    <w:rsid w:val="00BA5DC6"/>
    <w:rsid w:val="00BA6196"/>
    <w:rsid w:val="00BC6D8C"/>
    <w:rsid w:val="00C267B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6D4D"/>
    <w:rsid w:val="00F021FA"/>
    <w:rsid w:val="00F62E97"/>
    <w:rsid w:val="00F64209"/>
    <w:rsid w:val="00F93BF5"/>
    <w:rsid w:val="00F962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D40DFD-7D84-40A7-8C72-B0454877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B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news-release/2019/08/27/president-donald-j-trump-signs-emergency-declaration-puerto-rico" TargetMode="External" /><Relationship Id="rId2" Type="http://schemas.openxmlformats.org/officeDocument/2006/relationships/hyperlink" Target="https://www.fema.gov/news-release/2019/08/28/president-donald-j-trump-signs-emergency-declaration-us-virgin-islands" TargetMode="External" /><Relationship Id="rId3" Type="http://schemas.openxmlformats.org/officeDocument/2006/relationships/hyperlink" Target="https://www.nhc.noaa.gov/text/refresh/MIATCPAT5+shtml/281744.shtml" TargetMode="External" /><Relationship Id="rId4" Type="http://schemas.openxmlformats.org/officeDocument/2006/relationships/hyperlink" Target="http://www.westlaw.com/Find/Default.wl?rs=dfa1.0&amp;vr=2.0&amp;DB=1000547&amp;DocName=47CFRS52.15&amp;FindType=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