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12DF8" w:rsidP="00B12DF8" w14:paraId="00E63E23" w14:textId="77777777">
      <w:pPr>
        <w:jc w:val="right"/>
        <w:rPr>
          <w:sz w:val="24"/>
        </w:rPr>
      </w:pPr>
    </w:p>
    <w:p w:rsidR="00B12DF8" w:rsidRPr="00B20363" w:rsidP="00B12DF8" w14:paraId="1BEA8827" w14:textId="26EDCC2C">
      <w:pPr>
        <w:jc w:val="right"/>
        <w:rPr>
          <w:b/>
          <w:sz w:val="24"/>
        </w:rPr>
      </w:pPr>
      <w:r>
        <w:rPr>
          <w:b/>
          <w:sz w:val="24"/>
        </w:rPr>
        <w:t xml:space="preserve">DA </w:t>
      </w:r>
      <w:r w:rsidR="00855BDB">
        <w:rPr>
          <w:b/>
          <w:sz w:val="24"/>
        </w:rPr>
        <w:t>19-865</w:t>
      </w:r>
      <w:bookmarkStart w:id="0" w:name="_GoBack"/>
      <w:bookmarkEnd w:id="0"/>
    </w:p>
    <w:p w:rsidR="00B12DF8" w:rsidRPr="00B20363" w:rsidP="00B12DF8" w14:paraId="0F7605EE" w14:textId="119AEB85">
      <w:pPr>
        <w:spacing w:before="60"/>
        <w:jc w:val="right"/>
        <w:rPr>
          <w:b/>
          <w:sz w:val="24"/>
        </w:rPr>
      </w:pPr>
      <w:r>
        <w:rPr>
          <w:b/>
          <w:sz w:val="24"/>
        </w:rPr>
        <w:t xml:space="preserve">Released:  </w:t>
      </w:r>
      <w:r w:rsidR="00C671BF">
        <w:rPr>
          <w:b/>
          <w:sz w:val="24"/>
        </w:rPr>
        <w:t>September 3</w:t>
      </w:r>
      <w:r>
        <w:rPr>
          <w:b/>
          <w:sz w:val="24"/>
        </w:rPr>
        <w:t>, 2019</w:t>
      </w:r>
    </w:p>
    <w:p w:rsidR="00B12DF8" w:rsidP="00B12DF8" w14:paraId="3DCE3E8F" w14:textId="77777777">
      <w:pPr>
        <w:jc w:val="right"/>
        <w:rPr>
          <w:sz w:val="24"/>
        </w:rPr>
      </w:pPr>
    </w:p>
    <w:p w:rsidR="00B12DF8" w:rsidRPr="00B20363" w:rsidP="00B12DF8" w14:paraId="2C42D3E5" w14:textId="104C67AC">
      <w:pPr>
        <w:spacing w:after="240"/>
        <w:jc w:val="center"/>
        <w:rPr>
          <w:rFonts w:ascii="Times New Roman Bold" w:hAnsi="Times New Roman Bold"/>
          <w:b/>
          <w:caps/>
          <w:sz w:val="24"/>
        </w:rPr>
      </w:pPr>
      <w:r>
        <w:rPr>
          <w:rFonts w:ascii="Times New Roman Bold" w:hAnsi="Times New Roman Bold"/>
          <w:b/>
          <w:caps/>
          <w:sz w:val="24"/>
        </w:rPr>
        <w:t>Office of Engineering and technology SEEKS COMMENT ON Pipe</w:t>
      </w:r>
      <w:r w:rsidR="00AB1B44">
        <w:rPr>
          <w:rFonts w:ascii="Times New Roman Bold" w:hAnsi="Times New Roman Bold"/>
          <w:b/>
          <w:caps/>
          <w:sz w:val="24"/>
        </w:rPr>
        <w:t>R</w:t>
      </w:r>
      <w:r w:rsidR="000134E5">
        <w:rPr>
          <w:rFonts w:ascii="Times New Roman Bold" w:hAnsi="Times New Roman Bold"/>
          <w:b/>
          <w:caps/>
          <w:sz w:val="24"/>
        </w:rPr>
        <w:t xml:space="preserve"> </w:t>
      </w:r>
      <w:r>
        <w:rPr>
          <w:rFonts w:ascii="Times New Roman Bold" w:hAnsi="Times New Roman Bold"/>
          <w:b/>
          <w:caps/>
          <w:sz w:val="24"/>
        </w:rPr>
        <w:t xml:space="preserve">Networks Inc. Request </w:t>
      </w:r>
      <w:r w:rsidR="003C0CEB">
        <w:rPr>
          <w:rFonts w:ascii="Times New Roman Bold" w:hAnsi="Times New Roman Bold"/>
          <w:b/>
          <w:caps/>
          <w:sz w:val="24"/>
        </w:rPr>
        <w:t>for</w:t>
      </w:r>
      <w:r>
        <w:rPr>
          <w:rFonts w:ascii="Times New Roman Bold" w:hAnsi="Times New Roman Bold"/>
          <w:b/>
          <w:caps/>
          <w:sz w:val="24"/>
        </w:rPr>
        <w:t xml:space="preserve"> waiver </w:t>
      </w:r>
      <w:r w:rsidR="000134E5">
        <w:rPr>
          <w:rFonts w:ascii="Times New Roman Bold" w:hAnsi="Times New Roman Bold"/>
          <w:b/>
          <w:caps/>
          <w:sz w:val="24"/>
        </w:rPr>
        <w:t xml:space="preserve">of part 15 </w:t>
      </w:r>
      <w:r>
        <w:rPr>
          <w:rFonts w:ascii="Times New Roman Bold" w:hAnsi="Times New Roman Bold"/>
          <w:b/>
          <w:caps/>
          <w:sz w:val="24"/>
        </w:rPr>
        <w:t xml:space="preserve">RULES FOR </w:t>
      </w:r>
      <w:r w:rsidR="000134E5">
        <w:rPr>
          <w:rFonts w:ascii="Times New Roman Bold" w:hAnsi="Times New Roman Bold"/>
          <w:b/>
          <w:caps/>
          <w:sz w:val="24"/>
        </w:rPr>
        <w:t>enhanced transit location system</w:t>
      </w:r>
    </w:p>
    <w:p w:rsidR="00B12DF8" w:rsidP="00B12DF8" w14:paraId="1AC7D58E" w14:textId="7897EC5C">
      <w:pPr>
        <w:jc w:val="center"/>
        <w:rPr>
          <w:b/>
          <w:sz w:val="24"/>
        </w:rPr>
      </w:pPr>
      <w:r>
        <w:rPr>
          <w:b/>
          <w:szCs w:val="22"/>
        </w:rPr>
        <w:t xml:space="preserve">ET Docket No. </w:t>
      </w:r>
      <w:r w:rsidR="00C671BF">
        <w:rPr>
          <w:b/>
          <w:szCs w:val="22"/>
        </w:rPr>
        <w:t>19-246</w:t>
      </w:r>
      <w:r>
        <w:rPr>
          <w:b/>
          <w:sz w:val="24"/>
        </w:rPr>
        <w:br/>
      </w:r>
    </w:p>
    <w:p w:rsidR="00B12DF8" w:rsidRPr="005A42C3" w:rsidP="00B12DF8" w14:paraId="7F58687F" w14:textId="1FA2D00A">
      <w:pPr>
        <w:rPr>
          <w:b/>
          <w:sz w:val="24"/>
        </w:rPr>
      </w:pPr>
      <w:bookmarkStart w:id="1" w:name="TOChere"/>
      <w:r w:rsidRPr="005A42C3">
        <w:rPr>
          <w:b/>
          <w:sz w:val="24"/>
        </w:rPr>
        <w:t>Comment Date:</w:t>
      </w:r>
      <w:r>
        <w:rPr>
          <w:b/>
          <w:sz w:val="24"/>
        </w:rPr>
        <w:t xml:space="preserve"> </w:t>
      </w:r>
      <w:r w:rsidR="00855BDB">
        <w:rPr>
          <w:b/>
          <w:sz w:val="24"/>
        </w:rPr>
        <w:t>September 23</w:t>
      </w:r>
      <w:r>
        <w:rPr>
          <w:b/>
          <w:sz w:val="24"/>
        </w:rPr>
        <w:t>, 201</w:t>
      </w:r>
      <w:r w:rsidR="003D7208">
        <w:rPr>
          <w:b/>
          <w:sz w:val="24"/>
        </w:rPr>
        <w:t>9</w:t>
      </w:r>
      <w:r>
        <w:rPr>
          <w:b/>
          <w:sz w:val="24"/>
        </w:rPr>
        <w:t xml:space="preserve"> </w:t>
      </w:r>
    </w:p>
    <w:p w:rsidR="00B12DF8" w:rsidRPr="005A42C3" w:rsidP="00B12DF8" w14:paraId="7DADCE03" w14:textId="5FE38AF6">
      <w:pPr>
        <w:rPr>
          <w:b/>
          <w:sz w:val="24"/>
        </w:rPr>
      </w:pPr>
      <w:r w:rsidRPr="005A42C3">
        <w:rPr>
          <w:b/>
          <w:sz w:val="24"/>
        </w:rPr>
        <w:t>Reply Comment Date:</w:t>
      </w:r>
      <w:r>
        <w:rPr>
          <w:b/>
          <w:sz w:val="24"/>
        </w:rPr>
        <w:t xml:space="preserve"> </w:t>
      </w:r>
      <w:r w:rsidR="00855BDB">
        <w:rPr>
          <w:b/>
          <w:sz w:val="24"/>
        </w:rPr>
        <w:t>October 8</w:t>
      </w:r>
      <w:r>
        <w:rPr>
          <w:b/>
          <w:sz w:val="24"/>
        </w:rPr>
        <w:t xml:space="preserve">, 2019 </w:t>
      </w:r>
    </w:p>
    <w:p w:rsidR="00B12DF8" w:rsidP="00B12DF8" w14:paraId="0FC54F4A" w14:textId="77777777">
      <w:pPr>
        <w:rPr>
          <w:sz w:val="24"/>
        </w:rPr>
      </w:pPr>
    </w:p>
    <w:p w:rsidR="00B12DF8" w:rsidP="00B12DF8" w14:paraId="1F7F89A6" w14:textId="6455C898">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 xml:space="preserve">On </w:t>
      </w:r>
      <w:r w:rsidR="000134E5">
        <w:rPr>
          <w:rFonts w:ascii="TimesNewRoman" w:hAnsi="TimesNewRoman" w:cs="TimesNewRoman"/>
          <w:color w:val="010101"/>
        </w:rPr>
        <w:t>June</w:t>
      </w:r>
      <w:r>
        <w:rPr>
          <w:rFonts w:ascii="TimesNewRoman" w:hAnsi="TimesNewRoman" w:cs="TimesNewRoman"/>
          <w:color w:val="010101"/>
        </w:rPr>
        <w:t xml:space="preserve"> </w:t>
      </w:r>
      <w:r w:rsidR="000134E5">
        <w:rPr>
          <w:rFonts w:ascii="TimesNewRoman" w:hAnsi="TimesNewRoman" w:cs="TimesNewRoman"/>
          <w:color w:val="010101"/>
        </w:rPr>
        <w:t>6</w:t>
      </w:r>
      <w:r>
        <w:rPr>
          <w:rFonts w:ascii="TimesNewRoman" w:hAnsi="TimesNewRoman" w:cs="TimesNewRoman"/>
          <w:color w:val="010101"/>
        </w:rPr>
        <w:t>, 201</w:t>
      </w:r>
      <w:r w:rsidR="000134E5">
        <w:rPr>
          <w:rFonts w:ascii="TimesNewRoman" w:hAnsi="TimesNewRoman" w:cs="TimesNewRoman"/>
          <w:color w:val="010101"/>
        </w:rPr>
        <w:t>9</w:t>
      </w:r>
      <w:r>
        <w:rPr>
          <w:rFonts w:ascii="TimesNewRoman" w:hAnsi="TimesNewRoman" w:cs="TimesNewRoman"/>
          <w:color w:val="010101"/>
        </w:rPr>
        <w:t xml:space="preserve">, </w:t>
      </w:r>
      <w:r w:rsidR="000134E5">
        <w:rPr>
          <w:rFonts w:ascii="TimesNewRoman" w:hAnsi="TimesNewRoman" w:cs="TimesNewRoman"/>
          <w:color w:val="010101"/>
        </w:rPr>
        <w:t>Piper Networks, Inc</w:t>
      </w:r>
      <w:r w:rsidR="003D7208">
        <w:rPr>
          <w:rFonts w:ascii="TimesNewRoman" w:hAnsi="TimesNewRoman" w:cs="TimesNewRoman"/>
          <w:color w:val="010101"/>
        </w:rPr>
        <w:t>.</w:t>
      </w:r>
      <w:r w:rsidR="000134E5">
        <w:rPr>
          <w:rFonts w:ascii="TimesNewRoman" w:hAnsi="TimesNewRoman" w:cs="TimesNewRoman"/>
          <w:color w:val="010101"/>
        </w:rPr>
        <w:t xml:space="preserve"> (Piper)</w:t>
      </w:r>
      <w:r>
        <w:rPr>
          <w:rFonts w:ascii="TimesNewRoman" w:hAnsi="TimesNewRoman" w:cs="TimesNewRoman"/>
          <w:color w:val="010101"/>
        </w:rPr>
        <w:t xml:space="preserve"> filed a request for waiver of </w:t>
      </w:r>
      <w:r w:rsidR="00D27C52">
        <w:rPr>
          <w:rFonts w:ascii="TimesNewRoman" w:hAnsi="TimesNewRoman" w:cs="TimesNewRoman"/>
          <w:color w:val="010101"/>
        </w:rPr>
        <w:t xml:space="preserve">the </w:t>
      </w:r>
      <w:r>
        <w:rPr>
          <w:rFonts w:ascii="TimesNewRoman" w:hAnsi="TimesNewRoman" w:cs="TimesNewRoman"/>
          <w:color w:val="010101"/>
        </w:rPr>
        <w:t xml:space="preserve">Sections </w:t>
      </w:r>
      <w:r w:rsidR="008F3FA0">
        <w:rPr>
          <w:rFonts w:ascii="TimesNewRoman" w:hAnsi="TimesNewRoman" w:cs="TimesNewRoman"/>
          <w:color w:val="010101"/>
        </w:rPr>
        <w:t xml:space="preserve">15.519(a)(2) and </w:t>
      </w:r>
      <w:r w:rsidR="003D7208">
        <w:rPr>
          <w:rFonts w:ascii="TimesNewRoman" w:hAnsi="TimesNewRoman" w:cs="TimesNewRoman"/>
          <w:color w:val="010101"/>
        </w:rPr>
        <w:t xml:space="preserve">15.250(c)-(d) </w:t>
      </w:r>
      <w:r w:rsidR="00D27C52">
        <w:rPr>
          <w:rFonts w:ascii="TimesNewRoman" w:hAnsi="TimesNewRoman" w:cs="TimesNewRoman"/>
          <w:color w:val="010101"/>
        </w:rPr>
        <w:t xml:space="preserve">of the </w:t>
      </w:r>
      <w:r w:rsidR="00CB08B5">
        <w:rPr>
          <w:rFonts w:ascii="TimesNewRoman" w:hAnsi="TimesNewRoman" w:cs="TimesNewRoman"/>
          <w:color w:val="010101"/>
        </w:rPr>
        <w:t>Commission’s</w:t>
      </w:r>
      <w:r w:rsidR="00D27C52">
        <w:rPr>
          <w:rFonts w:ascii="TimesNewRoman" w:hAnsi="TimesNewRoman" w:cs="TimesNewRoman"/>
          <w:color w:val="010101"/>
        </w:rPr>
        <w:t xml:space="preserve"> rules to allow Piper to obtain grant of equipment authorization for installation and operation of </w:t>
      </w:r>
      <w:r w:rsidR="006C1BEA">
        <w:rPr>
          <w:rFonts w:ascii="TimesNewRoman" w:hAnsi="TimesNewRoman" w:cs="TimesNewRoman"/>
          <w:color w:val="010101"/>
        </w:rPr>
        <w:t xml:space="preserve">its </w:t>
      </w:r>
      <w:r w:rsidR="00D27C52">
        <w:rPr>
          <w:rFonts w:ascii="TimesNewRoman" w:hAnsi="TimesNewRoman" w:cs="TimesNewRoman"/>
          <w:color w:val="010101"/>
        </w:rPr>
        <w:t>enhanced transit location system (ETLS)</w:t>
      </w:r>
      <w:r w:rsidR="006C1BEA">
        <w:rPr>
          <w:rFonts w:ascii="TimesNewRoman" w:hAnsi="TimesNewRoman" w:cs="TimesNewRoman"/>
          <w:color w:val="010101"/>
        </w:rPr>
        <w:t>, a train positioning system for use</w:t>
      </w:r>
      <w:r w:rsidR="00D27C52">
        <w:rPr>
          <w:rFonts w:ascii="TimesNewRoman" w:hAnsi="TimesNewRoman" w:cs="TimesNewRoman"/>
          <w:color w:val="010101"/>
        </w:rPr>
        <w:t xml:space="preserve"> on subway and </w:t>
      </w:r>
      <w:r w:rsidR="00DF3514">
        <w:rPr>
          <w:rFonts w:ascii="TimesNewRoman" w:hAnsi="TimesNewRoman" w:cs="TimesNewRoman"/>
          <w:color w:val="010101"/>
        </w:rPr>
        <w:t>commuter</w:t>
      </w:r>
      <w:r w:rsidR="00D27C52">
        <w:rPr>
          <w:rFonts w:ascii="TimesNewRoman" w:hAnsi="TimesNewRoman" w:cs="TimesNewRoman"/>
          <w:color w:val="010101"/>
        </w:rPr>
        <w:t xml:space="preserve"> trains</w:t>
      </w:r>
      <w:r w:rsidR="006C1BEA">
        <w:rPr>
          <w:rFonts w:ascii="TimesNewRoman" w:hAnsi="TimesNewRoman" w:cs="TimesNewRoman"/>
          <w:color w:val="010101"/>
        </w:rPr>
        <w:t xml:space="preserve"> in urban and outdoor areas</w:t>
      </w:r>
      <w:r w:rsidR="008F71CC">
        <w:rPr>
          <w:rFonts w:ascii="TimesNewRoman" w:hAnsi="TimesNewRoman" w:cs="TimesNewRoman"/>
          <w:color w:val="010101"/>
        </w:rPr>
        <w:t>.</w:t>
      </w:r>
      <w:r>
        <w:rPr>
          <w:rStyle w:val="FootnoteReference"/>
          <w:rFonts w:cs="TimesNewRoman"/>
        </w:rPr>
        <w:footnoteReference w:id="2"/>
      </w:r>
      <w:r w:rsidR="00376A89">
        <w:rPr>
          <w:rFonts w:ascii="TimesNewRoman" w:hAnsi="TimesNewRoman" w:cs="TimesNewRoman"/>
          <w:color w:val="010101"/>
        </w:rPr>
        <w:t xml:space="preserve"> </w:t>
      </w:r>
    </w:p>
    <w:p w:rsidR="008E09B5" w:rsidP="00B12DF8" w14:paraId="337300B6" w14:textId="5DEF0BF3">
      <w:pPr>
        <w:autoSpaceDE w:val="0"/>
        <w:autoSpaceDN w:val="0"/>
        <w:adjustRightInd w:val="0"/>
        <w:ind w:firstLine="720"/>
        <w:rPr>
          <w:rFonts w:ascii="TimesNewRoman" w:hAnsi="TimesNewRoman" w:cs="TimesNewRoman"/>
          <w:color w:val="010101"/>
        </w:rPr>
      </w:pPr>
    </w:p>
    <w:p w:rsidR="006C1BEA" w:rsidP="008C0828" w14:paraId="1FBBD61D" w14:textId="21E2AE7B">
      <w:pPr>
        <w:widowControl/>
        <w:ind w:firstLine="720"/>
        <w:rPr>
          <w:color w:val="010101"/>
          <w:szCs w:val="22"/>
        </w:rPr>
      </w:pPr>
      <w:r w:rsidRPr="005B5C61">
        <w:rPr>
          <w:color w:val="010101"/>
          <w:szCs w:val="22"/>
        </w:rPr>
        <w:t>Piper</w:t>
      </w:r>
      <w:r>
        <w:rPr>
          <w:color w:val="010101"/>
          <w:szCs w:val="22"/>
        </w:rPr>
        <w:t xml:space="preserve"> states that it is designing the</w:t>
      </w:r>
      <w:r w:rsidR="0036532A">
        <w:rPr>
          <w:color w:val="010101"/>
          <w:szCs w:val="22"/>
        </w:rPr>
        <w:t xml:space="preserve"> ETLS </w:t>
      </w:r>
      <w:r>
        <w:rPr>
          <w:color w:val="010101"/>
          <w:szCs w:val="22"/>
        </w:rPr>
        <w:t>to</w:t>
      </w:r>
      <w:r w:rsidR="0036532A">
        <w:rPr>
          <w:color w:val="010101"/>
          <w:szCs w:val="22"/>
        </w:rPr>
        <w:t xml:space="preserve"> </w:t>
      </w:r>
      <w:r w:rsidR="00201C3D">
        <w:rPr>
          <w:color w:val="010101"/>
          <w:szCs w:val="22"/>
        </w:rPr>
        <w:t xml:space="preserve">operate </w:t>
      </w:r>
      <w:r>
        <w:rPr>
          <w:color w:val="010101"/>
          <w:szCs w:val="22"/>
        </w:rPr>
        <w:t xml:space="preserve">under the Part 15 ultra-wideband (UWB) rules in </w:t>
      </w:r>
      <w:r w:rsidR="00E75C40">
        <w:rPr>
          <w:color w:val="010101"/>
          <w:szCs w:val="22"/>
        </w:rPr>
        <w:t xml:space="preserve">the </w:t>
      </w:r>
      <w:r w:rsidRPr="005B5C61" w:rsidR="005B5C61">
        <w:rPr>
          <w:color w:val="010101"/>
          <w:szCs w:val="22"/>
        </w:rPr>
        <w:t>3200</w:t>
      </w:r>
      <w:r w:rsidR="002D3C85">
        <w:rPr>
          <w:color w:val="010101"/>
          <w:szCs w:val="22"/>
        </w:rPr>
        <w:t>-</w:t>
      </w:r>
      <w:r w:rsidRPr="005B5C61" w:rsidR="005B5C61">
        <w:rPr>
          <w:color w:val="010101"/>
          <w:szCs w:val="22"/>
        </w:rPr>
        <w:t xml:space="preserve">3700 MHz </w:t>
      </w:r>
      <w:r>
        <w:rPr>
          <w:color w:val="010101"/>
          <w:szCs w:val="22"/>
        </w:rPr>
        <w:t xml:space="preserve">and </w:t>
      </w:r>
      <w:r w:rsidRPr="005B5C61">
        <w:rPr>
          <w:color w:val="010101"/>
          <w:szCs w:val="22"/>
        </w:rPr>
        <w:t xml:space="preserve">4243-4743 MHz </w:t>
      </w:r>
      <w:r>
        <w:rPr>
          <w:color w:val="010101"/>
          <w:szCs w:val="22"/>
        </w:rPr>
        <w:t>bands, as well as</w:t>
      </w:r>
      <w:r w:rsidR="00B30001">
        <w:rPr>
          <w:color w:val="010101"/>
          <w:szCs w:val="22"/>
        </w:rPr>
        <w:t xml:space="preserve"> </w:t>
      </w:r>
      <w:r>
        <w:rPr>
          <w:color w:val="010101"/>
          <w:szCs w:val="22"/>
        </w:rPr>
        <w:t xml:space="preserve">under the Part 15 wideband rules </w:t>
      </w:r>
      <w:r w:rsidR="002D3C85">
        <w:rPr>
          <w:color w:val="010101"/>
          <w:szCs w:val="22"/>
        </w:rPr>
        <w:t>in the</w:t>
      </w:r>
      <w:r w:rsidRPr="005B5C61" w:rsidR="005B5C61">
        <w:rPr>
          <w:color w:val="010101"/>
          <w:szCs w:val="22"/>
        </w:rPr>
        <w:t xml:space="preserve"> 6240-6740 MHz band</w:t>
      </w:r>
      <w:r w:rsidRPr="00EF4246" w:rsidR="00991B03">
        <w:rPr>
          <w:color w:val="010101"/>
          <w:szCs w:val="22"/>
        </w:rPr>
        <w:t>.</w:t>
      </w:r>
      <w:r>
        <w:rPr>
          <w:color w:val="010101"/>
          <w:szCs w:val="22"/>
        </w:rPr>
        <w:t xml:space="preserve">  Once built, an ETLS deployment would only </w:t>
      </w:r>
      <w:r w:rsidR="008F3FA0">
        <w:rPr>
          <w:color w:val="010101"/>
          <w:szCs w:val="22"/>
        </w:rPr>
        <w:t xml:space="preserve">require </w:t>
      </w:r>
      <w:r>
        <w:rPr>
          <w:color w:val="010101"/>
          <w:szCs w:val="22"/>
        </w:rPr>
        <w:t>use of one of these three frequency bands.</w:t>
      </w:r>
    </w:p>
    <w:p w:rsidR="006C1BEA" w:rsidP="008C0828" w14:paraId="5265FBE0" w14:textId="77777777">
      <w:pPr>
        <w:widowControl/>
        <w:ind w:firstLine="720"/>
        <w:rPr>
          <w:color w:val="010101"/>
          <w:szCs w:val="22"/>
        </w:rPr>
      </w:pPr>
    </w:p>
    <w:p w:rsidR="008F3FA0" w:rsidP="00B12DF8" w14:paraId="2641ADC0" w14:textId="71E4ADA7">
      <w:pPr>
        <w:widowControl/>
        <w:ind w:firstLine="720"/>
        <w:rPr>
          <w:color w:val="010101"/>
          <w:szCs w:val="22"/>
        </w:rPr>
      </w:pPr>
      <w:r>
        <w:t>Section 15.519(a)</w:t>
      </w:r>
      <w:r w:rsidR="00346140">
        <w:t xml:space="preserve">, which applies to use of the </w:t>
      </w:r>
      <w:r w:rsidRPr="005B5C61" w:rsidR="00346140">
        <w:rPr>
          <w:color w:val="010101"/>
          <w:szCs w:val="22"/>
        </w:rPr>
        <w:t xml:space="preserve">3200-3700 MHz </w:t>
      </w:r>
      <w:r w:rsidR="00346140">
        <w:rPr>
          <w:color w:val="010101"/>
          <w:szCs w:val="22"/>
        </w:rPr>
        <w:t xml:space="preserve">and </w:t>
      </w:r>
      <w:r w:rsidRPr="005B5C61" w:rsidR="00346140">
        <w:rPr>
          <w:color w:val="010101"/>
          <w:szCs w:val="22"/>
        </w:rPr>
        <w:t xml:space="preserve">4243-4743 MHz </w:t>
      </w:r>
      <w:r w:rsidR="00346140">
        <w:rPr>
          <w:color w:val="010101"/>
          <w:szCs w:val="22"/>
        </w:rPr>
        <w:t>bands,</w:t>
      </w:r>
      <w:r>
        <w:t xml:space="preserve"> </w:t>
      </w:r>
      <w:r w:rsidR="00346140">
        <w:t>requires UWB devices to be hand-held and not employ a fixed infrastructure.</w:t>
      </w:r>
      <w:r>
        <w:rPr>
          <w:rStyle w:val="FootnoteReference"/>
        </w:rPr>
        <w:footnoteReference w:id="3"/>
      </w:r>
      <w:r w:rsidR="006279D2">
        <w:t xml:space="preserve"> </w:t>
      </w:r>
      <w:r w:rsidR="00346140">
        <w:t xml:space="preserve"> 15.519(a)</w:t>
      </w:r>
      <w:r>
        <w:t>(2)</w:t>
      </w:r>
      <w:r>
        <w:t xml:space="preserve"> </w:t>
      </w:r>
      <w:r w:rsidR="00346140">
        <w:t xml:space="preserve">further </w:t>
      </w:r>
      <w:r>
        <w:t>prohibits the use of antennas mounted on outdoor infrastructure</w:t>
      </w:r>
      <w:r w:rsidR="00346140">
        <w:t>.</w:t>
      </w:r>
      <w:r>
        <w:rPr>
          <w:rStyle w:val="FootnoteReference"/>
        </w:rPr>
        <w:footnoteReference w:id="4"/>
      </w:r>
      <w:r w:rsidR="00346140">
        <w:t xml:space="preserve">  Because Piper plans to affix its devices to trains, tunnel walls, and short wayside structures, it </w:t>
      </w:r>
      <w:r>
        <w:t>seeks a waiver of this rule</w:t>
      </w:r>
      <w:r w:rsidR="00346140">
        <w:t>.</w:t>
      </w:r>
    </w:p>
    <w:p w:rsidR="008F3FA0" w:rsidP="00B12DF8" w14:paraId="3ED5B9A9" w14:textId="77777777">
      <w:pPr>
        <w:widowControl/>
        <w:ind w:firstLine="720"/>
      </w:pPr>
    </w:p>
    <w:p w:rsidR="009B50A6" w:rsidP="00DA48B0" w14:paraId="1264FF5B" w14:textId="5696EDA2">
      <w:pPr>
        <w:widowControl/>
        <w:ind w:firstLine="720"/>
        <w:rPr>
          <w:color w:val="010101"/>
          <w:szCs w:val="22"/>
        </w:rPr>
      </w:pPr>
      <w:r w:rsidRPr="00141A08">
        <w:t xml:space="preserve">Section 15.250 </w:t>
      </w:r>
      <w:r w:rsidR="00346140">
        <w:t>governs</w:t>
      </w:r>
      <w:r w:rsidRPr="00141A08">
        <w:t xml:space="preserve"> operation of wideband systems in the 5925-7250 MHz band</w:t>
      </w:r>
      <w:r w:rsidR="00346140">
        <w:t xml:space="preserve">.  </w:t>
      </w:r>
      <w:r w:rsidRPr="00141A08" w:rsidR="00346140">
        <w:t xml:space="preserve">Section 15.250(c) </w:t>
      </w:r>
      <w:r w:rsidR="00346140">
        <w:t xml:space="preserve">prohibits the use of fixed infrastructure while Section 15.250(d) </w:t>
      </w:r>
      <w:r>
        <w:t>sets a radiated</w:t>
      </w:r>
      <w:r w:rsidR="00346140">
        <w:t xml:space="preserve"> emission limit</w:t>
      </w:r>
      <w:r>
        <w:t xml:space="preserve"> of </w:t>
      </w:r>
      <w:r w:rsidR="00346140">
        <w:t xml:space="preserve">-41.3 dBm EIRP </w:t>
      </w:r>
      <w:r>
        <w:t xml:space="preserve">for operations </w:t>
      </w:r>
      <w:r w:rsidR="00346140">
        <w:t>in the band</w:t>
      </w:r>
      <w:r w:rsidRPr="00141A08">
        <w:t>.</w:t>
      </w:r>
      <w:r>
        <w:rPr>
          <w:rStyle w:val="FootnoteReference"/>
        </w:rPr>
        <w:footnoteReference w:id="5"/>
      </w:r>
      <w:r>
        <w:t xml:space="preserve">  Piper seeks a waiver of </w:t>
      </w:r>
      <w:r w:rsidRPr="00141A08">
        <w:t xml:space="preserve">15.250(c) </w:t>
      </w:r>
      <w:r>
        <w:t>to accommodate its train and trackside deployment plan</w:t>
      </w:r>
      <w:r w:rsidR="0057644D">
        <w:t>.  It also seeks a waiver of</w:t>
      </w:r>
      <w:r>
        <w:t xml:space="preserve"> 15.250(d) to operate at a higher power level</w:t>
      </w:r>
      <w:r w:rsidR="0057644D">
        <w:t xml:space="preserve"> to compensate for the lower propagation characteristics </w:t>
      </w:r>
      <w:r w:rsidR="00114DBA">
        <w:t>of</w:t>
      </w:r>
      <w:r w:rsidR="0057644D">
        <w:t xml:space="preserve"> this frequency band </w:t>
      </w:r>
      <w:r w:rsidR="005B3CFD">
        <w:t>as compared to</w:t>
      </w:r>
      <w:r w:rsidR="0057644D">
        <w:t xml:space="preserve"> those at </w:t>
      </w:r>
      <w:r w:rsidRPr="005B5C61" w:rsidR="0057644D">
        <w:rPr>
          <w:color w:val="010101"/>
          <w:szCs w:val="22"/>
        </w:rPr>
        <w:t xml:space="preserve">3200-3700 MHz </w:t>
      </w:r>
      <w:r w:rsidR="0057644D">
        <w:rPr>
          <w:color w:val="010101"/>
          <w:szCs w:val="22"/>
        </w:rPr>
        <w:t xml:space="preserve">and </w:t>
      </w:r>
      <w:r w:rsidRPr="005B5C61" w:rsidR="0057644D">
        <w:rPr>
          <w:color w:val="010101"/>
          <w:szCs w:val="22"/>
        </w:rPr>
        <w:t xml:space="preserve">4243-4743 </w:t>
      </w:r>
      <w:r w:rsidRPr="005B5C61" w:rsidR="002D3C85">
        <w:rPr>
          <w:color w:val="010101"/>
          <w:szCs w:val="22"/>
        </w:rPr>
        <w:t>MHz</w:t>
      </w:r>
      <w:r w:rsidR="00D31CC8">
        <w:rPr>
          <w:color w:val="010101"/>
          <w:szCs w:val="22"/>
        </w:rPr>
        <w:t>.</w:t>
      </w:r>
      <w:r>
        <w:rPr>
          <w:rStyle w:val="FootnoteReference"/>
          <w:szCs w:val="22"/>
        </w:rPr>
        <w:footnoteReference w:id="6"/>
      </w:r>
    </w:p>
    <w:p w:rsidR="0057644D" w:rsidP="00DA48B0" w14:paraId="127979F5" w14:textId="594870C9">
      <w:pPr>
        <w:widowControl/>
        <w:ind w:firstLine="720"/>
      </w:pPr>
    </w:p>
    <w:p w:rsidR="0057644D" w:rsidP="00DA48B0" w14:paraId="4B1BC57B" w14:textId="15FA0DE7">
      <w:pPr>
        <w:widowControl/>
        <w:ind w:firstLine="720"/>
      </w:pPr>
      <w:r w:rsidRPr="00EF4246">
        <w:rPr>
          <w:color w:val="010101"/>
          <w:szCs w:val="22"/>
        </w:rPr>
        <w:t xml:space="preserve">  </w:t>
      </w:r>
      <w:r>
        <w:rPr>
          <w:color w:val="010101"/>
          <w:szCs w:val="22"/>
        </w:rPr>
        <w:t>Piper</w:t>
      </w:r>
      <w:r>
        <w:t xml:space="preserve"> claims that the deployment of the ETLS </w:t>
      </w:r>
      <w:r w:rsidR="005B3CFD">
        <w:t xml:space="preserve">would serve the public interest by allowing increased and safer train operations, and that the limited use of its system to discrete </w:t>
      </w:r>
      <w:r>
        <w:t xml:space="preserve">transportation corridors </w:t>
      </w:r>
      <w:r w:rsidR="005B3CFD">
        <w:t>at or below train height will mitigate t</w:t>
      </w:r>
      <w:r>
        <w:t>he risk</w:t>
      </w:r>
      <w:r w:rsidR="005B3CFD">
        <w:t xml:space="preserve"> of</w:t>
      </w:r>
      <w:r>
        <w:t xml:space="preserve"> causing harmful interference</w:t>
      </w:r>
      <w:r w:rsidR="005B3CFD">
        <w:t xml:space="preserve"> to authorized users in these bands and, therefore, will not undermine the purpose of the rules for which it seeks a waiver</w:t>
      </w:r>
      <w:r>
        <w:t>.</w:t>
      </w:r>
      <w:r>
        <w:rPr>
          <w:rStyle w:val="FootnoteReference"/>
        </w:rPr>
        <w:footnoteReference w:id="7"/>
      </w:r>
    </w:p>
    <w:p w:rsidR="009B50A6" w:rsidP="00DA48B0" w14:paraId="20BD9AA8" w14:textId="77777777">
      <w:pPr>
        <w:widowControl/>
        <w:ind w:firstLine="720"/>
      </w:pPr>
    </w:p>
    <w:p w:rsidR="00B12DF8" w:rsidP="00B12DF8" w14:paraId="6BE3B508" w14:textId="77777777">
      <w:pPr>
        <w:autoSpaceDE w:val="0"/>
        <w:autoSpaceDN w:val="0"/>
        <w:adjustRightInd w:val="0"/>
        <w:ind w:firstLine="720"/>
        <w:rPr>
          <w:rFonts w:ascii="TimesNewRoman" w:hAnsi="TimesNewRoman" w:cs="TimesNewRoman"/>
          <w:color w:val="010101"/>
        </w:rPr>
      </w:pPr>
      <w:r>
        <w:rPr>
          <w:szCs w:val="22"/>
        </w:rPr>
        <w:t xml:space="preserve">The Commission’s Office of Engineering and Technology (OET) seeks comment on </w:t>
      </w:r>
      <w:r w:rsidR="00CD7577">
        <w:rPr>
          <w:szCs w:val="22"/>
        </w:rPr>
        <w:t>Piper</w:t>
      </w:r>
      <w:r>
        <w:rPr>
          <w:szCs w:val="22"/>
        </w:rPr>
        <w:t>’s waiver request.</w:t>
      </w:r>
    </w:p>
    <w:p w:rsidR="00B12DF8" w:rsidP="00B12DF8" w14:paraId="19A4E8B9" w14:textId="77777777">
      <w:pPr>
        <w:widowControl/>
        <w:ind w:firstLine="720"/>
      </w:pPr>
    </w:p>
    <w:p w:rsidR="00B12DF8" w:rsidP="00B12DF8" w14:paraId="6680BB93" w14:textId="44DB2A9F">
      <w:pPr>
        <w:widowControl/>
        <w:ind w:firstLine="720"/>
      </w:pPr>
      <w:r>
        <w:t>Piper</w:t>
      </w:r>
      <w:r>
        <w:t xml:space="preserve"> submitted its waiver request electronically through the Commission’s Electronic Comment Filing System (ECFS) as a non-docketed filing in FCC INBOX-PART 15 (Petition for Waiver of Part 15).  In conjunction with the opening of ET Docket 19-</w:t>
      </w:r>
      <w:r w:rsidR="00855BDB">
        <w:t>246</w:t>
      </w:r>
      <w:r>
        <w:t>, the Commission moved the filing into this docket.  Parties should file all comments and reply comments in ET Docket 19-</w:t>
      </w:r>
      <w:r w:rsidR="00855BDB">
        <w:t>246.</w:t>
      </w:r>
      <w:r>
        <w:t xml:space="preserve"> </w:t>
      </w:r>
    </w:p>
    <w:p w:rsidR="00B12DF8" w:rsidP="00B12DF8" w14:paraId="73A8E358" w14:textId="77777777">
      <w:pPr>
        <w:widowControl/>
        <w:ind w:firstLine="720"/>
        <w:rPr>
          <w:snapToGrid/>
          <w:kern w:val="0"/>
          <w:sz w:val="24"/>
        </w:rPr>
      </w:pPr>
    </w:p>
    <w:p w:rsidR="00B12DF8" w:rsidRPr="00215D0A" w:rsidP="00B12DF8" w14:paraId="3126AB38" w14:textId="77777777">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 xml:space="preserve">OET has concluded that, to develop a complete record on the issues presented by this request, this proceeding will be treated, for </w:t>
      </w:r>
      <w:r>
        <w:rPr>
          <w:rFonts w:ascii="TimesNewRoman" w:hAnsi="TimesNewRoman" w:cs="TimesNewRoman"/>
          <w:i/>
          <w:color w:val="010101"/>
        </w:rPr>
        <w:t>ex parte</w:t>
      </w:r>
      <w:r>
        <w:rPr>
          <w:rFonts w:ascii="TimesNewRoman" w:hAnsi="TimesNewRoman" w:cs="TimesNewRoman"/>
          <w:color w:val="010101"/>
        </w:rPr>
        <w:t xml:space="preserve"> purposes, as a “permit-but-disclose” in accordance with Section 1.1200(a) of the Commission’s rules, subject to the requirements under Section 1.1206(b).</w:t>
      </w:r>
    </w:p>
    <w:p w:rsidR="00B12DF8" w:rsidP="00B12DF8" w14:paraId="33834DC0" w14:textId="77777777">
      <w:pPr>
        <w:autoSpaceDE w:val="0"/>
        <w:autoSpaceDN w:val="0"/>
        <w:adjustRightInd w:val="0"/>
        <w:rPr>
          <w:rFonts w:ascii="TimesNewRoman" w:hAnsi="TimesNewRoman" w:cs="TimesNewRoman"/>
          <w:color w:val="010101"/>
        </w:rPr>
      </w:pPr>
    </w:p>
    <w:p w:rsidR="00B12DF8" w:rsidP="00B12DF8" w14:paraId="4F4A8063" w14:textId="77777777">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 xml:space="preserve">Pursuant to sections 1.415 and 1.419 of the Commission’s rules, 47 CFR §§ 1.415, 1.419, interested parties may file comments and reply comments on or before the dates indicated on the first page of this document. Comments may be filed by using the Commission’s Electronic Comment Filing System (ECFS). </w:t>
      </w:r>
      <w:r>
        <w:rPr>
          <w:rFonts w:ascii="TimesNewRoman,Italic" w:hAnsi="TimesNewRoman,Italic" w:cs="TimesNewRoman,Italic"/>
          <w:i/>
          <w:iCs/>
          <w:color w:val="010101"/>
        </w:rPr>
        <w:t>See Electronic Filing of Documents in Rulemaking Proceedings</w:t>
      </w:r>
      <w:r>
        <w:rPr>
          <w:rFonts w:ascii="TimesNewRoman" w:hAnsi="TimesNewRoman" w:cs="TimesNewRoman"/>
          <w:color w:val="010101"/>
        </w:rPr>
        <w:t>, 63 FR 24121 (1998).</w:t>
      </w:r>
    </w:p>
    <w:p w:rsidR="00B12DF8" w:rsidP="00B12DF8" w14:paraId="782C344C" w14:textId="77777777">
      <w:pPr>
        <w:autoSpaceDE w:val="0"/>
        <w:autoSpaceDN w:val="0"/>
        <w:adjustRightInd w:val="0"/>
        <w:rPr>
          <w:rFonts w:ascii="TimesNewRoman" w:hAnsi="TimesNewRoman" w:cs="TimesNewRoman"/>
          <w:color w:val="010101"/>
        </w:rPr>
      </w:pPr>
    </w:p>
    <w:p w:rsidR="00B12DF8" w:rsidP="00B12DF8" w14:paraId="52DF3BBF" w14:textId="77777777">
      <w:pPr>
        <w:keepNext/>
        <w:widowControl/>
        <w:autoSpaceDE w:val="0"/>
        <w:autoSpaceDN w:val="0"/>
        <w:adjustRightInd w:val="0"/>
        <w:ind w:firstLine="720"/>
        <w:rPr>
          <w:rFonts w:ascii="TimesNewRoman" w:hAnsi="TimesNewRoman" w:cs="TimesNewRoman"/>
          <w:color w:val="010101"/>
        </w:rPr>
      </w:pPr>
      <w:r>
        <w:rPr>
          <w:rFonts w:ascii="Wingdings" w:hAnsi="Wingdings" w:cs="Wingdings"/>
          <w:color w:val="010101"/>
        </w:rPr>
        <w:sym w:font="Wingdings" w:char="F0A7"/>
      </w:r>
      <w:r>
        <w:rPr>
          <w:rFonts w:ascii="Wingdings" w:hAnsi="Wingdings" w:cs="Wingdings"/>
          <w:color w:val="010101"/>
        </w:rPr>
        <w:sym w:font="Wingdings" w:char="F020"/>
      </w:r>
      <w:r>
        <w:rPr>
          <w:rFonts w:ascii="TimesNewRoman" w:hAnsi="TimesNewRoman" w:cs="TimesNewRoman"/>
          <w:color w:val="010101"/>
        </w:rPr>
        <w:t>Electronic Filers: Comments may be filed electronically using the Internet by accessing the</w:t>
      </w:r>
    </w:p>
    <w:p w:rsidR="00B12DF8" w:rsidP="00B12DF8" w14:paraId="5903FD34" w14:textId="77777777">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 xml:space="preserve">ECFS: </w:t>
      </w:r>
      <w:r>
        <w:rPr>
          <w:rFonts w:ascii="TimesNewRoman" w:hAnsi="TimesNewRoman" w:cs="TimesNewRoman"/>
          <w:color w:val="0101FF"/>
        </w:rPr>
        <w:t>http://fjallfoss.fcc.gov/ecfs2</w:t>
      </w:r>
    </w:p>
    <w:p w:rsidR="00B12DF8" w:rsidP="00B12DF8" w14:paraId="0915A689" w14:textId="77777777">
      <w:pPr>
        <w:autoSpaceDE w:val="0"/>
        <w:autoSpaceDN w:val="0"/>
        <w:adjustRightInd w:val="0"/>
        <w:rPr>
          <w:rFonts w:ascii="TimesNewRoman" w:hAnsi="TimesNewRoman" w:cs="TimesNewRoman"/>
          <w:color w:val="010101"/>
        </w:rPr>
      </w:pPr>
    </w:p>
    <w:p w:rsidR="00B12DF8" w:rsidP="00B12DF8" w14:paraId="1EA285CD" w14:textId="77777777">
      <w:pPr>
        <w:autoSpaceDE w:val="0"/>
        <w:autoSpaceDN w:val="0"/>
        <w:adjustRightInd w:val="0"/>
        <w:ind w:left="720"/>
        <w:rPr>
          <w:rFonts w:ascii="TimesNewRoman" w:hAnsi="TimesNewRoman" w:cs="TimesNewRoman"/>
          <w:color w:val="010101"/>
        </w:rPr>
      </w:pPr>
      <w:r>
        <w:rPr>
          <w:rFonts w:ascii="Wingdings" w:hAnsi="Wingdings" w:cs="Wingdings"/>
          <w:color w:val="010101"/>
        </w:rPr>
        <w:sym w:font="Wingdings" w:char="F0A7"/>
      </w:r>
      <w:r>
        <w:rPr>
          <w:rFonts w:ascii="Wingdings" w:hAnsi="Wingdings" w:cs="Wingdings"/>
          <w:color w:val="010101"/>
        </w:rPr>
        <w:sym w:font="Wingdings" w:char="F020"/>
      </w:r>
      <w:r>
        <w:rPr>
          <w:rFonts w:ascii="TimesNewRoman" w:hAnsi="TimesNewRoman" w:cs="TimesNewRoman"/>
          <w:color w:val="010101"/>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B12DF8" w:rsidP="00B12DF8" w14:paraId="5BF3CD82" w14:textId="77777777">
      <w:pPr>
        <w:autoSpaceDE w:val="0"/>
        <w:autoSpaceDN w:val="0"/>
        <w:adjustRightInd w:val="0"/>
        <w:rPr>
          <w:rFonts w:ascii="TimesNewRoman" w:hAnsi="TimesNewRoman" w:cs="TimesNewRoman"/>
          <w:color w:val="010101"/>
        </w:rPr>
      </w:pPr>
    </w:p>
    <w:p w:rsidR="00B12DF8" w:rsidP="00B12DF8" w14:paraId="331FCB5F" w14:textId="77777777">
      <w:pPr>
        <w:autoSpaceDE w:val="0"/>
        <w:autoSpaceDN w:val="0"/>
        <w:adjustRightInd w:val="0"/>
        <w:ind w:left="720"/>
        <w:rPr>
          <w:rFonts w:ascii="TimesNewRoman" w:hAnsi="TimesNewRoman" w:cs="TimesNewRoman"/>
          <w:color w:val="010101"/>
        </w:rPr>
      </w:pPr>
      <w:r>
        <w:rPr>
          <w:rFonts w:ascii="TimesNewRoman" w:hAnsi="TimesNewRoman" w:cs="TimesNewRoman"/>
          <w:color w:val="010101"/>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12DF8" w:rsidP="00B12DF8" w14:paraId="65C9B880" w14:textId="77777777">
      <w:pPr>
        <w:autoSpaceDE w:val="0"/>
        <w:autoSpaceDN w:val="0"/>
        <w:adjustRightInd w:val="0"/>
        <w:rPr>
          <w:rFonts w:ascii="TimesNewRoman" w:hAnsi="TimesNewRoman" w:cs="TimesNewRoman"/>
          <w:color w:val="010101"/>
        </w:rPr>
      </w:pPr>
    </w:p>
    <w:p w:rsidR="00B12DF8" w:rsidP="00B12DF8" w14:paraId="06B80129" w14:textId="77777777">
      <w:pPr>
        <w:autoSpaceDE w:val="0"/>
        <w:autoSpaceDN w:val="0"/>
        <w:adjustRightInd w:val="0"/>
        <w:ind w:left="1440"/>
        <w:rPr>
          <w:rFonts w:ascii="TimesNewRoman" w:hAnsi="TimesNewRoman" w:cs="TimesNewRoman"/>
          <w:color w:val="010101"/>
        </w:rPr>
      </w:pPr>
      <w:r>
        <w:rPr>
          <w:rFonts w:ascii="Wingdings" w:hAnsi="Wingdings" w:cs="Wingdings"/>
          <w:color w:val="010101"/>
        </w:rPr>
        <w:sym w:font="Wingdings" w:char="F0A7"/>
      </w:r>
      <w:r>
        <w:rPr>
          <w:rFonts w:ascii="Wingdings" w:hAnsi="Wingdings" w:cs="Wingdings"/>
          <w:color w:val="010101"/>
        </w:rPr>
        <w:sym w:font="Wingdings" w:char="F020"/>
      </w:r>
      <w:r>
        <w:rPr>
          <w:rFonts w:ascii="TimesNewRoman" w:hAnsi="TimesNewRoman" w:cs="TimesNewRoman"/>
          <w:color w:val="010101"/>
        </w:rPr>
        <w:t>All hand-delivered or messenger-delivered paper filings for the Commission’s Secretary must be delivered to FCC Headquarters at 445 12</w:t>
      </w:r>
      <w:r>
        <w:rPr>
          <w:rFonts w:ascii="TimesNewRoman" w:hAnsi="TimesNewRoman" w:cs="TimesNewRoman"/>
          <w:color w:val="010101"/>
          <w:sz w:val="14"/>
          <w:szCs w:val="14"/>
        </w:rPr>
        <w:t xml:space="preserve">th </w:t>
      </w:r>
      <w:r>
        <w:rPr>
          <w:rFonts w:ascii="TimesNewRoman" w:hAnsi="TimesNewRoman" w:cs="TimesNewRoman"/>
          <w:color w:val="010101"/>
        </w:rPr>
        <w:t>St., SW, Room TW-A325,</w:t>
      </w:r>
    </w:p>
    <w:p w:rsidR="00B12DF8" w:rsidP="00B12DF8" w14:paraId="5C1142A2" w14:textId="77777777">
      <w:pPr>
        <w:autoSpaceDE w:val="0"/>
        <w:autoSpaceDN w:val="0"/>
        <w:adjustRightInd w:val="0"/>
        <w:ind w:left="720" w:firstLine="720"/>
        <w:rPr>
          <w:rFonts w:ascii="TimesNewRoman" w:hAnsi="TimesNewRoman" w:cs="TimesNewRoman"/>
          <w:color w:val="010101"/>
        </w:rPr>
      </w:pPr>
      <w:r>
        <w:rPr>
          <w:rFonts w:ascii="TimesNewRoman" w:hAnsi="TimesNewRoman" w:cs="TimesNewRoman"/>
          <w:color w:val="010101"/>
        </w:rPr>
        <w:t>Washington, DC 20554. The filing hours are 8:00 a.m. to 7:00 p.m. All hand deliveries</w:t>
      </w:r>
    </w:p>
    <w:p w:rsidR="00B12DF8" w:rsidP="00B12DF8" w14:paraId="1D36184C" w14:textId="77777777">
      <w:pPr>
        <w:autoSpaceDE w:val="0"/>
        <w:autoSpaceDN w:val="0"/>
        <w:adjustRightInd w:val="0"/>
        <w:ind w:left="720" w:firstLine="720"/>
        <w:rPr>
          <w:rFonts w:ascii="TimesNewRoman" w:hAnsi="TimesNewRoman" w:cs="TimesNewRoman"/>
          <w:color w:val="010101"/>
        </w:rPr>
      </w:pPr>
      <w:r>
        <w:rPr>
          <w:rFonts w:ascii="TimesNewRoman" w:hAnsi="TimesNewRoman" w:cs="TimesNewRoman"/>
          <w:color w:val="010101"/>
        </w:rPr>
        <w:t>must be held together with rubber bands or fasteners. Any envelopes must be disposed of</w:t>
      </w:r>
    </w:p>
    <w:p w:rsidR="00B12DF8" w:rsidP="00B12DF8" w14:paraId="3F4ECE1D" w14:textId="77777777">
      <w:pPr>
        <w:autoSpaceDE w:val="0"/>
        <w:autoSpaceDN w:val="0"/>
        <w:adjustRightInd w:val="0"/>
        <w:ind w:left="720" w:firstLine="720"/>
        <w:rPr>
          <w:rFonts w:ascii="TimesNewRoman" w:hAnsi="TimesNewRoman" w:cs="TimesNewRoman"/>
          <w:color w:val="010101"/>
        </w:rPr>
      </w:pPr>
      <w:r>
        <w:rPr>
          <w:rFonts w:ascii="TimesNewRoman" w:hAnsi="TimesNewRoman" w:cs="TimesNewRoman"/>
          <w:color w:val="010101"/>
        </w:rPr>
        <w:t>before entering the building.</w:t>
      </w:r>
    </w:p>
    <w:p w:rsidR="00B12DF8" w:rsidP="00B12DF8" w14:paraId="4D45F258" w14:textId="77777777">
      <w:pPr>
        <w:autoSpaceDE w:val="0"/>
        <w:autoSpaceDN w:val="0"/>
        <w:adjustRightInd w:val="0"/>
        <w:rPr>
          <w:rFonts w:ascii="TimesNewRoman" w:hAnsi="TimesNewRoman" w:cs="TimesNewRoman"/>
          <w:color w:val="010101"/>
        </w:rPr>
      </w:pPr>
    </w:p>
    <w:p w:rsidR="00B12DF8" w:rsidP="00B12DF8" w14:paraId="0F6F0292" w14:textId="77777777">
      <w:pPr>
        <w:autoSpaceDE w:val="0"/>
        <w:autoSpaceDN w:val="0"/>
        <w:adjustRightInd w:val="0"/>
        <w:ind w:left="720" w:firstLine="720"/>
        <w:rPr>
          <w:rFonts w:ascii="TimesNewRoman" w:hAnsi="TimesNewRoman" w:cs="TimesNewRoman"/>
          <w:color w:val="010101"/>
        </w:rPr>
      </w:pPr>
      <w:r>
        <w:rPr>
          <w:rFonts w:ascii="Wingdings" w:hAnsi="Wingdings" w:cs="Wingdings"/>
          <w:color w:val="010101"/>
        </w:rPr>
        <w:sym w:font="Wingdings" w:char="F0A7"/>
      </w:r>
      <w:r>
        <w:rPr>
          <w:rFonts w:ascii="Wingdings" w:hAnsi="Wingdings" w:cs="Wingdings"/>
          <w:color w:val="010101"/>
        </w:rPr>
        <w:sym w:font="Wingdings" w:char="F020"/>
      </w:r>
      <w:r>
        <w:rPr>
          <w:rFonts w:ascii="TimesNewRoman" w:hAnsi="TimesNewRoman" w:cs="TimesNewRoman"/>
          <w:color w:val="010101"/>
        </w:rPr>
        <w:t>Commercial overnight mail (other than U.S. Postal Service Express Mail and Priority</w:t>
      </w:r>
    </w:p>
    <w:p w:rsidR="00B12DF8" w:rsidP="00B12DF8" w14:paraId="30C26465" w14:textId="77777777">
      <w:pPr>
        <w:autoSpaceDE w:val="0"/>
        <w:autoSpaceDN w:val="0"/>
        <w:adjustRightInd w:val="0"/>
        <w:ind w:left="720" w:firstLine="720"/>
        <w:rPr>
          <w:rFonts w:ascii="TimesNewRoman" w:hAnsi="TimesNewRoman" w:cs="TimesNewRoman"/>
          <w:color w:val="010101"/>
        </w:rPr>
      </w:pPr>
      <w:r>
        <w:rPr>
          <w:rFonts w:ascii="TimesNewRoman" w:hAnsi="TimesNewRoman" w:cs="TimesNewRoman"/>
          <w:color w:val="010101"/>
        </w:rPr>
        <w:t>Mail) must be sent to 9300 East Hampton Drive, Capitol Heights, MD 20743.</w:t>
      </w:r>
    </w:p>
    <w:p w:rsidR="00B12DF8" w:rsidP="00B12DF8" w14:paraId="2C9249DD" w14:textId="77777777">
      <w:pPr>
        <w:autoSpaceDE w:val="0"/>
        <w:autoSpaceDN w:val="0"/>
        <w:adjustRightInd w:val="0"/>
        <w:ind w:firstLine="720"/>
        <w:rPr>
          <w:rFonts w:ascii="Wingdings" w:hAnsi="Wingdings" w:cs="Wingdings"/>
          <w:color w:val="010101"/>
        </w:rPr>
      </w:pPr>
    </w:p>
    <w:p w:rsidR="00B12DF8" w:rsidP="00B12DF8" w14:paraId="03286E98" w14:textId="77777777">
      <w:pPr>
        <w:autoSpaceDE w:val="0"/>
        <w:autoSpaceDN w:val="0"/>
        <w:adjustRightInd w:val="0"/>
        <w:ind w:left="1440"/>
        <w:rPr>
          <w:rFonts w:ascii="TimesNewRoman" w:hAnsi="TimesNewRoman" w:cs="TimesNewRoman"/>
          <w:color w:val="010101"/>
        </w:rPr>
      </w:pPr>
      <w:r>
        <w:rPr>
          <w:rFonts w:ascii="Wingdings" w:hAnsi="Wingdings" w:cs="Wingdings"/>
          <w:color w:val="010101"/>
        </w:rPr>
        <w:sym w:font="Wingdings" w:char="F0A7"/>
      </w:r>
      <w:r>
        <w:rPr>
          <w:rFonts w:ascii="Wingdings" w:hAnsi="Wingdings" w:cs="Wingdings"/>
          <w:color w:val="010101"/>
        </w:rPr>
        <w:sym w:font="Wingdings" w:char="F020"/>
      </w:r>
      <w:r>
        <w:rPr>
          <w:rFonts w:ascii="TimesNewRoman" w:hAnsi="TimesNewRoman" w:cs="TimesNewRoman"/>
          <w:color w:val="010101"/>
        </w:rPr>
        <w:t>U.S. Postal Service first-class, Express, and Priority mail must be addressed to 445 12</w:t>
      </w:r>
      <w:r w:rsidRPr="005B02C3">
        <w:rPr>
          <w:rFonts w:ascii="TimesNewRoman" w:hAnsi="TimesNewRoman" w:cs="TimesNewRoman"/>
          <w:color w:val="010101"/>
          <w:sz w:val="14"/>
          <w:szCs w:val="14"/>
          <w:vertAlign w:val="superscript"/>
        </w:rPr>
        <w:t>th</w:t>
      </w:r>
      <w:r>
        <w:rPr>
          <w:rFonts w:ascii="TimesNewRoman" w:hAnsi="TimesNewRoman" w:cs="TimesNewRoman"/>
          <w:color w:val="010101"/>
          <w:sz w:val="14"/>
          <w:szCs w:val="14"/>
        </w:rPr>
        <w:t xml:space="preserve"> </w:t>
      </w:r>
      <w:r>
        <w:rPr>
          <w:rFonts w:ascii="TimesNewRoman" w:hAnsi="TimesNewRoman" w:cs="TimesNewRoman"/>
          <w:color w:val="010101"/>
        </w:rPr>
        <w:t>Street, SW, Washington DC 20554.</w:t>
      </w:r>
    </w:p>
    <w:p w:rsidR="00B12DF8" w:rsidP="00B12DF8" w14:paraId="41275F63" w14:textId="77777777">
      <w:pPr>
        <w:autoSpaceDE w:val="0"/>
        <w:autoSpaceDN w:val="0"/>
        <w:adjustRightInd w:val="0"/>
        <w:rPr>
          <w:rFonts w:ascii="TimesNewRoman" w:hAnsi="TimesNewRoman" w:cs="TimesNewRoman"/>
          <w:color w:val="010101"/>
        </w:rPr>
      </w:pPr>
    </w:p>
    <w:p w:rsidR="00B12DF8" w:rsidP="00B12DF8" w14:paraId="1E832C37" w14:textId="77777777">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People with Disabilities: To request materials in accessible formats for people with disabilities</w:t>
      </w:r>
    </w:p>
    <w:p w:rsidR="00B12DF8" w:rsidP="00B12DF8" w14:paraId="2943FCE5" w14:textId="77777777">
      <w:pPr>
        <w:autoSpaceDE w:val="0"/>
        <w:autoSpaceDN w:val="0"/>
        <w:adjustRightInd w:val="0"/>
        <w:rPr>
          <w:rFonts w:ascii="TimesNewRoman" w:hAnsi="TimesNewRoman" w:cs="TimesNewRoman"/>
          <w:color w:val="010101"/>
        </w:rPr>
      </w:pPr>
      <w:r>
        <w:rPr>
          <w:rFonts w:ascii="TimesNewRoman" w:hAnsi="TimesNewRoman" w:cs="TimesNewRoman"/>
          <w:color w:val="010101"/>
        </w:rPr>
        <w:t xml:space="preserve">(braille, large print, electronic files, audio format), send an e-mail to </w:t>
      </w:r>
      <w:r>
        <w:rPr>
          <w:rFonts w:ascii="TimesNewRoman" w:hAnsi="TimesNewRoman" w:cs="TimesNewRoman"/>
          <w:color w:val="0101FF"/>
        </w:rPr>
        <w:t xml:space="preserve">fcc504@fcc.gov </w:t>
      </w:r>
      <w:r>
        <w:rPr>
          <w:rFonts w:ascii="TimesNewRoman" w:hAnsi="TimesNewRoman" w:cs="TimesNewRoman"/>
          <w:color w:val="010101"/>
        </w:rPr>
        <w:t>or call the</w:t>
      </w:r>
    </w:p>
    <w:p w:rsidR="00B12DF8" w:rsidP="00B12DF8" w14:paraId="30499889" w14:textId="77777777">
      <w:pPr>
        <w:autoSpaceDE w:val="0"/>
        <w:autoSpaceDN w:val="0"/>
        <w:adjustRightInd w:val="0"/>
        <w:rPr>
          <w:rFonts w:ascii="TimesNewRoman" w:hAnsi="TimesNewRoman" w:cs="TimesNewRoman"/>
          <w:color w:val="010101"/>
        </w:rPr>
      </w:pPr>
      <w:r>
        <w:rPr>
          <w:rFonts w:ascii="TimesNewRoman" w:hAnsi="TimesNewRoman" w:cs="TimesNewRoman"/>
          <w:color w:val="010101"/>
        </w:rPr>
        <w:t>Consumer &amp; Governmental Affairs Bureau at 202-418-0530 (voice), 202-418-0432 (tty).</w:t>
      </w:r>
    </w:p>
    <w:p w:rsidR="00B12DF8" w:rsidP="00B12DF8" w14:paraId="126D9438" w14:textId="77777777">
      <w:pPr>
        <w:autoSpaceDE w:val="0"/>
        <w:autoSpaceDN w:val="0"/>
        <w:adjustRightInd w:val="0"/>
        <w:rPr>
          <w:rFonts w:ascii="TimesNewRoman" w:hAnsi="TimesNewRoman" w:cs="TimesNewRoman"/>
          <w:color w:val="010101"/>
        </w:rPr>
      </w:pPr>
    </w:p>
    <w:p w:rsidR="00B12DF8" w:rsidP="00B12DF8" w14:paraId="10DBD0A9" w14:textId="77777777">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 xml:space="preserve">Parties should also send a copy of their filings to Syed Hasan, Office of Engineering and </w:t>
      </w:r>
      <w:r>
        <w:rPr>
          <w:rFonts w:ascii="TimesNewRoman" w:hAnsi="TimesNewRoman" w:cs="TimesNewRoman"/>
          <w:color w:val="010101"/>
        </w:rPr>
        <w:t xml:space="preserve">Technology, Federal Communications Commission, Room 7-A445, 445 12th Street, SW, Washington, DC 20554, or by e-mail to </w:t>
      </w:r>
      <w:hyperlink r:id="rId5" w:history="1">
        <w:r w:rsidRPr="00B97891" w:rsidR="00CD7577">
          <w:rPr>
            <w:rStyle w:val="Hyperlink"/>
            <w:rFonts w:ascii="TimesNewRoman" w:hAnsi="TimesNewRoman" w:cs="TimesNewRoman"/>
          </w:rPr>
          <w:t>Syed.Hasan@fcc.gov</w:t>
        </w:r>
      </w:hyperlink>
      <w:r>
        <w:rPr>
          <w:rFonts w:ascii="TimesNewRoman" w:hAnsi="TimesNewRoman" w:cs="TimesNewRoman"/>
          <w:color w:val="010101"/>
        </w:rPr>
        <w:t>.</w:t>
      </w:r>
    </w:p>
    <w:p w:rsidR="00B12DF8" w:rsidP="00B12DF8" w14:paraId="5BE08C3B" w14:textId="77777777">
      <w:pPr>
        <w:autoSpaceDE w:val="0"/>
        <w:autoSpaceDN w:val="0"/>
        <w:adjustRightInd w:val="0"/>
        <w:rPr>
          <w:rFonts w:ascii="TimesNewRoman" w:hAnsi="TimesNewRoman" w:cs="TimesNewRoman"/>
          <w:color w:val="010101"/>
        </w:rPr>
      </w:pPr>
    </w:p>
    <w:p w:rsidR="00B12DF8" w:rsidP="00B12DF8" w14:paraId="50708D0C" w14:textId="77777777">
      <w:pPr>
        <w:autoSpaceDE w:val="0"/>
        <w:autoSpaceDN w:val="0"/>
        <w:adjustRightInd w:val="0"/>
        <w:ind w:firstLine="720"/>
        <w:rPr>
          <w:rFonts w:ascii="TimesNewRoman" w:hAnsi="TimesNewRoman" w:cs="TimesNewRoman"/>
          <w:color w:val="010101"/>
        </w:rPr>
      </w:pPr>
      <w:r>
        <w:rPr>
          <w:rFonts w:ascii="TimesNewRoman" w:hAnsi="TimesNewRoman" w:cs="TimesNewRoman"/>
          <w:color w:val="010101"/>
        </w:rPr>
        <w:t xml:space="preserve">Documents in are available for viewing on ECFS, </w:t>
      </w:r>
      <w:r>
        <w:rPr>
          <w:rFonts w:ascii="TimesNewRoman" w:hAnsi="TimesNewRoman" w:cs="TimesNewRoman"/>
          <w:color w:val="0101FF"/>
        </w:rPr>
        <w:t>http://www/fcc/gov/cgb/ecfs</w:t>
      </w:r>
      <w:r>
        <w:rPr>
          <w:rFonts w:ascii="TimesNewRoman" w:hAnsi="TimesNewRoman" w:cs="TimesNewRoman"/>
          <w:color w:val="010101"/>
        </w:rPr>
        <w:t>, by entering the docket number. These documents are available for public inspection and copying during business hours at the FCC Reference Information Center, Portals II, 445 12th Street, SW, Room CY-A257, Washington, DC 20554.</w:t>
      </w:r>
    </w:p>
    <w:p w:rsidR="00B12DF8" w:rsidP="00B12DF8" w14:paraId="08DFE87E" w14:textId="77777777">
      <w:pPr>
        <w:autoSpaceDE w:val="0"/>
        <w:autoSpaceDN w:val="0"/>
        <w:adjustRightInd w:val="0"/>
        <w:rPr>
          <w:rFonts w:ascii="TimesNewRoman" w:hAnsi="TimesNewRoman" w:cs="TimesNewRoman"/>
          <w:color w:val="010101"/>
        </w:rPr>
      </w:pPr>
    </w:p>
    <w:p w:rsidR="00B12DF8" w:rsidP="00B12DF8" w14:paraId="10E6E92A" w14:textId="77777777">
      <w:pPr>
        <w:autoSpaceDE w:val="0"/>
        <w:autoSpaceDN w:val="0"/>
        <w:adjustRightInd w:val="0"/>
        <w:rPr>
          <w:rFonts w:ascii="TimesNewRoman" w:hAnsi="TimesNewRoman" w:cs="TimesNewRoman"/>
          <w:color w:val="010101"/>
        </w:rPr>
      </w:pPr>
      <w:r>
        <w:rPr>
          <w:rFonts w:ascii="TimesNewRoman" w:hAnsi="TimesNewRoman" w:cs="TimesNewRoman"/>
          <w:color w:val="010101"/>
        </w:rPr>
        <w:t>Office of Engineering and Technology contact: Syed Hasan at (202) 418-2454.</w:t>
      </w:r>
    </w:p>
    <w:p w:rsidR="00B12DF8" w:rsidP="00B12DF8" w14:paraId="058BBD5D" w14:textId="77777777">
      <w:pPr>
        <w:autoSpaceDE w:val="0"/>
        <w:autoSpaceDN w:val="0"/>
        <w:adjustRightInd w:val="0"/>
        <w:rPr>
          <w:rFonts w:ascii="TimesNewRoman" w:hAnsi="TimesNewRoman" w:cs="TimesNewRoman"/>
          <w:color w:val="010101"/>
        </w:rPr>
      </w:pPr>
    </w:p>
    <w:p w:rsidR="00B12DF8" w:rsidP="00B12DF8" w14:paraId="5CEC48BD" w14:textId="77777777">
      <w:pPr>
        <w:autoSpaceDE w:val="0"/>
        <w:autoSpaceDN w:val="0"/>
        <w:adjustRightInd w:val="0"/>
        <w:rPr>
          <w:rFonts w:ascii="TimesNewRoman" w:hAnsi="TimesNewRoman" w:cs="TimesNewRoman"/>
          <w:color w:val="010101"/>
        </w:rPr>
      </w:pPr>
      <w:r>
        <w:rPr>
          <w:rFonts w:ascii="TimesNewRoman" w:hAnsi="TimesNewRoman" w:cs="TimesNewRoman"/>
          <w:color w:val="010101"/>
        </w:rPr>
        <w:t xml:space="preserve">By the Chief, Office of Engineering and Technology    </w:t>
      </w:r>
    </w:p>
    <w:p w:rsidR="00B12DF8" w:rsidP="00B12DF8" w14:paraId="6FAF5E16" w14:textId="77777777">
      <w:pPr>
        <w:autoSpaceDE w:val="0"/>
        <w:autoSpaceDN w:val="0"/>
        <w:adjustRightInd w:val="0"/>
        <w:rPr>
          <w:rFonts w:ascii="TimesNewRoman" w:hAnsi="TimesNewRoman" w:cs="TimesNewRoman"/>
          <w:color w:val="010101"/>
        </w:rPr>
      </w:pPr>
      <w:r>
        <w:rPr>
          <w:rFonts w:ascii="TimesNewRoman" w:hAnsi="TimesNewRoman" w:cs="TimesNewRoman"/>
          <w:color w:val="010101"/>
        </w:rPr>
        <w:t xml:space="preserve">                                                        </w:t>
      </w:r>
    </w:p>
    <w:p w:rsidR="00D641D3" w14:paraId="4A4BBBCC" w14:textId="1BE1F0B4">
      <w:r>
        <w:rPr>
          <w:rFonts w:ascii="TimesNewRoman" w:hAnsi="TimesNewRoman" w:cs="TimesNewRoman"/>
          <w:color w:val="010101"/>
        </w:rPr>
        <w:t xml:space="preserve">                                                                                    FCC</w:t>
      </w:r>
      <w:bookmarkEnd w:id="1"/>
    </w:p>
    <w:sectPr w:rsidSect="000E5884">
      <w:headerReference w:type="default" r:id="rId6"/>
      <w:footerReference w:type="even" r:id="rId7"/>
      <w:footerReference w:type="default" r:id="rId8"/>
      <w:headerReference w:type="first" r:id="rId9"/>
      <w:footerReference w:type="first" r:id="rId10"/>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CA2697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DB3F1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B51ED89"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7C442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2DF8" w:rsidP="00B12DF8" w14:paraId="56704E36" w14:textId="77777777">
      <w:r>
        <w:separator/>
      </w:r>
    </w:p>
  </w:footnote>
  <w:footnote w:type="continuationSeparator" w:id="1">
    <w:p w:rsidR="00B12DF8" w:rsidP="00B12DF8" w14:paraId="06BC0B42" w14:textId="77777777">
      <w:r>
        <w:continuationSeparator/>
      </w:r>
    </w:p>
  </w:footnote>
  <w:footnote w:id="2">
    <w:p w:rsidR="002D3C85" w14:paraId="49FD544C" w14:textId="4DE16EB0">
      <w:pPr>
        <w:pStyle w:val="FootnoteText"/>
      </w:pPr>
      <w:r>
        <w:rPr>
          <w:rStyle w:val="FootnoteReference"/>
        </w:rPr>
        <w:footnoteRef/>
      </w:r>
      <w:r>
        <w:t xml:space="preserve"> Request by Piper Networks, Inc</w:t>
      </w:r>
      <w:r w:rsidR="006279D2">
        <w:t>.</w:t>
      </w:r>
      <w:r>
        <w:t xml:space="preserve"> for Waiver of Sections 15.250(c)-(d) and 15.519(a) of the Commission’s Rules</w:t>
      </w:r>
      <w:r w:rsidR="002408E2">
        <w:t>, filed June 6, 2019 (Piper Waiver Request)</w:t>
      </w:r>
    </w:p>
  </w:footnote>
  <w:footnote w:id="3">
    <w:p w:rsidR="00E901B4" w14:paraId="14740CAC" w14:textId="6CE6C33F">
      <w:pPr>
        <w:pStyle w:val="FootnoteText"/>
      </w:pPr>
      <w:r>
        <w:rPr>
          <w:rStyle w:val="FootnoteReference"/>
        </w:rPr>
        <w:footnoteRef/>
      </w:r>
      <w:r>
        <w:t xml:space="preserve"> </w:t>
      </w:r>
      <w:r w:rsidRPr="00D70D87" w:rsidR="004430EC">
        <w:rPr>
          <w:i/>
        </w:rPr>
        <w:t>See</w:t>
      </w:r>
      <w:r w:rsidR="004430EC">
        <w:t xml:space="preserve"> 47 CFR § 15.519(a)</w:t>
      </w:r>
      <w:r w:rsidR="006279D2">
        <w:t>.</w:t>
      </w:r>
    </w:p>
  </w:footnote>
  <w:footnote w:id="4">
    <w:p w:rsidR="009F5C39" w:rsidP="009F5C39" w14:paraId="74466417" w14:textId="77777777">
      <w:pPr>
        <w:pStyle w:val="FootnoteText"/>
      </w:pPr>
      <w:r>
        <w:rPr>
          <w:rStyle w:val="FootnoteReference"/>
        </w:rPr>
        <w:footnoteRef/>
      </w:r>
      <w:r>
        <w:t xml:space="preserve"> </w:t>
      </w:r>
      <w:r w:rsidRPr="00D70D87">
        <w:rPr>
          <w:i/>
        </w:rPr>
        <w:t>See</w:t>
      </w:r>
      <w:r>
        <w:t xml:space="preserve"> 47 CFR § 15.519(a)(2).</w:t>
      </w:r>
    </w:p>
  </w:footnote>
  <w:footnote w:id="5">
    <w:p w:rsidR="00E01006" w14:paraId="253F245A" w14:textId="772E2DA6">
      <w:pPr>
        <w:pStyle w:val="FootnoteText"/>
      </w:pPr>
      <w:r>
        <w:rPr>
          <w:rStyle w:val="FootnoteReference"/>
        </w:rPr>
        <w:footnoteRef/>
      </w:r>
      <w:r>
        <w:t xml:space="preserve"> 47 CFR § 15.250(c)</w:t>
      </w:r>
      <w:r w:rsidR="006279D2">
        <w:t xml:space="preserve"> and</w:t>
      </w:r>
      <w:r>
        <w:t xml:space="preserve"> (d).</w:t>
      </w:r>
    </w:p>
  </w:footnote>
  <w:footnote w:id="6">
    <w:p w:rsidR="001F539D" w14:paraId="509B4CD0" w14:textId="6BDD3129">
      <w:pPr>
        <w:pStyle w:val="FootnoteText"/>
      </w:pPr>
      <w:r>
        <w:rPr>
          <w:rStyle w:val="FootnoteReference"/>
        </w:rPr>
        <w:footnoteRef/>
      </w:r>
      <w:r>
        <w:t xml:space="preserve"> Piper Waiver Request at 11</w:t>
      </w:r>
      <w:r w:rsidR="006279D2">
        <w:t>.</w:t>
      </w:r>
    </w:p>
  </w:footnote>
  <w:footnote w:id="7">
    <w:p w:rsidR="00E01006" w14:paraId="34F416FC" w14:textId="585BF0DB">
      <w:pPr>
        <w:pStyle w:val="FootnoteText"/>
      </w:pPr>
      <w:r>
        <w:rPr>
          <w:rStyle w:val="FootnoteReference"/>
        </w:rPr>
        <w:footnoteRef/>
      </w:r>
      <w:r>
        <w:t xml:space="preserve"> Piper Waiver Request at 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14:paraId="7887B5D1" w14:textId="77777777">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83F3AAA"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2E17BCB" w14:textId="77777777">
                    <w:pPr>
                      <w:rPr>
                        <w:rFonts w:ascii="Arial" w:hAnsi="Arial"/>
                        <w:b/>
                      </w:rPr>
                    </w:pPr>
                    <w:r>
                      <w:rPr>
                        <w:rFonts w:ascii="Arial" w:hAnsi="Arial"/>
                        <w:b/>
                      </w:rPr>
                      <w:t>Federal Communications Commission</w:t>
                    </w:r>
                  </w:p>
                  <w:p w:rsidR="009838BC" w:rsidP="009838BC" w14:paraId="7F570FA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9FFA17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05488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CBA4348"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08372B9A" w14:textId="77777777">
                    <w:pPr>
                      <w:spacing w:before="40"/>
                      <w:jc w:val="right"/>
                      <w:rPr>
                        <w:rFonts w:ascii="Arial" w:hAnsi="Arial"/>
                        <w:b/>
                        <w:sz w:val="16"/>
                      </w:rPr>
                    </w:pPr>
                    <w:r>
                      <w:rPr>
                        <w:rFonts w:ascii="Arial" w:hAnsi="Arial"/>
                        <w:b/>
                        <w:sz w:val="16"/>
                      </w:rPr>
                      <w:t>News Media Information 202 / 418-0500</w:t>
                    </w:r>
                  </w:p>
                  <w:p w:rsidR="009838BC" w:rsidP="009838BC" w14:paraId="47907568"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BF4F50B" w14:textId="77777777">
                    <w:pPr>
                      <w:jc w:val="right"/>
                    </w:pPr>
                    <w:r>
                      <w:rPr>
                        <w:rFonts w:ascii="Arial" w:hAnsi="Arial"/>
                        <w:b/>
                        <w:sz w:val="16"/>
                      </w:rPr>
                      <w:t>TTY: 1-888-835-5322</w:t>
                    </w:r>
                  </w:p>
                </w:txbxContent>
              </v:textbox>
            </v:shape>
          </w:pict>
        </mc:Fallback>
      </mc:AlternateContent>
    </w:r>
  </w:p>
  <w:p w:rsidR="006F7393" w:rsidRPr="009838BC" w:rsidP="009838BC" w14:paraId="30B3EB7D" w14:textId="77777777">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F8"/>
    <w:rsid w:val="000134E5"/>
    <w:rsid w:val="00022BD2"/>
    <w:rsid w:val="00040766"/>
    <w:rsid w:val="000D5E8F"/>
    <w:rsid w:val="00114DBA"/>
    <w:rsid w:val="00141A08"/>
    <w:rsid w:val="00153CF8"/>
    <w:rsid w:val="001A4CBC"/>
    <w:rsid w:val="001F539D"/>
    <w:rsid w:val="00201C3D"/>
    <w:rsid w:val="00215D0A"/>
    <w:rsid w:val="002408E2"/>
    <w:rsid w:val="00247FC5"/>
    <w:rsid w:val="002D3C85"/>
    <w:rsid w:val="002D6748"/>
    <w:rsid w:val="002E0049"/>
    <w:rsid w:val="003067B8"/>
    <w:rsid w:val="00346140"/>
    <w:rsid w:val="00357D50"/>
    <w:rsid w:val="0036532A"/>
    <w:rsid w:val="00376A89"/>
    <w:rsid w:val="003C0CEB"/>
    <w:rsid w:val="003D7208"/>
    <w:rsid w:val="004202CD"/>
    <w:rsid w:val="004430EC"/>
    <w:rsid w:val="004536A7"/>
    <w:rsid w:val="004842B2"/>
    <w:rsid w:val="004D6485"/>
    <w:rsid w:val="00500EAF"/>
    <w:rsid w:val="00546B5E"/>
    <w:rsid w:val="0055614C"/>
    <w:rsid w:val="0057644D"/>
    <w:rsid w:val="005A42C3"/>
    <w:rsid w:val="005B02C3"/>
    <w:rsid w:val="005B3CFD"/>
    <w:rsid w:val="005B5C61"/>
    <w:rsid w:val="0060689B"/>
    <w:rsid w:val="006279D2"/>
    <w:rsid w:val="00692D6B"/>
    <w:rsid w:val="006C1BEA"/>
    <w:rsid w:val="006C1CF8"/>
    <w:rsid w:val="006F7393"/>
    <w:rsid w:val="00704795"/>
    <w:rsid w:val="0070606B"/>
    <w:rsid w:val="007A3DBC"/>
    <w:rsid w:val="007C1980"/>
    <w:rsid w:val="00800451"/>
    <w:rsid w:val="00800776"/>
    <w:rsid w:val="008224C6"/>
    <w:rsid w:val="00822613"/>
    <w:rsid w:val="00855BDB"/>
    <w:rsid w:val="0085716E"/>
    <w:rsid w:val="008701E3"/>
    <w:rsid w:val="00892E82"/>
    <w:rsid w:val="008C0828"/>
    <w:rsid w:val="008E09B5"/>
    <w:rsid w:val="008F3FA0"/>
    <w:rsid w:val="008F71CC"/>
    <w:rsid w:val="00910F12"/>
    <w:rsid w:val="00956322"/>
    <w:rsid w:val="009838BC"/>
    <w:rsid w:val="00991B03"/>
    <w:rsid w:val="009B50A6"/>
    <w:rsid w:val="009D2DAC"/>
    <w:rsid w:val="009F5C39"/>
    <w:rsid w:val="00A7008E"/>
    <w:rsid w:val="00A866AC"/>
    <w:rsid w:val="00AB1B44"/>
    <w:rsid w:val="00AD074F"/>
    <w:rsid w:val="00B12DF8"/>
    <w:rsid w:val="00B20363"/>
    <w:rsid w:val="00B22246"/>
    <w:rsid w:val="00B30001"/>
    <w:rsid w:val="00B361FB"/>
    <w:rsid w:val="00B5647B"/>
    <w:rsid w:val="00B93AAC"/>
    <w:rsid w:val="00B97891"/>
    <w:rsid w:val="00BF509F"/>
    <w:rsid w:val="00C671BF"/>
    <w:rsid w:val="00CB08B5"/>
    <w:rsid w:val="00CC37B4"/>
    <w:rsid w:val="00CD11A1"/>
    <w:rsid w:val="00CD7577"/>
    <w:rsid w:val="00D142D8"/>
    <w:rsid w:val="00D17642"/>
    <w:rsid w:val="00D216CD"/>
    <w:rsid w:val="00D2726B"/>
    <w:rsid w:val="00D27C52"/>
    <w:rsid w:val="00D31CC8"/>
    <w:rsid w:val="00D42C9F"/>
    <w:rsid w:val="00D47084"/>
    <w:rsid w:val="00D47D43"/>
    <w:rsid w:val="00D641D3"/>
    <w:rsid w:val="00D70D87"/>
    <w:rsid w:val="00DA48B0"/>
    <w:rsid w:val="00DF3514"/>
    <w:rsid w:val="00E00835"/>
    <w:rsid w:val="00E01006"/>
    <w:rsid w:val="00E75C40"/>
    <w:rsid w:val="00E901B4"/>
    <w:rsid w:val="00EC4180"/>
    <w:rsid w:val="00EC4B72"/>
    <w:rsid w:val="00ED2636"/>
    <w:rsid w:val="00EE6865"/>
    <w:rsid w:val="00EF4246"/>
    <w:rsid w:val="00F329EF"/>
    <w:rsid w:val="00F509BB"/>
    <w:rsid w:val="00F96895"/>
    <w:rsid w:val="00FE48F2"/>
    <w:rsid w:val="00FF2C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F9068E9-1797-4D74-88EA-7EE3868B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DF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semiHidden/>
    <w:rsid w:val="00B12DF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12DF8"/>
    <w:rPr>
      <w:rFonts w:ascii="Times New Roman" w:eastAsia="Times New Roman" w:hAnsi="Times New Roman" w:cs="Times New Roman"/>
      <w:sz w:val="20"/>
      <w:szCs w:val="20"/>
    </w:rPr>
  </w:style>
  <w:style w:type="character" w:styleId="FootnoteReference">
    <w:name w:val="footnote reference"/>
    <w:semiHidden/>
    <w:rsid w:val="00B12DF8"/>
    <w:rPr>
      <w:rFonts w:ascii="Times New Roman" w:hAnsi="Times New Roman"/>
      <w:dstrike w:val="0"/>
      <w:color w:val="auto"/>
      <w:sz w:val="22"/>
      <w:vertAlign w:val="superscript"/>
    </w:rPr>
  </w:style>
  <w:style w:type="paragraph" w:styleId="Header">
    <w:name w:val="header"/>
    <w:basedOn w:val="Normal"/>
    <w:link w:val="HeaderChar"/>
    <w:autoRedefine/>
    <w:rsid w:val="00B12DF8"/>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rsid w:val="00B12DF8"/>
    <w:rPr>
      <w:rFonts w:ascii="Arial" w:eastAsia="Times New Roman" w:hAnsi="Arial" w:cs="Arial"/>
      <w:b/>
      <w:snapToGrid w:val="0"/>
      <w:kern w:val="28"/>
      <w:sz w:val="96"/>
      <w:szCs w:val="96"/>
    </w:rPr>
  </w:style>
  <w:style w:type="paragraph" w:styleId="Footer">
    <w:name w:val="footer"/>
    <w:basedOn w:val="Normal"/>
    <w:link w:val="FooterChar"/>
    <w:uiPriority w:val="99"/>
    <w:rsid w:val="00B12DF8"/>
    <w:pPr>
      <w:tabs>
        <w:tab w:val="center" w:pos="4320"/>
        <w:tab w:val="right" w:pos="8640"/>
      </w:tabs>
    </w:pPr>
  </w:style>
  <w:style w:type="character" w:customStyle="1" w:styleId="FooterChar">
    <w:name w:val="Footer Char"/>
    <w:basedOn w:val="DefaultParagraphFont"/>
    <w:link w:val="Footer"/>
    <w:uiPriority w:val="99"/>
    <w:rsid w:val="00B12DF8"/>
    <w:rPr>
      <w:rFonts w:ascii="Times New Roman" w:eastAsia="Times New Roman" w:hAnsi="Times New Roman" w:cs="Times New Roman"/>
      <w:snapToGrid w:val="0"/>
      <w:kern w:val="28"/>
      <w:szCs w:val="20"/>
    </w:rPr>
  </w:style>
  <w:style w:type="character" w:styleId="Hyperlink">
    <w:name w:val="Hyperlink"/>
    <w:rsid w:val="00B12DF8"/>
    <w:rPr>
      <w:color w:val="0000FF"/>
      <w:u w:val="single"/>
    </w:rPr>
  </w:style>
  <w:style w:type="character" w:customStyle="1" w:styleId="UnresolvedMention">
    <w:name w:val="Unresolved Mention"/>
    <w:basedOn w:val="DefaultParagraphFont"/>
    <w:uiPriority w:val="99"/>
    <w:semiHidden/>
    <w:unhideWhenUsed/>
    <w:rsid w:val="00CD7577"/>
    <w:rPr>
      <w:color w:val="605E5C"/>
      <w:shd w:val="clear" w:color="auto" w:fill="E1DFDD"/>
    </w:rPr>
  </w:style>
  <w:style w:type="paragraph" w:styleId="BalloonText">
    <w:name w:val="Balloon Text"/>
    <w:basedOn w:val="Normal"/>
    <w:link w:val="BalloonTextChar"/>
    <w:uiPriority w:val="99"/>
    <w:semiHidden/>
    <w:unhideWhenUsed/>
    <w:rsid w:val="00D47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84"/>
    <w:rPr>
      <w:rFonts w:ascii="Segoe UI" w:eastAsia="Times New Roman"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yed.Hasa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