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C39F8">
      <w:pPr>
        <w:widowControl/>
        <w:suppressAutoHyphens/>
        <w:jc w:val="right"/>
        <w:rPr>
          <w:b/>
          <w:color w:val="000000"/>
        </w:rPr>
      </w:pPr>
      <w:r>
        <w:rPr>
          <w:b/>
          <w:color w:val="000000"/>
        </w:rPr>
        <w:t>DA 1</w:t>
      </w:r>
      <w:r w:rsidR="00DB34EE">
        <w:rPr>
          <w:b/>
          <w:color w:val="000000"/>
        </w:rPr>
        <w:t>9-</w:t>
      </w:r>
      <w:r w:rsidR="00EB22F6">
        <w:rPr>
          <w:b/>
          <w:color w:val="000000"/>
        </w:rPr>
        <w:t>871</w:t>
      </w:r>
    </w:p>
    <w:p w:rsidR="00BC39F8">
      <w:pPr>
        <w:widowControl/>
        <w:suppressAutoHyphens/>
        <w:spacing w:after="240"/>
        <w:jc w:val="right"/>
        <w:rPr>
          <w:b/>
          <w:color w:val="000000"/>
        </w:rPr>
      </w:pPr>
      <w:bookmarkStart w:id="0" w:name="_GoBack"/>
      <w:bookmarkEnd w:id="0"/>
      <w:r>
        <w:rPr>
          <w:b/>
          <w:color w:val="000000"/>
        </w:rPr>
        <w:t xml:space="preserve">Released:  </w:t>
      </w:r>
      <w:r w:rsidR="00010520">
        <w:rPr>
          <w:b/>
          <w:color w:val="000000"/>
        </w:rPr>
        <w:t>September</w:t>
      </w:r>
      <w:r w:rsidR="00DB34EE">
        <w:rPr>
          <w:b/>
          <w:color w:val="000000"/>
        </w:rPr>
        <w:t xml:space="preserve"> </w:t>
      </w:r>
      <w:r w:rsidR="00710702">
        <w:rPr>
          <w:b/>
          <w:color w:val="000000"/>
        </w:rPr>
        <w:t>4</w:t>
      </w:r>
      <w:r>
        <w:rPr>
          <w:b/>
          <w:color w:val="000000"/>
        </w:rPr>
        <w:t>, 201</w:t>
      </w:r>
      <w:r w:rsidR="00DB34EE">
        <w:rPr>
          <w:b/>
          <w:color w:val="000000"/>
        </w:rPr>
        <w:t>9</w:t>
      </w:r>
    </w:p>
    <w:p w:rsidR="00E63953" w:rsidRPr="00E63953" w:rsidP="00386C36">
      <w:pPr>
        <w:jc w:val="center"/>
        <w:rPr>
          <w:b/>
          <w:bCs/>
          <w:snapToGrid/>
          <w:kern w:val="0"/>
          <w:szCs w:val="22"/>
        </w:rPr>
      </w:pPr>
      <w:r>
        <w:rPr>
          <w:b/>
          <w:szCs w:val="22"/>
        </w:rPr>
        <w:t xml:space="preserve">DOMESTIC SECTION 214 APPLICATION GRANTED </w:t>
      </w:r>
      <w:r>
        <w:rPr>
          <w:b/>
          <w:bCs/>
          <w:snapToGrid/>
          <w:kern w:val="0"/>
          <w:szCs w:val="22"/>
        </w:rPr>
        <w:t xml:space="preserve">FOR THE </w:t>
      </w:r>
      <w:r w:rsidR="000D524F">
        <w:rPr>
          <w:b/>
          <w:bCs/>
          <w:snapToGrid/>
          <w:kern w:val="0"/>
          <w:szCs w:val="22"/>
        </w:rPr>
        <w:t>ACQUISITION OF</w:t>
      </w:r>
      <w:r>
        <w:rPr>
          <w:b/>
          <w:bCs/>
          <w:snapToGrid/>
          <w:kern w:val="0"/>
          <w:szCs w:val="22"/>
        </w:rPr>
        <w:t xml:space="preserve"> </w:t>
      </w:r>
      <w:r w:rsidR="000D524F">
        <w:rPr>
          <w:b/>
          <w:bCs/>
          <w:snapToGrid/>
          <w:kern w:val="0"/>
          <w:szCs w:val="22"/>
        </w:rPr>
        <w:t>CERTAIN ASSETS OF ABSARAKA COOPERATIVE TELEPHONE COMPANY, INC. BY</w:t>
      </w:r>
      <w:r w:rsidRPr="00E63953">
        <w:rPr>
          <w:b/>
          <w:bCs/>
          <w:snapToGrid/>
          <w:kern w:val="0"/>
          <w:szCs w:val="22"/>
        </w:rPr>
        <w:t xml:space="preserve"> </w:t>
      </w:r>
      <w:r w:rsidR="000D524F">
        <w:rPr>
          <w:b/>
          <w:bCs/>
          <w:snapToGrid/>
          <w:kern w:val="0"/>
          <w:szCs w:val="22"/>
        </w:rPr>
        <w:t>INTER-COMMUNITY TELEPHONE COMPANY, L.L.C.</w:t>
      </w:r>
      <w:r w:rsidRPr="00E63953">
        <w:rPr>
          <w:b/>
          <w:bCs/>
          <w:snapToGrid/>
          <w:kern w:val="0"/>
          <w:szCs w:val="22"/>
        </w:rPr>
        <w:t xml:space="preserve"> </w:t>
      </w:r>
    </w:p>
    <w:p w:rsidR="00BC39F8" w:rsidP="00E63953">
      <w:pPr>
        <w:widowControl/>
        <w:jc w:val="center"/>
        <w:rPr>
          <w:b/>
          <w:color w:val="000000"/>
          <w:szCs w:val="22"/>
        </w:rPr>
      </w:pPr>
    </w:p>
    <w:p w:rsidR="00E63953" w:rsidP="00E63953">
      <w:pPr>
        <w:widowControl/>
        <w:suppressAutoHyphens/>
        <w:jc w:val="center"/>
        <w:rPr>
          <w:b/>
          <w:color w:val="000000"/>
          <w:szCs w:val="22"/>
        </w:rPr>
      </w:pPr>
      <w:r>
        <w:rPr>
          <w:b/>
          <w:color w:val="000000"/>
          <w:szCs w:val="22"/>
        </w:rPr>
        <w:t>WC Docket No. 19-</w:t>
      </w:r>
      <w:r w:rsidR="00864928">
        <w:rPr>
          <w:b/>
          <w:color w:val="000000"/>
          <w:szCs w:val="22"/>
        </w:rPr>
        <w:t>164</w:t>
      </w:r>
    </w:p>
    <w:p w:rsidR="00E63953" w:rsidP="00922BFE">
      <w:pPr>
        <w:widowControl/>
        <w:suppressAutoHyphens/>
        <w:spacing w:after="120"/>
        <w:jc w:val="center"/>
        <w:rPr>
          <w:b/>
          <w:color w:val="000000"/>
          <w:szCs w:val="22"/>
        </w:rPr>
      </w:pPr>
    </w:p>
    <w:p w:rsidR="000D524F" w:rsidP="00922BFE">
      <w:pPr>
        <w:pStyle w:val="ParaNum"/>
        <w:numPr>
          <w:ilvl w:val="0"/>
          <w:numId w:val="0"/>
        </w:numPr>
        <w:ind w:firstLine="720"/>
        <w:rPr>
          <w:color w:val="000000"/>
        </w:rPr>
      </w:pPr>
      <w:r>
        <w:rPr>
          <w:snapToGrid/>
        </w:rPr>
        <w:t xml:space="preserve">By this Public Notice, the Wireline Competition Bureau (Bureau) grants </w:t>
      </w:r>
      <w:r w:rsidR="00864928">
        <w:rPr>
          <w:snapToGrid/>
        </w:rPr>
        <w:t>an</w:t>
      </w:r>
      <w:r w:rsidR="00E63953">
        <w:rPr>
          <w:snapToGrid/>
        </w:rPr>
        <w:t xml:space="preserve"> </w:t>
      </w:r>
      <w:r>
        <w:rPr>
          <w:snapToGrid/>
        </w:rPr>
        <w:t xml:space="preserve">application </w:t>
      </w:r>
      <w:r w:rsidRPr="00864928" w:rsidR="00864928">
        <w:rPr>
          <w:snapToGrid/>
        </w:rPr>
        <w:t>filed by Absaraka Cooperative Telephone Company, Inc. (Absaraka) and Inter-Community Telephone Company, L.L.C. (ICTC) (collectively, Applicants), pursuant to section 214 of the Communications Act of 1934, as amended, and sections 63.03-04 of the Commission’s rules, requesting approval for the transfer of certain assets owned by Absaraka to ICTC.</w:t>
      </w:r>
      <w:r>
        <w:rPr>
          <w:snapToGrid/>
          <w:vertAlign w:val="superscript"/>
        </w:rPr>
        <w:footnoteReference w:id="3"/>
      </w:r>
      <w:r>
        <w:rPr>
          <w:snapToGrid/>
        </w:rPr>
        <w:t xml:space="preserve">  </w:t>
      </w:r>
      <w:r>
        <w:t>On July 15</w:t>
      </w:r>
      <w:r w:rsidR="00D747E1">
        <w:t>, 201</w:t>
      </w:r>
      <w:r w:rsidR="004626E8">
        <w:t>9</w:t>
      </w:r>
      <w:r>
        <w:t xml:space="preserve">, the Bureau released a Public Notice requesting comment on the </w:t>
      </w:r>
      <w:r w:rsidR="006B01F7">
        <w:t>Application</w:t>
      </w:r>
      <w:r>
        <w:t>.</w:t>
      </w:r>
      <w:r>
        <w:rPr>
          <w:vertAlign w:val="superscript"/>
        </w:rPr>
        <w:footnoteReference w:id="4"/>
      </w:r>
      <w:r>
        <w:t xml:space="preserve">  </w:t>
      </w:r>
      <w:r w:rsidR="006B01F7">
        <w:rPr>
          <w:color w:val="000000"/>
        </w:rPr>
        <w:t>No comments were filed in opposition to a grant of the Application</w:t>
      </w:r>
      <w:bookmarkStart w:id="1" w:name="SearchTerm"/>
      <w:r>
        <w:rPr>
          <w:color w:val="000000"/>
        </w:rPr>
        <w:t xml:space="preserve">. </w:t>
      </w:r>
    </w:p>
    <w:p w:rsidR="00BC39F8" w:rsidP="00922BFE">
      <w:pPr>
        <w:pStyle w:val="ParaNum"/>
        <w:numPr>
          <w:ilvl w:val="0"/>
          <w:numId w:val="0"/>
        </w:numPr>
        <w:ind w:firstLine="720"/>
        <w:rPr>
          <w:color w:val="000000"/>
        </w:rPr>
      </w:pPr>
      <w:r>
        <w:rPr>
          <w:color w:val="000000"/>
        </w:rPr>
        <w:t>T</w:t>
      </w:r>
      <w:r w:rsidR="00D96076">
        <w:rPr>
          <w:color w:val="000000"/>
        </w:rPr>
        <w:t>he Bureau finds, upon consideration of the record, that grant</w:t>
      </w:r>
      <w:r w:rsidR="00E0258B">
        <w:rPr>
          <w:color w:val="000000"/>
        </w:rPr>
        <w:t xml:space="preserve">ing </w:t>
      </w:r>
      <w:r w:rsidR="00D96076">
        <w:rPr>
          <w:color w:val="000000"/>
        </w:rPr>
        <w:t>th</w:t>
      </w:r>
      <w:r w:rsidR="00AA2655">
        <w:rPr>
          <w:color w:val="000000"/>
        </w:rPr>
        <w:t>e</w:t>
      </w:r>
      <w:r w:rsidR="00D96076">
        <w:rPr>
          <w:color w:val="000000"/>
        </w:rPr>
        <w:t xml:space="preserve"> </w:t>
      </w:r>
      <w:r w:rsidR="00AA2655">
        <w:rPr>
          <w:color w:val="000000"/>
        </w:rPr>
        <w:t>A</w:t>
      </w:r>
      <w:r w:rsidR="00D96076">
        <w:rPr>
          <w:color w:val="000000"/>
        </w:rPr>
        <w:t>pplication</w:t>
      </w:r>
      <w:bookmarkEnd w:id="1"/>
      <w:r w:rsidR="00D96076">
        <w:rPr>
          <w:color w:val="000000"/>
        </w:rPr>
        <w:t xml:space="preserve"> will serve the public interest, convenience, and necessity.</w:t>
      </w:r>
      <w:r>
        <w:rPr>
          <w:vertAlign w:val="superscript"/>
        </w:rPr>
        <w:footnoteReference w:id="5"/>
      </w:r>
      <w:r w:rsidR="00D96076">
        <w:rPr>
          <w:color w:val="000000"/>
        </w:rPr>
        <w:t xml:space="preserve"> </w:t>
      </w:r>
      <w:bookmarkStart w:id="2" w:name="FN[FN9]"/>
      <w:bookmarkEnd w:id="2"/>
      <w:r w:rsidR="00D96076">
        <w:rPr>
          <w:color w:val="000000"/>
        </w:rPr>
        <w:t xml:space="preserve"> Pursuant to </w:t>
      </w:r>
      <w:r w:rsidR="0052751F">
        <w:rPr>
          <w:color w:val="000000"/>
        </w:rPr>
        <w:t>s</w:t>
      </w:r>
      <w:r w:rsidR="00D96076">
        <w:rPr>
          <w:color w:val="000000"/>
        </w:rPr>
        <w:t>ection 1.103 of the Commission's rules, 47 C.F.R. § 1.103, the grant is effective upon release of this Public Notice.</w:t>
      </w:r>
      <w:bookmarkStart w:id="3" w:name="FN[FN11]"/>
      <w:bookmarkEnd w:id="3"/>
      <w:r w:rsidR="00D96076">
        <w:rPr>
          <w:color w:val="000000"/>
        </w:rPr>
        <w:t xml:space="preserve">  Petitions for reconsideration under </w:t>
      </w:r>
      <w:r w:rsidR="0052751F">
        <w:rPr>
          <w:color w:val="000000"/>
        </w:rPr>
        <w:t>s</w:t>
      </w:r>
      <w:r w:rsidR="00D96076">
        <w:rPr>
          <w:color w:val="000000"/>
        </w:rPr>
        <w:t xml:space="preserve">ection 1.106 or applications for review under </w:t>
      </w:r>
      <w:r w:rsidR="0052751F">
        <w:rPr>
          <w:color w:val="000000"/>
        </w:rPr>
        <w:t>s</w:t>
      </w:r>
      <w:r w:rsidR="00D96076">
        <w:rPr>
          <w:color w:val="000000"/>
        </w:rPr>
        <w:t>ection 1.115 of the Commission's rules, 47 C.F.R. §§ 1.106, 1.115, may be filed within 30 days of the date of this Public Notice.</w:t>
      </w:r>
      <w:bookmarkStart w:id="4" w:name="FN[FN12]"/>
      <w:bookmarkEnd w:id="4"/>
    </w:p>
    <w:p w:rsidR="00BC39F8" w:rsidP="00922BFE">
      <w:pPr>
        <w:pStyle w:val="ParaNum"/>
        <w:numPr>
          <w:ilvl w:val="0"/>
          <w:numId w:val="0"/>
        </w:numPr>
        <w:ind w:firstLine="720"/>
        <w:rPr>
          <w:color w:val="000000"/>
        </w:rPr>
      </w:pPr>
      <w:bookmarkStart w:id="5" w:name="sp_999_2"/>
      <w:bookmarkStart w:id="6" w:name="SDU_2"/>
      <w:bookmarkEnd w:id="5"/>
      <w:bookmarkEnd w:id="6"/>
      <w:r>
        <w:rPr>
          <w:color w:val="000000"/>
        </w:rPr>
        <w:t xml:space="preserve">For further information, please contact </w:t>
      </w:r>
      <w:r w:rsidR="001B5CC7">
        <w:rPr>
          <w:color w:val="000000"/>
        </w:rPr>
        <w:t>Dennis Johnson</w:t>
      </w:r>
      <w:r>
        <w:rPr>
          <w:color w:val="000000"/>
        </w:rPr>
        <w:t>, Wireline Competition Bureau, Competition Policy Division, (202) 418-</w:t>
      </w:r>
      <w:r w:rsidR="001B5CC7">
        <w:rPr>
          <w:color w:val="000000"/>
        </w:rPr>
        <w:t>0809</w:t>
      </w:r>
      <w:r>
        <w:rPr>
          <w:color w:val="000000"/>
        </w:rPr>
        <w:t>.</w:t>
      </w:r>
    </w:p>
    <w:p w:rsidR="00C93ED3">
      <w:pPr>
        <w:ind w:firstLine="720"/>
        <w:rPr>
          <w:color w:val="000000"/>
          <w:szCs w:val="22"/>
        </w:rPr>
      </w:pPr>
    </w:p>
    <w:p w:rsidR="00BC39F8" w:rsidRPr="00922BFE" w:rsidP="00922BFE">
      <w:pPr>
        <w:widowControl/>
        <w:autoSpaceDE w:val="0"/>
        <w:autoSpaceDN w:val="0"/>
        <w:adjustRightInd w:val="0"/>
        <w:jc w:val="center"/>
        <w:rPr>
          <w:color w:val="000000"/>
          <w:szCs w:val="22"/>
        </w:rPr>
      </w:pPr>
      <w:r w:rsidRPr="00C93ED3">
        <w:rPr>
          <w:b/>
          <w:snapToGrid/>
          <w:kern w:val="0"/>
          <w:szCs w:val="22"/>
        </w:rPr>
        <w:t>- FCC -</w:t>
      </w: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fldChar w:fldCharType="end"/>
    </w:r>
  </w:p>
  <w:p w:rsidR="00BC39F8">
    <w:pPr>
      <w:pStyle w:val="Footer"/>
    </w:pPr>
  </w:p>
  <w:p w:rsidR="00BC39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pPr>
      <w:pStyle w:val="Footer"/>
      <w:framePr w:wrap="around" w:vAnchor="text" w:hAnchor="margin" w:xAlign="center" w:y="1"/>
    </w:pPr>
    <w:r>
      <w:fldChar w:fldCharType="begin"/>
    </w:r>
    <w:r>
      <w:instrText xml:space="preserve">PAGE  </w:instrText>
    </w:r>
    <w:r>
      <w:fldChar w:fldCharType="separate"/>
    </w:r>
    <w:r w:rsidR="00B54498">
      <w:rPr>
        <w:noProof/>
      </w:rPr>
      <w:t>2</w:t>
    </w:r>
    <w:r>
      <w:fldChar w:fldCharType="end"/>
    </w:r>
  </w:p>
  <w:p w:rsidR="00BC39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rsidP="00922BFE">
    <w:pPr>
      <w:pStyle w:val="Footer"/>
      <w:tabs>
        <w:tab w:val="clear" w:pos="4320"/>
        <w:tab w:val="center" w:pos="468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347D">
      <w:r>
        <w:separator/>
      </w:r>
    </w:p>
  </w:footnote>
  <w:footnote w:type="continuationSeparator" w:id="1">
    <w:p w:rsidR="004E347D">
      <w:pPr>
        <w:spacing w:before="120"/>
        <w:rPr>
          <w:sz w:val="20"/>
        </w:rPr>
      </w:pPr>
      <w:r>
        <w:rPr>
          <w:sz w:val="20"/>
        </w:rPr>
        <w:t xml:space="preserve">(Continued from previous page)  </w:t>
      </w:r>
      <w:r>
        <w:rPr>
          <w:sz w:val="20"/>
        </w:rPr>
        <w:separator/>
      </w:r>
    </w:p>
  </w:footnote>
  <w:footnote w:type="continuationNotice" w:id="2">
    <w:p w:rsidR="004E347D">
      <w:pPr>
        <w:jc w:val="right"/>
        <w:rPr>
          <w:sz w:val="20"/>
        </w:rPr>
      </w:pPr>
      <w:r>
        <w:rPr>
          <w:sz w:val="20"/>
        </w:rPr>
        <w:t>(continued….)</w:t>
      </w:r>
    </w:p>
  </w:footnote>
  <w:footnote w:id="3">
    <w:p w:rsidR="00864928" w:rsidRPr="00BC23C3" w:rsidP="00864928">
      <w:pPr>
        <w:pStyle w:val="FootnoteText"/>
      </w:pPr>
      <w:r>
        <w:rPr>
          <w:rStyle w:val="FootnoteReference"/>
        </w:rPr>
        <w:footnoteRef/>
      </w:r>
      <w:r>
        <w:t xml:space="preserve"> </w:t>
      </w:r>
      <w:r w:rsidRPr="00BC23C3">
        <w:rPr>
          <w:i/>
        </w:rPr>
        <w:t>See</w:t>
      </w:r>
      <w:r w:rsidRPr="00BC23C3">
        <w:t xml:space="preserve"> 47 U.S.C. § 214; 47 CFR §§ 63.03-04.  </w:t>
      </w:r>
      <w:r>
        <w:t xml:space="preserve">Applicants also filed an application for the transfer of authorizations associated with international services.  Any action on this domestic section 214 application is without prejudice to Commission action on other related, pending applications.  </w:t>
      </w:r>
      <w:r w:rsidRPr="00153801">
        <w:t xml:space="preserve">Application of </w:t>
      </w:r>
      <w:r w:rsidR="001B5CC7">
        <w:t>Absaraka Cooperative Telephone Company, Inc. and Inter-Community Telephone Company, L.L.C.</w:t>
      </w:r>
      <w:r>
        <w:t>, WC Docket No. 19-</w:t>
      </w:r>
      <w:r w:rsidR="001B5CC7">
        <w:t>164</w:t>
      </w:r>
      <w:r>
        <w:t xml:space="preserve"> (filed </w:t>
      </w:r>
      <w:r w:rsidR="001B5CC7">
        <w:t>June 14</w:t>
      </w:r>
      <w:r>
        <w:t>, 2019) (Application).</w:t>
      </w:r>
    </w:p>
  </w:footnote>
  <w:footnote w:id="4">
    <w:p w:rsidR="00BC39F8">
      <w:pPr>
        <w:pStyle w:val="FootnoteText"/>
        <w:rPr>
          <w:i/>
        </w:rPr>
      </w:pPr>
      <w:r>
        <w:rPr>
          <w:rStyle w:val="FootnoteReference"/>
        </w:rPr>
        <w:footnoteRef/>
      </w:r>
      <w:r>
        <w:t xml:space="preserve"> </w:t>
      </w:r>
      <w:r>
        <w:rPr>
          <w:i/>
        </w:rPr>
        <w:t xml:space="preserve">Domestic Section 214 Application Filed for the Acquisition of Certain Assets of Absaraka Cooperative Telephone Company, Inc. </w:t>
      </w:r>
      <w:r w:rsidR="00493718">
        <w:rPr>
          <w:i/>
        </w:rPr>
        <w:t>b</w:t>
      </w:r>
      <w:r>
        <w:rPr>
          <w:i/>
        </w:rPr>
        <w:t>y Inter-Community Telephone Company, L.L.C.</w:t>
      </w:r>
      <w:r w:rsidR="00D747E1">
        <w:t>, WC Docket No. 1</w:t>
      </w:r>
      <w:r w:rsidR="004626E8">
        <w:t>9-</w:t>
      </w:r>
      <w:r>
        <w:t>164</w:t>
      </w:r>
      <w:r w:rsidR="00D747E1">
        <w:t>,</w:t>
      </w:r>
      <w:r>
        <w:rPr>
          <w:i/>
          <w:iCs/>
        </w:rPr>
        <w:t xml:space="preserve"> </w:t>
      </w:r>
      <w:r>
        <w:t>Public Notice,</w:t>
      </w:r>
      <w:r w:rsidR="0031049D">
        <w:t xml:space="preserve"> DA 19-</w:t>
      </w:r>
      <w:r>
        <w:t>661</w:t>
      </w:r>
      <w:r w:rsidR="004465D5">
        <w:t xml:space="preserve"> </w:t>
      </w:r>
      <w:r>
        <w:t>(WCB July 15</w:t>
      </w:r>
      <w:r w:rsidR="0031049D">
        <w:t xml:space="preserve">, </w:t>
      </w:r>
      <w:r>
        <w:t>2019).</w:t>
      </w:r>
    </w:p>
  </w:footnote>
  <w:footnote w:id="5">
    <w:p w:rsidR="00BC39F8">
      <w:pPr>
        <w:pStyle w:val="FootnoteText"/>
      </w:pPr>
      <w:r>
        <w:rPr>
          <w:rStyle w:val="FootnoteReference"/>
        </w:rPr>
        <w:footnoteRef/>
      </w:r>
      <w:r w:rsidR="00926E59">
        <w:t xml:space="preserve"> </w:t>
      </w:r>
      <w:r w:rsidRPr="00265992" w:rsidR="00864928">
        <w:rPr>
          <w:i/>
          <w:iCs/>
        </w:rPr>
        <w:t>See</w:t>
      </w:r>
      <w:r w:rsidRPr="00265992" w:rsidR="00864928">
        <w:t> </w:t>
      </w:r>
      <w:hyperlink r:id="rId1" w:anchor="co_pp_8b3b0000958a4" w:history="1">
        <w:r w:rsidRPr="00265992" w:rsidR="00864928">
          <w:t>47 U.S.C. § 214(a)</w:t>
        </w:r>
      </w:hyperlink>
      <w:r w:rsidRPr="00265992" w:rsidR="00864928">
        <w:t>; </w:t>
      </w:r>
      <w:hyperlink r:id="rId2" w:history="1">
        <w:r w:rsidRPr="00265992" w:rsidR="00864928">
          <w:t>47 CFR § 63.03</w:t>
        </w:r>
      </w:hyperlink>
      <w:r w:rsidR="00864928">
        <w:t xml:space="preserve">; </w:t>
      </w:r>
      <w:r w:rsidRPr="00762CDC" w:rsidR="00864928">
        <w:rPr>
          <w:i/>
        </w:rPr>
        <w:t>See</w:t>
      </w:r>
      <w:r w:rsidRPr="00762CDC" w:rsidR="00864928">
        <w:rPr>
          <w:iCs/>
        </w:rPr>
        <w:t xml:space="preserve"> </w:t>
      </w:r>
      <w:r w:rsidRPr="00762CDC" w:rsidR="00864928">
        <w:rPr>
          <w:i/>
          <w:iCs/>
        </w:rPr>
        <w:t xml:space="preserve">Joint Applications of Global Crossing Ltd. and Citizens Communications Company for Authority to </w:t>
      </w:r>
      <w:r w:rsidRPr="00762CDC" w:rsidR="00864928">
        <w:rPr>
          <w:i/>
        </w:rPr>
        <w:t>Transfer Control of Corporations Holding Commission Licenses and Authorizations Pursuant to Sections 214 and 310(d) of the Communications Act and Parts 20, 22, 63, 78, 90, and 101 of the Commission’s Rules</w:t>
      </w:r>
      <w:r w:rsidRPr="00762CDC" w:rsidR="00864928">
        <w:t xml:space="preserve">, </w:t>
      </w:r>
      <w:r w:rsidRPr="00762CDC" w:rsidR="00864928">
        <w:rPr>
          <w:color w:val="000000"/>
          <w:shd w:val="clear" w:color="auto" w:fill="FFFFFF"/>
        </w:rPr>
        <w:t xml:space="preserve">File Nos. ITC-T/C-20000828-00530, CCBPol No. 00-1 20001005AD-09 0000209675, et al., </w:t>
      </w:r>
      <w:r w:rsidRPr="00762CDC" w:rsidR="00864928">
        <w:t xml:space="preserve">Memorandum Opinion and Order, 16 FCC Rcd 8507, 8510-11, paras. 7-9 (CCB, IB, CSB, WTB 2001) (granting transfer of control involving incumbent </w:t>
      </w:r>
      <w:r w:rsidR="00011BF7">
        <w:t xml:space="preserve">local exchange carriers </w:t>
      </w:r>
      <w:r w:rsidRPr="00762CDC" w:rsidR="00864928">
        <w:t>with adjacent exchanges where merger would provide service efficiencies)</w:t>
      </w:r>
      <w:r w:rsidRPr="00762CDC" w:rsidR="00864928">
        <w:rPr>
          <w:color w:val="2121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39F8" w:rsidP="00922BFE">
    <w:pPr>
      <w:pStyle w:val="Header"/>
      <w:ind w:firstLine="0"/>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BC39F8">
                <w:pPr>
                  <w:rPr>
                    <w:rFonts w:ascii="Arial" w:hAnsi="Arial"/>
                    <w:b/>
                  </w:rPr>
                </w:pPr>
                <w:r>
                  <w:rPr>
                    <w:rFonts w:ascii="Arial" w:hAnsi="Arial"/>
                    <w:b/>
                  </w:rPr>
                  <w:t>Federal Communications Commission</w:t>
                </w:r>
              </w:p>
              <w:p w:rsidR="00BC39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39F8">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96076">
      <w:t>PUBLIC NOTICE</w:t>
    </w:r>
  </w:p>
  <w:p w:rsidR="00BC39F8" w:rsidP="00922BFE">
    <w:pPr>
      <w:pStyle w:val="Header"/>
      <w:ind w:firstLine="0"/>
    </w:pPr>
    <w:r>
      <w:rPr>
        <w:noProof/>
      </w:rPr>
      <w:pict>
        <v:shape id="Text Box 5" o:spid="_x0000_s2051" type="#_x0000_t202" style="width:207.95pt;height:35.25pt;margin-top:14.05pt;margin-left:263.25pt;position:absolute;visibility:visible;z-index:251660288" o:allowincell="f" stroked="f">
          <v:textbox inset=",0,,0">
            <w:txbxContent>
              <w:p w:rsidR="00BC39F8">
                <w:pPr>
                  <w:spacing w:before="40"/>
                  <w:jc w:val="right"/>
                  <w:rPr>
                    <w:rFonts w:ascii="Arial" w:hAnsi="Arial"/>
                    <w:b/>
                    <w:sz w:val="16"/>
                  </w:rPr>
                </w:pPr>
                <w:r>
                  <w:rPr>
                    <w:rFonts w:ascii="Arial" w:hAnsi="Arial"/>
                    <w:b/>
                    <w:sz w:val="16"/>
                  </w:rPr>
                  <w:t>News Media Information 202 / 418-0500</w:t>
                </w:r>
              </w:p>
              <w:p w:rsidR="00BC39F8">
                <w:pPr>
                  <w:jc w:val="right"/>
                  <w:rPr>
                    <w:rFonts w:ascii="Arial" w:hAnsi="Arial"/>
                    <w:b/>
                    <w:sz w:val="16"/>
                  </w:rPr>
                </w:pPr>
                <w:r>
                  <w:rPr>
                    <w:rFonts w:ascii="Arial" w:hAnsi="Arial"/>
                    <w:b/>
                    <w:sz w:val="16"/>
                  </w:rPr>
                  <w:t xml:space="preserve">Internet: </w:t>
                </w:r>
                <w:bookmarkStart w:id="7" w:name="_Hlt233824"/>
                <w:hyperlink r:id="rId2" w:history="1">
                  <w:r>
                    <w:rPr>
                      <w:rStyle w:val="Hyperlink"/>
                      <w:rFonts w:ascii="Arial" w:hAnsi="Arial"/>
                      <w:b/>
                      <w:sz w:val="16"/>
                    </w:rPr>
                    <w:t>h</w:t>
                  </w:r>
                  <w:bookmarkEnd w:id="7"/>
                  <w:r>
                    <w:rPr>
                      <w:rStyle w:val="Hyperlink"/>
                      <w:rFonts w:ascii="Arial" w:hAnsi="Arial"/>
                      <w:b/>
                      <w:sz w:val="16"/>
                    </w:rPr>
                    <w:t>ttps://www.fcc.gov</w:t>
                  </w:r>
                </w:hyperlink>
              </w:p>
              <w:p w:rsidR="00BC39F8">
                <w:pPr>
                  <w:jc w:val="right"/>
                </w:pPr>
                <w:r>
                  <w:rPr>
                    <w:rFonts w:ascii="Arial" w:hAnsi="Arial"/>
                    <w:b/>
                    <w:sz w:val="16"/>
                  </w:rPr>
                  <w:t>TTY: 1-888-835-5322</w:t>
                </w:r>
              </w:p>
            </w:txbxContent>
          </v:textbox>
        </v:shape>
      </w:pict>
    </w:r>
  </w:p>
  <w:p w:rsidR="00922BFE" w:rsidRPr="00922BFE" w:rsidP="00922BFE">
    <w:pPr>
      <w:pStyle w:val="Header"/>
      <w:ind w:firstLine="0"/>
      <w:rPr>
        <w:sz w:val="22"/>
        <w:szCs w:val="22"/>
      </w:rPr>
    </w:pPr>
    <w:r>
      <w:rPr>
        <w:noProof/>
      </w:rPr>
      <w:pict>
        <v:line id="Line 4" o:spid="_x0000_s2052" style="mso-position-horizontal-relative:margin;position:absolute;visibility:visible;z-index:251659264" from="-0.95pt,1.2pt" to="467.05pt,1.2pt" o:allowincell="f">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92"/>
    <w:rsid w:val="00010520"/>
    <w:rsid w:val="00011BF7"/>
    <w:rsid w:val="000255FD"/>
    <w:rsid w:val="000D524F"/>
    <w:rsid w:val="000F7636"/>
    <w:rsid w:val="001005E5"/>
    <w:rsid w:val="00153801"/>
    <w:rsid w:val="00172EC6"/>
    <w:rsid w:val="00190968"/>
    <w:rsid w:val="001A367E"/>
    <w:rsid w:val="001B5CC7"/>
    <w:rsid w:val="001B732E"/>
    <w:rsid w:val="001E3069"/>
    <w:rsid w:val="002271FA"/>
    <w:rsid w:val="00265992"/>
    <w:rsid w:val="00293524"/>
    <w:rsid w:val="00297990"/>
    <w:rsid w:val="002A63E5"/>
    <w:rsid w:val="002F6EF5"/>
    <w:rsid w:val="0031049D"/>
    <w:rsid w:val="0031480B"/>
    <w:rsid w:val="00377BBB"/>
    <w:rsid w:val="00386C36"/>
    <w:rsid w:val="003E0C4A"/>
    <w:rsid w:val="004465D5"/>
    <w:rsid w:val="00446940"/>
    <w:rsid w:val="004626E8"/>
    <w:rsid w:val="00493718"/>
    <w:rsid w:val="004E347D"/>
    <w:rsid w:val="0052751F"/>
    <w:rsid w:val="005A0014"/>
    <w:rsid w:val="00600BF1"/>
    <w:rsid w:val="00695EAA"/>
    <w:rsid w:val="006B01F7"/>
    <w:rsid w:val="00710702"/>
    <w:rsid w:val="00762CDC"/>
    <w:rsid w:val="00765DBD"/>
    <w:rsid w:val="007868E7"/>
    <w:rsid w:val="007F37F3"/>
    <w:rsid w:val="008138BE"/>
    <w:rsid w:val="00864928"/>
    <w:rsid w:val="008B1BB5"/>
    <w:rsid w:val="00911B15"/>
    <w:rsid w:val="00922BFE"/>
    <w:rsid w:val="00926E59"/>
    <w:rsid w:val="009423D2"/>
    <w:rsid w:val="00957F6B"/>
    <w:rsid w:val="009805E9"/>
    <w:rsid w:val="009B7757"/>
    <w:rsid w:val="009D3056"/>
    <w:rsid w:val="00A07B7A"/>
    <w:rsid w:val="00A13BCC"/>
    <w:rsid w:val="00A47605"/>
    <w:rsid w:val="00A72A04"/>
    <w:rsid w:val="00AA0FC8"/>
    <w:rsid w:val="00AA2655"/>
    <w:rsid w:val="00AC3B79"/>
    <w:rsid w:val="00B5332A"/>
    <w:rsid w:val="00B54498"/>
    <w:rsid w:val="00BB798C"/>
    <w:rsid w:val="00BC23C3"/>
    <w:rsid w:val="00BC39F8"/>
    <w:rsid w:val="00C11393"/>
    <w:rsid w:val="00C36B57"/>
    <w:rsid w:val="00C611B2"/>
    <w:rsid w:val="00C82F70"/>
    <w:rsid w:val="00C93ED3"/>
    <w:rsid w:val="00D635EA"/>
    <w:rsid w:val="00D70EA8"/>
    <w:rsid w:val="00D747E1"/>
    <w:rsid w:val="00D96076"/>
    <w:rsid w:val="00DB34EE"/>
    <w:rsid w:val="00E0258B"/>
    <w:rsid w:val="00E63953"/>
    <w:rsid w:val="00EB22F6"/>
    <w:rsid w:val="00EC6892"/>
    <w:rsid w:val="00EF57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57"/>
    <w:pPr>
      <w:widowControl w:val="0"/>
    </w:pPr>
    <w:rPr>
      <w:snapToGrid w:val="0"/>
      <w:kern w:val="28"/>
      <w:sz w:val="22"/>
    </w:rPr>
  </w:style>
  <w:style w:type="paragraph" w:styleId="Heading1">
    <w:name w:val="heading 1"/>
    <w:basedOn w:val="Normal"/>
    <w:next w:val="ParaNum"/>
    <w:qFormat/>
    <w:rsid w:val="00C36B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36B57"/>
    <w:pPr>
      <w:keepNext/>
      <w:numPr>
        <w:ilvl w:val="1"/>
        <w:numId w:val="3"/>
      </w:numPr>
      <w:spacing w:after="120"/>
      <w:outlineLvl w:val="1"/>
    </w:pPr>
    <w:rPr>
      <w:b/>
    </w:rPr>
  </w:style>
  <w:style w:type="paragraph" w:styleId="Heading3">
    <w:name w:val="heading 3"/>
    <w:basedOn w:val="Normal"/>
    <w:next w:val="ParaNum"/>
    <w:qFormat/>
    <w:rsid w:val="00C36B57"/>
    <w:pPr>
      <w:keepNext/>
      <w:numPr>
        <w:ilvl w:val="2"/>
        <w:numId w:val="3"/>
      </w:numPr>
      <w:tabs>
        <w:tab w:val="left" w:pos="2160"/>
      </w:tabs>
      <w:spacing w:after="120"/>
      <w:outlineLvl w:val="2"/>
    </w:pPr>
    <w:rPr>
      <w:b/>
    </w:rPr>
  </w:style>
  <w:style w:type="paragraph" w:styleId="Heading4">
    <w:name w:val="heading 4"/>
    <w:basedOn w:val="Normal"/>
    <w:next w:val="ParaNum"/>
    <w:qFormat/>
    <w:rsid w:val="00C36B57"/>
    <w:pPr>
      <w:keepNext/>
      <w:numPr>
        <w:ilvl w:val="3"/>
        <w:numId w:val="3"/>
      </w:numPr>
      <w:tabs>
        <w:tab w:val="left" w:pos="2880"/>
      </w:tabs>
      <w:spacing w:after="120"/>
      <w:outlineLvl w:val="3"/>
    </w:pPr>
    <w:rPr>
      <w:b/>
    </w:rPr>
  </w:style>
  <w:style w:type="paragraph" w:styleId="Heading5">
    <w:name w:val="heading 5"/>
    <w:basedOn w:val="Normal"/>
    <w:next w:val="ParaNum"/>
    <w:qFormat/>
    <w:rsid w:val="00C36B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36B57"/>
    <w:pPr>
      <w:numPr>
        <w:ilvl w:val="5"/>
        <w:numId w:val="3"/>
      </w:numPr>
      <w:tabs>
        <w:tab w:val="left" w:pos="4320"/>
      </w:tabs>
      <w:spacing w:after="120"/>
      <w:outlineLvl w:val="5"/>
    </w:pPr>
    <w:rPr>
      <w:b/>
    </w:rPr>
  </w:style>
  <w:style w:type="paragraph" w:styleId="Heading7">
    <w:name w:val="heading 7"/>
    <w:basedOn w:val="Normal"/>
    <w:next w:val="ParaNum"/>
    <w:qFormat/>
    <w:rsid w:val="00C36B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6B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36B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36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36B57"/>
  </w:style>
  <w:style w:type="paragraph" w:customStyle="1" w:styleId="ParaNum">
    <w:name w:val="ParaNum"/>
    <w:basedOn w:val="Normal"/>
    <w:rsid w:val="00C36B57"/>
    <w:pPr>
      <w:numPr>
        <w:numId w:val="2"/>
      </w:numPr>
      <w:tabs>
        <w:tab w:val="clear" w:pos="1080"/>
        <w:tab w:val="num" w:pos="1440"/>
      </w:tabs>
      <w:spacing w:after="120"/>
    </w:pPr>
  </w:style>
  <w:style w:type="paragraph" w:styleId="EndnoteText">
    <w:name w:val="endnote text"/>
    <w:basedOn w:val="Normal"/>
    <w:semiHidden/>
    <w:rsid w:val="00C36B57"/>
    <w:rPr>
      <w:sz w:val="20"/>
    </w:rPr>
  </w:style>
  <w:style w:type="character" w:styleId="EndnoteReference">
    <w:name w:val="endnote reference"/>
    <w:semiHidden/>
    <w:rsid w:val="00C36B57"/>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C36B57"/>
    <w:pPr>
      <w:spacing w:after="120"/>
    </w:pPr>
  </w:style>
  <w:style w:type="character" w:styleId="FootnoteReference">
    <w:name w:val="footnote reference"/>
    <w:aliases w:val="(NECG) Footnote Reference,Appel note de bas de p,FR,Style 12,Style 124,Style 17,Style 3,fr,o"/>
    <w:rsid w:val="00C36B57"/>
    <w:rPr>
      <w:rFonts w:ascii="Times New Roman" w:hAnsi="Times New Roman"/>
      <w:dstrike w:val="0"/>
      <w:color w:val="auto"/>
      <w:sz w:val="22"/>
      <w:vertAlign w:val="superscript"/>
    </w:rPr>
  </w:style>
  <w:style w:type="paragraph" w:styleId="TOC1">
    <w:name w:val="toc 1"/>
    <w:basedOn w:val="Normal"/>
    <w:next w:val="Normal"/>
    <w:uiPriority w:val="39"/>
    <w:rsid w:val="00C36B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36B57"/>
    <w:pPr>
      <w:tabs>
        <w:tab w:val="left" w:pos="720"/>
        <w:tab w:val="right" w:leader="dot" w:pos="9360"/>
      </w:tabs>
      <w:suppressAutoHyphens/>
      <w:ind w:left="720" w:right="720" w:hanging="360"/>
    </w:pPr>
    <w:rPr>
      <w:noProof/>
    </w:rPr>
  </w:style>
  <w:style w:type="paragraph" w:styleId="TOC3">
    <w:name w:val="toc 3"/>
    <w:basedOn w:val="Normal"/>
    <w:next w:val="Normal"/>
    <w:semiHidden/>
    <w:rsid w:val="00C36B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6B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6B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6B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6B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6B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6B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6B57"/>
    <w:pPr>
      <w:tabs>
        <w:tab w:val="right" w:pos="9360"/>
      </w:tabs>
      <w:suppressAutoHyphens/>
    </w:pPr>
  </w:style>
  <w:style w:type="character" w:customStyle="1" w:styleId="EquationCaption">
    <w:name w:val="_Equation Caption"/>
    <w:rsid w:val="00C36B57"/>
  </w:style>
  <w:style w:type="paragraph" w:styleId="Header">
    <w:name w:val="header"/>
    <w:basedOn w:val="Normal"/>
    <w:autoRedefine/>
    <w:rsid w:val="00C36B57"/>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36B57"/>
    <w:pPr>
      <w:tabs>
        <w:tab w:val="center" w:pos="4320"/>
        <w:tab w:val="right" w:pos="8640"/>
      </w:tabs>
    </w:pPr>
  </w:style>
  <w:style w:type="character" w:styleId="PageNumber">
    <w:name w:val="page number"/>
    <w:basedOn w:val="DefaultParagraphFont"/>
    <w:rsid w:val="00C36B57"/>
  </w:style>
  <w:style w:type="paragraph" w:styleId="BlockText">
    <w:name w:val="Block Text"/>
    <w:basedOn w:val="Normal"/>
    <w:rsid w:val="00C36B57"/>
    <w:pPr>
      <w:spacing w:after="240"/>
      <w:ind w:left="1440" w:right="1440"/>
    </w:pPr>
  </w:style>
  <w:style w:type="paragraph" w:customStyle="1" w:styleId="Paratitle">
    <w:name w:val="Para title"/>
    <w:basedOn w:val="Normal"/>
    <w:rsid w:val="00C36B57"/>
    <w:pPr>
      <w:tabs>
        <w:tab w:val="center" w:pos="9270"/>
      </w:tabs>
      <w:spacing w:after="240"/>
    </w:pPr>
    <w:rPr>
      <w:spacing w:val="-2"/>
    </w:rPr>
  </w:style>
  <w:style w:type="paragraph" w:customStyle="1" w:styleId="Bullet">
    <w:name w:val="Bullet"/>
    <w:basedOn w:val="Normal"/>
    <w:rsid w:val="00C36B57"/>
    <w:pPr>
      <w:numPr>
        <w:numId w:val="1"/>
      </w:numPr>
      <w:tabs>
        <w:tab w:val="clear" w:pos="360"/>
        <w:tab w:val="left" w:pos="2160"/>
      </w:tabs>
      <w:spacing w:after="220"/>
      <w:ind w:left="2160" w:hanging="720"/>
    </w:pPr>
  </w:style>
  <w:style w:type="paragraph" w:customStyle="1" w:styleId="TableFormat">
    <w:name w:val="TableFormat"/>
    <w:basedOn w:val="Bullet"/>
    <w:rsid w:val="00C36B57"/>
    <w:pPr>
      <w:numPr>
        <w:numId w:val="0"/>
      </w:numPr>
      <w:tabs>
        <w:tab w:val="clear" w:pos="2160"/>
        <w:tab w:val="left" w:pos="5040"/>
      </w:tabs>
      <w:ind w:left="5040" w:hanging="3600"/>
    </w:pPr>
  </w:style>
  <w:style w:type="paragraph" w:customStyle="1" w:styleId="TOCTitle">
    <w:name w:val="TOC Title"/>
    <w:basedOn w:val="Normal"/>
    <w:rsid w:val="00C36B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6B57"/>
    <w:pPr>
      <w:jc w:val="center"/>
    </w:pPr>
    <w:rPr>
      <w:rFonts w:ascii="Times New Roman Bold" w:hAnsi="Times New Roman Bold"/>
      <w:b/>
      <w:bCs/>
      <w:caps/>
      <w:szCs w:val="22"/>
    </w:rPr>
  </w:style>
  <w:style w:type="character" w:styleId="Hyperlink">
    <w:name w:val="Hyperlink"/>
    <w:rsid w:val="00C36B57"/>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sid w:val="00C36B57"/>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style>
  <w:style w:type="character" w:styleId="CommentReference">
    <w:name w:val="annotation reference"/>
    <w:semiHidden/>
    <w:unhideWhenUsed/>
    <w:rsid w:val="00A72A04"/>
    <w:rPr>
      <w:sz w:val="16"/>
      <w:szCs w:val="16"/>
    </w:rPr>
  </w:style>
  <w:style w:type="paragraph" w:styleId="CommentText">
    <w:name w:val="annotation text"/>
    <w:basedOn w:val="Normal"/>
    <w:link w:val="CommentTextChar"/>
    <w:semiHidden/>
    <w:unhideWhenUsed/>
    <w:rsid w:val="00A72A04"/>
    <w:rPr>
      <w:sz w:val="20"/>
    </w:rPr>
  </w:style>
  <w:style w:type="character" w:customStyle="1" w:styleId="CommentTextChar">
    <w:name w:val="Comment Text Char"/>
    <w:link w:val="CommentText"/>
    <w:semiHidden/>
    <w:rsid w:val="00A72A04"/>
    <w:rPr>
      <w:snapToGrid w:val="0"/>
      <w:kern w:val="28"/>
    </w:rPr>
  </w:style>
  <w:style w:type="paragraph" w:styleId="CommentSubject">
    <w:name w:val="annotation subject"/>
    <w:basedOn w:val="CommentText"/>
    <w:next w:val="CommentText"/>
    <w:link w:val="CommentSubjectChar"/>
    <w:semiHidden/>
    <w:unhideWhenUsed/>
    <w:rsid w:val="00A72A04"/>
    <w:rPr>
      <w:b/>
      <w:bCs/>
    </w:rPr>
  </w:style>
  <w:style w:type="character" w:customStyle="1" w:styleId="CommentSubjectChar">
    <w:name w:val="Comment Subject Char"/>
    <w:link w:val="CommentSubject"/>
    <w:semiHidden/>
    <w:rsid w:val="00A72A0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6&amp;cite=47USCAS214&amp;originatingDoc=Ida288106795811e8bbbcd57aa014637b&amp;refType=RB&amp;originationContext=document&amp;transitionType=DocumentItem&amp;contextData=(sc.Search)" TargetMode="External" /><Relationship Id="rId2" Type="http://schemas.openxmlformats.org/officeDocument/2006/relationships/hyperlink" Target="https://1.next.westlaw.com/Link/Document/FullText?findType=L&amp;pubNum=1000547&amp;cite=47CFRS63.03&amp;originatingDoc=Ida288106795811e8bbbcd57aa014637b&amp;refType=LQ&amp;originationContext=document&amp;transitionType=DocumentItem&amp;contextData=(sc.Search)"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