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C1CFD" w14:paraId="0DE63F02" w14:textId="77777777">
      <w:pPr>
        <w:jc w:val="center"/>
        <w:rPr>
          <w:b/>
          <w:szCs w:val="22"/>
        </w:rPr>
      </w:pPr>
      <w:r>
        <w:rPr>
          <w:b/>
          <w:szCs w:val="22"/>
        </w:rPr>
        <w:t xml:space="preserve"> </w:t>
      </w:r>
      <w:r w:rsidR="00F6592E">
        <w:rPr>
          <w:b/>
          <w:szCs w:val="22"/>
        </w:rPr>
        <w:t xml:space="preserve">Before the </w:t>
      </w:r>
    </w:p>
    <w:p w:rsidR="00FC1CFD" w14:paraId="550BDABC" w14:textId="77777777">
      <w:pPr>
        <w:jc w:val="center"/>
        <w:rPr>
          <w:b/>
          <w:szCs w:val="22"/>
        </w:rPr>
      </w:pPr>
      <w:r>
        <w:rPr>
          <w:b/>
          <w:szCs w:val="22"/>
        </w:rPr>
        <w:t>Federal Communications Commission</w:t>
      </w:r>
    </w:p>
    <w:p w:rsidR="00FC1CFD" w14:paraId="42D3422D" w14:textId="77777777">
      <w:pPr>
        <w:jc w:val="center"/>
        <w:rPr>
          <w:b/>
          <w:szCs w:val="22"/>
        </w:rPr>
      </w:pPr>
      <w:r>
        <w:rPr>
          <w:b/>
          <w:szCs w:val="22"/>
        </w:rPr>
        <w:t>Washington, D.C. 20554</w:t>
      </w:r>
    </w:p>
    <w:p w:rsidR="00FC1CFD" w14:paraId="3D9E970F" w14:textId="77777777">
      <w:pPr>
        <w:rPr>
          <w:szCs w:val="22"/>
        </w:rPr>
      </w:pPr>
    </w:p>
    <w:p w:rsidR="00D860AB" w14:paraId="0815E4B5" w14:textId="77777777">
      <w:pPr>
        <w:rPr>
          <w:szCs w:val="22"/>
        </w:rPr>
      </w:pPr>
    </w:p>
    <w:tbl>
      <w:tblPr>
        <w:tblW w:w="9648" w:type="dxa"/>
        <w:tblLayout w:type="fixed"/>
        <w:tblLook w:val="0000"/>
      </w:tblPr>
      <w:tblGrid>
        <w:gridCol w:w="4698"/>
        <w:gridCol w:w="720"/>
        <w:gridCol w:w="4230"/>
      </w:tblGrid>
      <w:tr w14:paraId="32EF7D03" w14:textId="77777777">
        <w:tblPrEx>
          <w:tblW w:w="9648" w:type="dxa"/>
          <w:tblLayout w:type="fixed"/>
          <w:tblLook w:val="0000"/>
        </w:tblPrEx>
        <w:tc>
          <w:tcPr>
            <w:tcW w:w="4698" w:type="dxa"/>
          </w:tcPr>
          <w:p w:rsidR="00FC1CFD" w14:paraId="4AF3A774" w14:textId="77777777">
            <w:pPr>
              <w:ind w:right="-18"/>
              <w:rPr>
                <w:szCs w:val="22"/>
              </w:rPr>
            </w:pPr>
            <w:r>
              <w:rPr>
                <w:szCs w:val="22"/>
              </w:rPr>
              <w:t>In the Matter of Application of</w:t>
            </w:r>
          </w:p>
          <w:p w:rsidR="00FC1CFD" w14:paraId="006BF3B9" w14:textId="77777777">
            <w:pPr>
              <w:ind w:right="-18"/>
              <w:rPr>
                <w:szCs w:val="22"/>
              </w:rPr>
            </w:pPr>
          </w:p>
          <w:p w:rsidR="00FC1CFD" w14:paraId="4871A6DF" w14:textId="77777777">
            <w:pPr>
              <w:ind w:right="-18"/>
              <w:rPr>
                <w:szCs w:val="22"/>
              </w:rPr>
            </w:pPr>
            <w:r>
              <w:rPr>
                <w:szCs w:val="22"/>
              </w:rPr>
              <w:t xml:space="preserve">CHOICE COMMUNICATIONS LLC </w:t>
            </w:r>
          </w:p>
          <w:p w:rsidR="00D860AB" w14:paraId="4B1B885D" w14:textId="77777777">
            <w:pPr>
              <w:ind w:right="-18"/>
              <w:rPr>
                <w:szCs w:val="22"/>
              </w:rPr>
            </w:pPr>
          </w:p>
          <w:p w:rsidR="00FC1CFD" w14:paraId="7A4B246F" w14:textId="037902BF">
            <w:pPr>
              <w:ind w:right="-198"/>
              <w:rPr>
                <w:szCs w:val="22"/>
              </w:rPr>
            </w:pPr>
            <w:r>
              <w:rPr>
                <w:szCs w:val="22"/>
              </w:rPr>
              <w:t xml:space="preserve">For </w:t>
            </w:r>
            <w:r w:rsidR="00975EFC">
              <w:rPr>
                <w:szCs w:val="22"/>
              </w:rPr>
              <w:t xml:space="preserve">a </w:t>
            </w:r>
            <w:r>
              <w:rPr>
                <w:szCs w:val="22"/>
              </w:rPr>
              <w:t xml:space="preserve">New Educational Broadband Service </w:t>
            </w:r>
            <w:r w:rsidR="00D6752D">
              <w:rPr>
                <w:szCs w:val="22"/>
              </w:rPr>
              <w:t>Station</w:t>
            </w:r>
          </w:p>
        </w:tc>
        <w:tc>
          <w:tcPr>
            <w:tcW w:w="720" w:type="dxa"/>
          </w:tcPr>
          <w:p w:rsidR="00FC1CFD" w14:paraId="2FC1AF8F" w14:textId="77777777">
            <w:pPr>
              <w:rPr>
                <w:b/>
                <w:szCs w:val="22"/>
              </w:rPr>
            </w:pPr>
            <w:r>
              <w:rPr>
                <w:b/>
                <w:szCs w:val="22"/>
              </w:rPr>
              <w:t>)</w:t>
            </w:r>
          </w:p>
          <w:p w:rsidR="00FC1CFD" w14:paraId="3478D6E5" w14:textId="77777777">
            <w:pPr>
              <w:rPr>
                <w:b/>
                <w:szCs w:val="22"/>
              </w:rPr>
            </w:pPr>
            <w:r>
              <w:rPr>
                <w:b/>
                <w:szCs w:val="22"/>
              </w:rPr>
              <w:t>)</w:t>
            </w:r>
          </w:p>
          <w:p w:rsidR="00FC1CFD" w14:paraId="1AD8CFC8" w14:textId="77777777">
            <w:pPr>
              <w:rPr>
                <w:b/>
                <w:szCs w:val="22"/>
              </w:rPr>
            </w:pPr>
            <w:r>
              <w:rPr>
                <w:b/>
                <w:szCs w:val="22"/>
              </w:rPr>
              <w:t>)</w:t>
            </w:r>
          </w:p>
          <w:p w:rsidR="00FC1CFD" w14:paraId="0AA7F52A" w14:textId="77777777">
            <w:pPr>
              <w:rPr>
                <w:b/>
                <w:szCs w:val="22"/>
              </w:rPr>
            </w:pPr>
            <w:r>
              <w:rPr>
                <w:b/>
                <w:szCs w:val="22"/>
              </w:rPr>
              <w:t>)</w:t>
            </w:r>
          </w:p>
          <w:p w:rsidR="00FC1CFD" w14:paraId="68750700" w14:textId="77777777">
            <w:pPr>
              <w:rPr>
                <w:b/>
                <w:szCs w:val="22"/>
              </w:rPr>
            </w:pPr>
            <w:r>
              <w:rPr>
                <w:b/>
                <w:szCs w:val="22"/>
              </w:rPr>
              <w:t>)</w:t>
            </w:r>
          </w:p>
          <w:p w:rsidR="00FC1CFD" w14:paraId="7C7142E0" w14:textId="77777777">
            <w:pPr>
              <w:rPr>
                <w:b/>
                <w:szCs w:val="22"/>
              </w:rPr>
            </w:pPr>
          </w:p>
        </w:tc>
        <w:tc>
          <w:tcPr>
            <w:tcW w:w="4230" w:type="dxa"/>
          </w:tcPr>
          <w:p w:rsidR="00FC1CFD" w14:paraId="201F7E18" w14:textId="77777777">
            <w:pPr>
              <w:rPr>
                <w:szCs w:val="22"/>
              </w:rPr>
            </w:pPr>
          </w:p>
          <w:p w:rsidR="00FC1CFD" w14:paraId="733515CA" w14:textId="77777777">
            <w:pPr>
              <w:rPr>
                <w:szCs w:val="22"/>
              </w:rPr>
            </w:pPr>
          </w:p>
          <w:p w:rsidR="00FC1CFD" w14:paraId="5691D3A1" w14:textId="77777777">
            <w:pPr>
              <w:rPr>
                <w:spacing w:val="-2"/>
                <w:szCs w:val="22"/>
              </w:rPr>
            </w:pPr>
            <w:r>
              <w:rPr>
                <w:spacing w:val="-2"/>
                <w:szCs w:val="22"/>
              </w:rPr>
              <w:t xml:space="preserve">File No. </w:t>
            </w:r>
            <w:r w:rsidRPr="009D126F" w:rsidR="009D126F">
              <w:rPr>
                <w:szCs w:val="22"/>
              </w:rPr>
              <w:t>000</w:t>
            </w:r>
            <w:r w:rsidR="006126B4">
              <w:rPr>
                <w:szCs w:val="22"/>
              </w:rPr>
              <w:t>8700428</w:t>
            </w:r>
          </w:p>
          <w:p w:rsidR="00FC1CFD" w14:paraId="33709B09" w14:textId="77777777">
            <w:pPr>
              <w:rPr>
                <w:szCs w:val="22"/>
              </w:rPr>
            </w:pPr>
          </w:p>
          <w:p w:rsidR="00FC1CFD" w14:paraId="01F8700E" w14:textId="77777777">
            <w:pPr>
              <w:rPr>
                <w:szCs w:val="22"/>
              </w:rPr>
            </w:pPr>
          </w:p>
        </w:tc>
      </w:tr>
    </w:tbl>
    <w:p w:rsidR="00FC1CFD" w14:paraId="289BB136" w14:textId="77777777">
      <w:pPr>
        <w:jc w:val="center"/>
        <w:rPr>
          <w:b/>
          <w:szCs w:val="22"/>
        </w:rPr>
      </w:pPr>
      <w:r>
        <w:rPr>
          <w:b/>
          <w:szCs w:val="22"/>
        </w:rPr>
        <w:t>MEMORANDUM OPINION AND ORDER</w:t>
      </w:r>
    </w:p>
    <w:p w:rsidR="00FC1CFD" w14:paraId="77EA3C48" w14:textId="77777777">
      <w:pPr>
        <w:rPr>
          <w:szCs w:val="22"/>
        </w:rPr>
      </w:pPr>
    </w:p>
    <w:p w:rsidR="00FC1CFD" w14:paraId="701783EC" w14:textId="0DC6246C">
      <w:pPr>
        <w:tabs>
          <w:tab w:val="left" w:pos="6480"/>
        </w:tabs>
        <w:rPr>
          <w:b/>
          <w:szCs w:val="22"/>
        </w:rPr>
      </w:pPr>
      <w:r w:rsidRPr="00406CAC">
        <w:rPr>
          <w:b/>
          <w:szCs w:val="22"/>
        </w:rPr>
        <w:t xml:space="preserve">Adopted: </w:t>
      </w:r>
      <w:r w:rsidR="00632130">
        <w:rPr>
          <w:b/>
          <w:szCs w:val="22"/>
        </w:rPr>
        <w:t>September 4</w:t>
      </w:r>
      <w:r w:rsidR="009D126F">
        <w:rPr>
          <w:b/>
          <w:szCs w:val="22"/>
        </w:rPr>
        <w:t>, 2019</w:t>
      </w:r>
      <w:r w:rsidRPr="00406CAC">
        <w:rPr>
          <w:szCs w:val="22"/>
        </w:rPr>
        <w:tab/>
      </w:r>
      <w:r w:rsidRPr="00406CAC">
        <w:rPr>
          <w:b/>
          <w:szCs w:val="22"/>
        </w:rPr>
        <w:t>Released:</w:t>
      </w:r>
      <w:r w:rsidR="006F4775">
        <w:rPr>
          <w:b/>
          <w:szCs w:val="22"/>
        </w:rPr>
        <w:t xml:space="preserve"> </w:t>
      </w:r>
      <w:r w:rsidR="00632130">
        <w:rPr>
          <w:b/>
          <w:szCs w:val="22"/>
        </w:rPr>
        <w:t>September 4</w:t>
      </w:r>
      <w:r w:rsidR="00F4515A">
        <w:rPr>
          <w:b/>
          <w:szCs w:val="22"/>
        </w:rPr>
        <w:t>,</w:t>
      </w:r>
      <w:r w:rsidR="009D126F">
        <w:rPr>
          <w:b/>
          <w:szCs w:val="22"/>
        </w:rPr>
        <w:t xml:space="preserve"> 2019</w:t>
      </w:r>
    </w:p>
    <w:p w:rsidR="00FC1CFD" w14:paraId="512CF8FB" w14:textId="77777777">
      <w:pPr>
        <w:rPr>
          <w:b/>
          <w:szCs w:val="22"/>
        </w:rPr>
      </w:pPr>
    </w:p>
    <w:p w:rsidR="00FC1CFD" w:rsidRPr="008414C3" w14:paraId="4558A5F3" w14:textId="77777777">
      <w:pPr>
        <w:rPr>
          <w:szCs w:val="22"/>
        </w:rPr>
      </w:pPr>
      <w:r w:rsidRPr="008414C3">
        <w:rPr>
          <w:szCs w:val="22"/>
        </w:rPr>
        <w:t>By the Chief, Wireless Telecommunications Bureau:</w:t>
      </w:r>
    </w:p>
    <w:p w:rsidR="00FC1CFD" w:rsidRPr="008414C3" w14:paraId="74E34346" w14:textId="77777777">
      <w:pPr>
        <w:rPr>
          <w:szCs w:val="22"/>
        </w:rPr>
      </w:pPr>
    </w:p>
    <w:p w:rsidR="00FC1CFD" w:rsidRPr="008414C3" w:rsidP="00632130" w14:paraId="4D98D921" w14:textId="3EF55785">
      <w:pPr>
        <w:pStyle w:val="Heading1"/>
      </w:pPr>
      <w:r w:rsidRPr="00632130">
        <w:t>INTRODUCTION</w:t>
      </w:r>
    </w:p>
    <w:p w:rsidR="00FC1CFD" w:rsidRPr="008414C3" w14:paraId="7BCE94D6" w14:textId="77777777">
      <w:pPr>
        <w:rPr>
          <w:szCs w:val="22"/>
        </w:rPr>
      </w:pPr>
    </w:p>
    <w:p w:rsidR="002A1A73" w:rsidRPr="008414C3" w:rsidP="00B95F7B" w14:paraId="3F30CB61" w14:textId="558CDC1F">
      <w:pPr>
        <w:pStyle w:val="ParaNum"/>
        <w:rPr>
          <w:szCs w:val="22"/>
        </w:rPr>
      </w:pPr>
      <w:r w:rsidRPr="008414C3">
        <w:rPr>
          <w:szCs w:val="22"/>
        </w:rPr>
        <w:t>On</w:t>
      </w:r>
      <w:r w:rsidRPr="008414C3" w:rsidR="00315BB9">
        <w:rPr>
          <w:szCs w:val="22"/>
        </w:rPr>
        <w:t xml:space="preserve"> June 18</w:t>
      </w:r>
      <w:r w:rsidRPr="008414C3">
        <w:rPr>
          <w:szCs w:val="22"/>
        </w:rPr>
        <w:t xml:space="preserve">, </w:t>
      </w:r>
      <w:r w:rsidRPr="008414C3" w:rsidR="00315BB9">
        <w:rPr>
          <w:szCs w:val="22"/>
        </w:rPr>
        <w:t>2019, Choice Communications, LLC</w:t>
      </w:r>
      <w:r w:rsidRPr="008414C3" w:rsidR="00965F41">
        <w:rPr>
          <w:szCs w:val="22"/>
        </w:rPr>
        <w:t>,</w:t>
      </w:r>
      <w:r w:rsidRPr="008414C3" w:rsidR="00315BB9">
        <w:rPr>
          <w:szCs w:val="22"/>
        </w:rPr>
        <w:t xml:space="preserve"> d</w:t>
      </w:r>
      <w:r w:rsidRPr="008414C3" w:rsidR="00EC245D">
        <w:rPr>
          <w:szCs w:val="22"/>
        </w:rPr>
        <w:t>/</w:t>
      </w:r>
      <w:r w:rsidRPr="008414C3" w:rsidR="00200FF6">
        <w:rPr>
          <w:szCs w:val="22"/>
        </w:rPr>
        <w:t>b</w:t>
      </w:r>
      <w:r w:rsidRPr="008414C3" w:rsidR="00EC245D">
        <w:rPr>
          <w:szCs w:val="22"/>
        </w:rPr>
        <w:t>/</w:t>
      </w:r>
      <w:r w:rsidRPr="008414C3" w:rsidR="00200FF6">
        <w:rPr>
          <w:szCs w:val="22"/>
        </w:rPr>
        <w:t>a Viya</w:t>
      </w:r>
      <w:r w:rsidRPr="008414C3" w:rsidR="00383B08">
        <w:rPr>
          <w:szCs w:val="22"/>
        </w:rPr>
        <w:t xml:space="preserve"> </w:t>
      </w:r>
      <w:r w:rsidRPr="008414C3" w:rsidR="00CD4239">
        <w:rPr>
          <w:szCs w:val="22"/>
        </w:rPr>
        <w:t xml:space="preserve">(Viya) </w:t>
      </w:r>
      <w:r w:rsidRPr="008414C3" w:rsidR="00383B08">
        <w:rPr>
          <w:szCs w:val="22"/>
        </w:rPr>
        <w:t xml:space="preserve">filed </w:t>
      </w:r>
      <w:r w:rsidRPr="008414C3" w:rsidR="00CF7515">
        <w:rPr>
          <w:szCs w:val="22"/>
        </w:rPr>
        <w:t xml:space="preserve">an </w:t>
      </w:r>
      <w:r w:rsidRPr="008414C3" w:rsidR="00383B08">
        <w:rPr>
          <w:szCs w:val="22"/>
        </w:rPr>
        <w:t>application</w:t>
      </w:r>
      <w:r>
        <w:rPr>
          <w:rStyle w:val="FootnoteReference"/>
          <w:sz w:val="22"/>
          <w:szCs w:val="22"/>
        </w:rPr>
        <w:footnoteReference w:id="2"/>
      </w:r>
      <w:r w:rsidRPr="008414C3" w:rsidR="000903AA">
        <w:rPr>
          <w:szCs w:val="22"/>
        </w:rPr>
        <w:t xml:space="preserve"> </w:t>
      </w:r>
      <w:r w:rsidRPr="008414C3" w:rsidR="00383B08">
        <w:rPr>
          <w:szCs w:val="22"/>
        </w:rPr>
        <w:t xml:space="preserve">for </w:t>
      </w:r>
      <w:r w:rsidRPr="008414C3" w:rsidR="00FD3B45">
        <w:rPr>
          <w:szCs w:val="22"/>
        </w:rPr>
        <w:t xml:space="preserve">permanent authorization to use </w:t>
      </w:r>
      <w:r w:rsidRPr="008414C3" w:rsidR="00CF6648">
        <w:rPr>
          <w:szCs w:val="22"/>
        </w:rPr>
        <w:t xml:space="preserve">2.5 GHz spectrum in </w:t>
      </w:r>
      <w:r w:rsidRPr="008414C3" w:rsidR="007F09A4">
        <w:rPr>
          <w:szCs w:val="22"/>
        </w:rPr>
        <w:t>St. Croix, St. Thomas, and St. John</w:t>
      </w:r>
      <w:r w:rsidRPr="008414C3" w:rsidR="006D4A28">
        <w:rPr>
          <w:szCs w:val="22"/>
        </w:rPr>
        <w:t xml:space="preserve"> in the U.S. Virgin Islands (USVI)</w:t>
      </w:r>
      <w:r>
        <w:rPr>
          <w:rStyle w:val="FootnoteReference"/>
          <w:sz w:val="22"/>
          <w:szCs w:val="22"/>
        </w:rPr>
        <w:footnoteReference w:id="3"/>
      </w:r>
      <w:r w:rsidRPr="008414C3" w:rsidR="00CD4239">
        <w:rPr>
          <w:szCs w:val="22"/>
        </w:rPr>
        <w:t xml:space="preserve"> </w:t>
      </w:r>
      <w:r w:rsidRPr="008414C3" w:rsidR="00CF6648">
        <w:rPr>
          <w:szCs w:val="22"/>
        </w:rPr>
        <w:t>for which it currently holds Special Temporary Authori</w:t>
      </w:r>
      <w:r w:rsidRPr="008414C3" w:rsidR="006742B5">
        <w:rPr>
          <w:szCs w:val="22"/>
        </w:rPr>
        <w:t>zations</w:t>
      </w:r>
      <w:r w:rsidRPr="008414C3" w:rsidR="006E6195">
        <w:rPr>
          <w:szCs w:val="22"/>
        </w:rPr>
        <w:t xml:space="preserve"> under call signs WQXS462, WQXS464, and WQUT992</w:t>
      </w:r>
      <w:r w:rsidRPr="008414C3" w:rsidR="0094600A">
        <w:rPr>
          <w:szCs w:val="22"/>
        </w:rPr>
        <w:t xml:space="preserve"> (the STAs)</w:t>
      </w:r>
      <w:r w:rsidRPr="008414C3" w:rsidR="002A4F10">
        <w:rPr>
          <w:szCs w:val="22"/>
        </w:rPr>
        <w:t>.</w:t>
      </w:r>
      <w:r w:rsidRPr="008414C3" w:rsidR="00383B08">
        <w:rPr>
          <w:szCs w:val="22"/>
        </w:rPr>
        <w:t xml:space="preserve">  </w:t>
      </w:r>
      <w:r w:rsidRPr="008414C3">
        <w:rPr>
          <w:szCs w:val="22"/>
        </w:rPr>
        <w:t xml:space="preserve">In this </w:t>
      </w:r>
      <w:r w:rsidRPr="008414C3">
        <w:rPr>
          <w:i/>
          <w:szCs w:val="22"/>
        </w:rPr>
        <w:t>Memorandum Opinion and Order</w:t>
      </w:r>
      <w:r w:rsidRPr="008414C3">
        <w:rPr>
          <w:szCs w:val="22"/>
        </w:rPr>
        <w:t xml:space="preserve">, we grant </w:t>
      </w:r>
      <w:r w:rsidRPr="008414C3" w:rsidR="00FD3B45">
        <w:rPr>
          <w:szCs w:val="22"/>
        </w:rPr>
        <w:t>the</w:t>
      </w:r>
      <w:r w:rsidRPr="008414C3" w:rsidR="00457F41">
        <w:rPr>
          <w:szCs w:val="22"/>
        </w:rPr>
        <w:t xml:space="preserve"> Waiver Request</w:t>
      </w:r>
      <w:r w:rsidRPr="008414C3" w:rsidR="00965F41">
        <w:rPr>
          <w:szCs w:val="22"/>
        </w:rPr>
        <w:t xml:space="preserve"> subject to certain conditions </w:t>
      </w:r>
      <w:r w:rsidRPr="008414C3" w:rsidR="004211A5">
        <w:rPr>
          <w:szCs w:val="22"/>
        </w:rPr>
        <w:t>specifi</w:t>
      </w:r>
      <w:r w:rsidRPr="008414C3" w:rsidR="00965F41">
        <w:rPr>
          <w:szCs w:val="22"/>
        </w:rPr>
        <w:t>ed herein</w:t>
      </w:r>
      <w:r w:rsidRPr="008414C3">
        <w:rPr>
          <w:szCs w:val="22"/>
        </w:rPr>
        <w:t>.</w:t>
      </w:r>
    </w:p>
    <w:p w:rsidR="00FC1CFD" w:rsidRPr="008414C3" w14:paraId="4DF728F8" w14:textId="77B87D8F">
      <w:pPr>
        <w:pStyle w:val="Heading1"/>
        <w:spacing w:after="220"/>
        <w:rPr>
          <w:rFonts w:ascii="Times New Roman" w:hAnsi="Times New Roman"/>
          <w:szCs w:val="22"/>
        </w:rPr>
      </w:pPr>
      <w:r w:rsidRPr="008414C3">
        <w:rPr>
          <w:rFonts w:ascii="Times New Roman" w:hAnsi="Times New Roman"/>
          <w:szCs w:val="22"/>
        </w:rPr>
        <w:t>BACKGROUND</w:t>
      </w:r>
    </w:p>
    <w:p w:rsidR="00FC1CFD" w:rsidRPr="008414C3" w:rsidP="00B95F7B" w14:paraId="1DEB9F0B" w14:textId="47D77175">
      <w:pPr>
        <w:pStyle w:val="ParaNum"/>
        <w:rPr>
          <w:szCs w:val="22"/>
        </w:rPr>
      </w:pPr>
      <w:r w:rsidRPr="008414C3">
        <w:rPr>
          <w:i/>
          <w:szCs w:val="22"/>
        </w:rPr>
        <w:t>2500-2690 MHz Band Generally</w:t>
      </w:r>
      <w:r w:rsidRPr="008414C3">
        <w:rPr>
          <w:szCs w:val="22"/>
        </w:rPr>
        <w:t>.  In developing regulatory policies in the 2500-2690 MHz band over the last several decades, the Commission has been cognizant of this band’s potential to host a variety of services.  In 1963, the Commission</w:t>
      </w:r>
      <w:r w:rsidRPr="008414C3" w:rsidR="00965F41">
        <w:rPr>
          <w:szCs w:val="22"/>
        </w:rPr>
        <w:t>, in</w:t>
      </w:r>
      <w:r w:rsidRPr="008414C3">
        <w:rPr>
          <w:szCs w:val="22"/>
        </w:rPr>
        <w:t xml:space="preserve"> establish</w:t>
      </w:r>
      <w:r w:rsidRPr="008414C3" w:rsidR="00965F41">
        <w:rPr>
          <w:szCs w:val="22"/>
        </w:rPr>
        <w:t>ing</w:t>
      </w:r>
      <w:r w:rsidRPr="008414C3">
        <w:rPr>
          <w:szCs w:val="22"/>
        </w:rPr>
        <w:t xml:space="preserve"> the Instructional Television Fixed Service (ITFS) in the 2500-2690 MHz band,</w:t>
      </w:r>
      <w:r>
        <w:rPr>
          <w:rStyle w:val="FootnoteReference"/>
          <w:sz w:val="22"/>
          <w:szCs w:val="22"/>
        </w:rPr>
        <w:footnoteReference w:id="4"/>
      </w:r>
      <w:r w:rsidRPr="008414C3">
        <w:rPr>
          <w:szCs w:val="22"/>
        </w:rPr>
        <w:t xml:space="preserve"> envision</w:t>
      </w:r>
      <w:r w:rsidRPr="008414C3" w:rsidR="00797C8A">
        <w:rPr>
          <w:szCs w:val="22"/>
        </w:rPr>
        <w:t>ed</w:t>
      </w:r>
      <w:r w:rsidRPr="008414C3">
        <w:rPr>
          <w:szCs w:val="22"/>
        </w:rPr>
        <w:t xml:space="preserve"> that </w:t>
      </w:r>
      <w:r w:rsidRPr="008414C3" w:rsidR="00797C8A">
        <w:rPr>
          <w:szCs w:val="22"/>
        </w:rPr>
        <w:t xml:space="preserve">the band </w:t>
      </w:r>
      <w:r w:rsidRPr="008414C3">
        <w:rPr>
          <w:szCs w:val="22"/>
        </w:rPr>
        <w:t>would be used for transmission of instructional material to accredited public and private schools, colleges and universities for the formal education of students.</w:t>
      </w:r>
      <w:r>
        <w:rPr>
          <w:rStyle w:val="FootnoteReference"/>
          <w:sz w:val="22"/>
          <w:szCs w:val="22"/>
        </w:rPr>
        <w:footnoteReference w:id="5"/>
      </w:r>
      <w:r w:rsidRPr="008414C3">
        <w:rPr>
          <w:szCs w:val="22"/>
        </w:rPr>
        <w:t xml:space="preserve">  In 1983, in response to the demand for additional spectrum for delivery of video entertainment programming to subscribers, the Commission </w:t>
      </w:r>
      <w:r w:rsidRPr="008414C3" w:rsidR="002F6CEC">
        <w:rPr>
          <w:szCs w:val="22"/>
        </w:rPr>
        <w:t xml:space="preserve">re-allotted </w:t>
      </w:r>
      <w:r w:rsidRPr="008414C3">
        <w:rPr>
          <w:szCs w:val="22"/>
        </w:rPr>
        <w:t>eight ITFS channels (the E and F channel blocks) and associated response channels for use by the Multipoint Distribution Service (MDS).</w:t>
      </w:r>
      <w:r>
        <w:rPr>
          <w:rStyle w:val="FootnoteReference"/>
          <w:sz w:val="22"/>
          <w:szCs w:val="22"/>
        </w:rPr>
        <w:footnoteReference w:id="6"/>
      </w:r>
      <w:r w:rsidRPr="008414C3">
        <w:rPr>
          <w:szCs w:val="22"/>
        </w:rPr>
        <w:t xml:space="preserve"> </w:t>
      </w:r>
      <w:r w:rsidRPr="008414C3" w:rsidR="00A93A92">
        <w:rPr>
          <w:szCs w:val="22"/>
        </w:rPr>
        <w:t xml:space="preserve"> </w:t>
      </w:r>
      <w:r w:rsidRPr="008414C3">
        <w:rPr>
          <w:szCs w:val="22"/>
        </w:rPr>
        <w:t>In conjunction with this</w:t>
      </w:r>
      <w:r w:rsidRPr="008414C3" w:rsidR="002F6CEC">
        <w:rPr>
          <w:szCs w:val="22"/>
        </w:rPr>
        <w:t xml:space="preserve"> re-allotment</w:t>
      </w:r>
      <w:r w:rsidRPr="008414C3">
        <w:rPr>
          <w:szCs w:val="22"/>
        </w:rPr>
        <w:t>, the FCC permitted ITFS licensees to lease “excess capacity” on their facilities to commercial entities.</w:t>
      </w:r>
      <w:r>
        <w:rPr>
          <w:rStyle w:val="FootnoteReference"/>
          <w:sz w:val="22"/>
          <w:szCs w:val="22"/>
        </w:rPr>
        <w:footnoteReference w:id="7"/>
      </w:r>
    </w:p>
    <w:p w:rsidR="00B95F7B" w:rsidRPr="008414C3" w:rsidP="00B95F7B" w14:paraId="73412084" w14:textId="179EEEAB">
      <w:pPr>
        <w:pStyle w:val="ParaNum"/>
        <w:rPr>
          <w:szCs w:val="22"/>
        </w:rPr>
      </w:pPr>
      <w:r w:rsidRPr="008414C3">
        <w:rPr>
          <w:szCs w:val="22"/>
        </w:rPr>
        <w:t>In April 2003, the Commission proposed new technical rules and a new band plan for ITFS and MDS spectrum (</w:t>
      </w:r>
      <w:r w:rsidRPr="008414C3" w:rsidR="00797C8A">
        <w:rPr>
          <w:szCs w:val="22"/>
        </w:rPr>
        <w:t xml:space="preserve">and it </w:t>
      </w:r>
      <w:r w:rsidRPr="008414C3">
        <w:rPr>
          <w:szCs w:val="22"/>
        </w:rPr>
        <w:t>chang</w:t>
      </w:r>
      <w:r w:rsidRPr="008414C3" w:rsidR="00797C8A">
        <w:rPr>
          <w:szCs w:val="22"/>
        </w:rPr>
        <w:t>ed</w:t>
      </w:r>
      <w:r w:rsidRPr="008414C3">
        <w:rPr>
          <w:szCs w:val="22"/>
        </w:rPr>
        <w:t xml:space="preserve"> the service names to EBS and Broadband Radio Service (BRS), respectively)</w:t>
      </w:r>
      <w:r w:rsidRPr="008414C3" w:rsidR="00797C8A">
        <w:rPr>
          <w:szCs w:val="22"/>
        </w:rPr>
        <w:t>.</w:t>
      </w:r>
      <w:r w:rsidRPr="008414C3" w:rsidR="00CE0D87">
        <w:rPr>
          <w:szCs w:val="22"/>
        </w:rPr>
        <w:t xml:space="preserve"> </w:t>
      </w:r>
      <w:r w:rsidR="00BE44C0">
        <w:rPr>
          <w:szCs w:val="22"/>
        </w:rPr>
        <w:t xml:space="preserve"> </w:t>
      </w:r>
      <w:r w:rsidRPr="008414C3" w:rsidR="00797C8A">
        <w:rPr>
          <w:szCs w:val="22"/>
        </w:rPr>
        <w:t>I</w:t>
      </w:r>
      <w:r w:rsidRPr="008414C3">
        <w:rPr>
          <w:szCs w:val="22"/>
        </w:rPr>
        <w:t xml:space="preserve">t </w:t>
      </w:r>
      <w:r w:rsidRPr="008414C3" w:rsidR="00797C8A">
        <w:rPr>
          <w:szCs w:val="22"/>
        </w:rPr>
        <w:t xml:space="preserve">also </w:t>
      </w:r>
      <w:r w:rsidRPr="008414C3">
        <w:rPr>
          <w:szCs w:val="22"/>
        </w:rPr>
        <w:t>imp</w:t>
      </w:r>
      <w:r w:rsidRPr="008414C3" w:rsidR="00FD3B45">
        <w:rPr>
          <w:szCs w:val="22"/>
        </w:rPr>
        <w:t>osed</w:t>
      </w:r>
      <w:r w:rsidRPr="008414C3">
        <w:rPr>
          <w:szCs w:val="22"/>
        </w:rPr>
        <w:t xml:space="preserve"> a freeze </w:t>
      </w:r>
      <w:r w:rsidRPr="008414C3" w:rsidR="00FD3B45">
        <w:rPr>
          <w:szCs w:val="22"/>
        </w:rPr>
        <w:t xml:space="preserve">on </w:t>
      </w:r>
      <w:r w:rsidRPr="008414C3">
        <w:rPr>
          <w:szCs w:val="22"/>
        </w:rPr>
        <w:t>all applications for new BRS and EBS licenses.</w:t>
      </w:r>
      <w:r>
        <w:rPr>
          <w:rStyle w:val="FootnoteReference"/>
          <w:sz w:val="22"/>
          <w:szCs w:val="22"/>
        </w:rPr>
        <w:footnoteReference w:id="8"/>
      </w:r>
      <w:r w:rsidRPr="008414C3">
        <w:rPr>
          <w:szCs w:val="22"/>
        </w:rPr>
        <w:t xml:space="preserve">  </w:t>
      </w:r>
      <w:r w:rsidRPr="008414C3" w:rsidR="00FD3B45">
        <w:rPr>
          <w:szCs w:val="22"/>
        </w:rPr>
        <w:t xml:space="preserve">In June </w:t>
      </w:r>
      <w:r w:rsidRPr="008414C3" w:rsidR="005D3168">
        <w:rPr>
          <w:szCs w:val="22"/>
        </w:rPr>
        <w:t xml:space="preserve">2004, </w:t>
      </w:r>
      <w:r w:rsidRPr="008414C3">
        <w:rPr>
          <w:szCs w:val="22"/>
        </w:rPr>
        <w:t xml:space="preserve">the Commission adopted new rules </w:t>
      </w:r>
      <w:r w:rsidRPr="008414C3" w:rsidR="00797C8A">
        <w:rPr>
          <w:szCs w:val="22"/>
        </w:rPr>
        <w:t xml:space="preserve">that </w:t>
      </w:r>
      <w:r w:rsidRPr="008414C3">
        <w:rPr>
          <w:szCs w:val="22"/>
        </w:rPr>
        <w:t>fundamental</w:t>
      </w:r>
      <w:r w:rsidRPr="008414C3" w:rsidR="00FD3B45">
        <w:rPr>
          <w:szCs w:val="22"/>
        </w:rPr>
        <w:t>ly</w:t>
      </w:r>
      <w:r w:rsidRPr="008414C3">
        <w:rPr>
          <w:szCs w:val="22"/>
        </w:rPr>
        <w:t xml:space="preserve"> restructur</w:t>
      </w:r>
      <w:r w:rsidRPr="008414C3" w:rsidR="00797C8A">
        <w:rPr>
          <w:szCs w:val="22"/>
        </w:rPr>
        <w:t>ed</w:t>
      </w:r>
      <w:r w:rsidRPr="008414C3">
        <w:rPr>
          <w:szCs w:val="22"/>
        </w:rPr>
        <w:t xml:space="preserve"> the 2500-2690 MHz band</w:t>
      </w:r>
      <w:r w:rsidRPr="008414C3" w:rsidR="00FD3B45">
        <w:rPr>
          <w:szCs w:val="22"/>
        </w:rPr>
        <w:t xml:space="preserve">, but </w:t>
      </w:r>
      <w:r w:rsidRPr="008414C3" w:rsidR="00797C8A">
        <w:rPr>
          <w:szCs w:val="22"/>
        </w:rPr>
        <w:t xml:space="preserve">it </w:t>
      </w:r>
      <w:r w:rsidRPr="008414C3" w:rsidR="00FD3B45">
        <w:rPr>
          <w:szCs w:val="22"/>
        </w:rPr>
        <w:t>left the EBS filing freeze in place</w:t>
      </w:r>
      <w:r w:rsidRPr="008414C3">
        <w:rPr>
          <w:szCs w:val="22"/>
        </w:rPr>
        <w:t>.</w:t>
      </w:r>
      <w:r w:rsidRPr="008414C3">
        <w:rPr>
          <w:rStyle w:val="FootnoteReference"/>
          <w:sz w:val="22"/>
          <w:szCs w:val="22"/>
        </w:rPr>
        <w:t xml:space="preserve"> </w:t>
      </w:r>
      <w:r>
        <w:rPr>
          <w:rStyle w:val="FootnoteReference"/>
          <w:sz w:val="22"/>
          <w:szCs w:val="22"/>
        </w:rPr>
        <w:footnoteReference w:id="9"/>
      </w:r>
      <w:r w:rsidRPr="008414C3">
        <w:rPr>
          <w:szCs w:val="22"/>
        </w:rPr>
        <w:t xml:space="preserve">  </w:t>
      </w:r>
      <w:r w:rsidRPr="008414C3" w:rsidR="00D6752D">
        <w:rPr>
          <w:szCs w:val="22"/>
        </w:rPr>
        <w:t>In 2008</w:t>
      </w:r>
      <w:r w:rsidRPr="008414C3">
        <w:rPr>
          <w:szCs w:val="22"/>
        </w:rPr>
        <w:t>, the Commission sought comment on how to license unassigned EBS spectrum.</w:t>
      </w:r>
      <w:r>
        <w:rPr>
          <w:rStyle w:val="FootnoteReference"/>
          <w:sz w:val="22"/>
          <w:szCs w:val="22"/>
        </w:rPr>
        <w:footnoteReference w:id="10"/>
      </w:r>
    </w:p>
    <w:p w:rsidR="00244205" w:rsidRPr="008414C3" w:rsidP="00A14918" w14:paraId="248958A6" w14:textId="3BB0C505">
      <w:pPr>
        <w:pStyle w:val="ParaNum"/>
        <w:tabs>
          <w:tab w:val="left" w:pos="5130"/>
        </w:tabs>
        <w:autoSpaceDE w:val="0"/>
        <w:autoSpaceDN w:val="0"/>
        <w:adjustRightInd w:val="0"/>
        <w:rPr>
          <w:szCs w:val="22"/>
        </w:rPr>
      </w:pPr>
      <w:r w:rsidRPr="008414C3">
        <w:rPr>
          <w:szCs w:val="22"/>
        </w:rPr>
        <w:t>In July 2019,</w:t>
      </w:r>
      <w:r w:rsidRPr="008414C3" w:rsidR="008D62D7">
        <w:rPr>
          <w:szCs w:val="22"/>
        </w:rPr>
        <w:t xml:space="preserve"> the Commission adopted the </w:t>
      </w:r>
      <w:bookmarkStart w:id="0" w:name="_Hlk17456421"/>
      <w:r w:rsidRPr="008414C3" w:rsidR="008D62D7">
        <w:rPr>
          <w:i/>
          <w:szCs w:val="22"/>
        </w:rPr>
        <w:t>2.5 GHz Band</w:t>
      </w:r>
      <w:r w:rsidRPr="008414C3" w:rsidR="008D62D7">
        <w:rPr>
          <w:szCs w:val="22"/>
        </w:rPr>
        <w:t xml:space="preserve"> </w:t>
      </w:r>
      <w:r w:rsidRPr="008414C3" w:rsidR="008D62D7">
        <w:rPr>
          <w:i/>
          <w:szCs w:val="22"/>
        </w:rPr>
        <w:t>Report and Order</w:t>
      </w:r>
      <w:bookmarkEnd w:id="0"/>
      <w:r w:rsidRPr="008414C3" w:rsidR="008D62D7">
        <w:rPr>
          <w:szCs w:val="22"/>
        </w:rPr>
        <w:t xml:space="preserve">, which changed the licensing requirements applicable to EBS, making </w:t>
      </w:r>
      <w:r w:rsidRPr="008414C3" w:rsidR="00797C8A">
        <w:rPr>
          <w:szCs w:val="22"/>
        </w:rPr>
        <w:t xml:space="preserve">the </w:t>
      </w:r>
      <w:r w:rsidRPr="008414C3" w:rsidR="001B03D4">
        <w:rPr>
          <w:szCs w:val="22"/>
        </w:rPr>
        <w:t xml:space="preserve">EBS </w:t>
      </w:r>
      <w:r w:rsidRPr="008414C3" w:rsidR="008D62D7">
        <w:rPr>
          <w:szCs w:val="22"/>
        </w:rPr>
        <w:t xml:space="preserve">regulatory requirements </w:t>
      </w:r>
      <w:r w:rsidRPr="008414C3" w:rsidR="00FD285C">
        <w:rPr>
          <w:szCs w:val="22"/>
        </w:rPr>
        <w:t>similar to</w:t>
      </w:r>
      <w:r w:rsidRPr="008414C3" w:rsidR="001B03D4">
        <w:rPr>
          <w:szCs w:val="22"/>
        </w:rPr>
        <w:t xml:space="preserve"> </w:t>
      </w:r>
      <w:r w:rsidRPr="008414C3" w:rsidR="00EA3F17">
        <w:rPr>
          <w:szCs w:val="22"/>
        </w:rPr>
        <w:t xml:space="preserve">those that apply to </w:t>
      </w:r>
      <w:r w:rsidRPr="008414C3" w:rsidR="001B03D4">
        <w:rPr>
          <w:szCs w:val="22"/>
        </w:rPr>
        <w:t>BRS</w:t>
      </w:r>
      <w:r w:rsidRPr="008414C3" w:rsidR="008D62D7">
        <w:rPr>
          <w:szCs w:val="22"/>
        </w:rPr>
        <w:t>.</w:t>
      </w:r>
      <w:r>
        <w:rPr>
          <w:rStyle w:val="FootnoteReference"/>
          <w:sz w:val="22"/>
          <w:szCs w:val="22"/>
        </w:rPr>
        <w:footnoteReference w:id="11"/>
      </w:r>
      <w:r w:rsidRPr="008414C3" w:rsidR="008D62D7">
        <w:rPr>
          <w:szCs w:val="22"/>
        </w:rPr>
        <w:t xml:space="preserve">  Among other changes, the Commission removed the eligibility requirements,</w:t>
      </w:r>
      <w:r w:rsidRPr="008414C3" w:rsidR="00357551">
        <w:rPr>
          <w:rStyle w:val="FootnoteReference"/>
          <w:sz w:val="22"/>
          <w:szCs w:val="22"/>
        </w:rPr>
        <w:t xml:space="preserve"> </w:t>
      </w:r>
      <w:r>
        <w:rPr>
          <w:rStyle w:val="FootnoteReference"/>
          <w:sz w:val="22"/>
          <w:szCs w:val="22"/>
        </w:rPr>
        <w:footnoteReference w:id="12"/>
      </w:r>
      <w:r w:rsidRPr="008414C3" w:rsidR="008D62D7">
        <w:rPr>
          <w:szCs w:val="22"/>
        </w:rPr>
        <w:t xml:space="preserve"> the educational use requirements,</w:t>
      </w:r>
      <w:r>
        <w:rPr>
          <w:rStyle w:val="FootnoteReference"/>
          <w:sz w:val="22"/>
          <w:szCs w:val="22"/>
        </w:rPr>
        <w:footnoteReference w:id="13"/>
      </w:r>
      <w:r w:rsidRPr="008414C3" w:rsidR="008D62D7">
        <w:rPr>
          <w:szCs w:val="22"/>
        </w:rPr>
        <w:t xml:space="preserve"> and the leasing restrictions applicable to EBS.</w:t>
      </w:r>
      <w:r w:rsidRPr="008414C3" w:rsidR="00357551">
        <w:rPr>
          <w:rStyle w:val="FootnoteReference"/>
          <w:sz w:val="22"/>
          <w:szCs w:val="22"/>
        </w:rPr>
        <w:t xml:space="preserve"> </w:t>
      </w:r>
      <w:r>
        <w:rPr>
          <w:rStyle w:val="FootnoteReference"/>
          <w:sz w:val="22"/>
          <w:szCs w:val="22"/>
        </w:rPr>
        <w:footnoteReference w:id="14"/>
      </w:r>
      <w:r w:rsidRPr="008414C3" w:rsidR="00357551">
        <w:rPr>
          <w:szCs w:val="22"/>
        </w:rPr>
        <w:t xml:space="preserve"> </w:t>
      </w:r>
      <w:r w:rsidRPr="008414C3" w:rsidR="008D62D7">
        <w:rPr>
          <w:szCs w:val="22"/>
        </w:rPr>
        <w:t xml:space="preserve"> </w:t>
      </w:r>
      <w:r w:rsidRPr="008414C3" w:rsidR="001B03D4">
        <w:rPr>
          <w:szCs w:val="22"/>
        </w:rPr>
        <w:t>The Commission also created a Tribal priority filing window</w:t>
      </w:r>
      <w:r w:rsidRPr="008414C3" w:rsidR="00797C8A">
        <w:rPr>
          <w:szCs w:val="22"/>
        </w:rPr>
        <w:t>,</w:t>
      </w:r>
      <w:r>
        <w:rPr>
          <w:rStyle w:val="FootnoteReference"/>
          <w:sz w:val="22"/>
          <w:szCs w:val="22"/>
        </w:rPr>
        <w:footnoteReference w:id="15"/>
      </w:r>
      <w:r w:rsidRPr="008414C3" w:rsidR="000E7686">
        <w:rPr>
          <w:szCs w:val="22"/>
        </w:rPr>
        <w:t xml:space="preserve"> </w:t>
      </w:r>
      <w:r w:rsidRPr="008414C3" w:rsidR="001B03D4">
        <w:rPr>
          <w:szCs w:val="22"/>
        </w:rPr>
        <w:t>after which it will</w:t>
      </w:r>
      <w:r w:rsidRPr="008414C3" w:rsidR="006C1D45">
        <w:rPr>
          <w:szCs w:val="22"/>
        </w:rPr>
        <w:t xml:space="preserve"> auction three overlay licenses</w:t>
      </w:r>
      <w:r w:rsidRPr="008414C3" w:rsidR="000E7686">
        <w:rPr>
          <w:szCs w:val="22"/>
        </w:rPr>
        <w:t xml:space="preserve"> </w:t>
      </w:r>
      <w:r w:rsidRPr="008414C3" w:rsidR="006C1D45">
        <w:rPr>
          <w:szCs w:val="22"/>
        </w:rPr>
        <w:t>per county of any remaining white space.</w:t>
      </w:r>
      <w:r>
        <w:rPr>
          <w:rStyle w:val="FootnoteReference"/>
          <w:sz w:val="22"/>
          <w:szCs w:val="22"/>
        </w:rPr>
        <w:footnoteReference w:id="16"/>
      </w:r>
      <w:r w:rsidRPr="008414C3" w:rsidR="006C1D45">
        <w:rPr>
          <w:szCs w:val="22"/>
        </w:rPr>
        <w:t xml:space="preserve">  </w:t>
      </w:r>
      <w:r w:rsidRPr="008414C3" w:rsidR="001B03D4">
        <w:rPr>
          <w:szCs w:val="22"/>
        </w:rPr>
        <w:t>The Commission also adopted bidding procedures</w:t>
      </w:r>
      <w:r>
        <w:rPr>
          <w:rStyle w:val="FootnoteReference"/>
          <w:sz w:val="22"/>
          <w:szCs w:val="22"/>
        </w:rPr>
        <w:footnoteReference w:id="17"/>
      </w:r>
      <w:r w:rsidRPr="008414C3" w:rsidR="001B03D4">
        <w:rPr>
          <w:szCs w:val="22"/>
        </w:rPr>
        <w:t xml:space="preserve"> and performance requirements.</w:t>
      </w:r>
      <w:r>
        <w:rPr>
          <w:rStyle w:val="FootnoteReference"/>
          <w:sz w:val="22"/>
          <w:szCs w:val="22"/>
        </w:rPr>
        <w:footnoteReference w:id="18"/>
      </w:r>
      <w:r w:rsidRPr="008414C3" w:rsidR="001B03D4">
        <w:rPr>
          <w:szCs w:val="22"/>
        </w:rPr>
        <w:t xml:space="preserve">  </w:t>
      </w:r>
    </w:p>
    <w:p w:rsidR="00896E7B" w:rsidRPr="008414C3" w:rsidP="00896E7B" w14:paraId="441A92F9" w14:textId="07832125">
      <w:pPr>
        <w:pStyle w:val="ParaNum"/>
        <w:tabs>
          <w:tab w:val="left" w:pos="5130"/>
        </w:tabs>
        <w:autoSpaceDE w:val="0"/>
        <w:autoSpaceDN w:val="0"/>
        <w:adjustRightInd w:val="0"/>
        <w:rPr>
          <w:szCs w:val="22"/>
        </w:rPr>
      </w:pPr>
      <w:r w:rsidRPr="008414C3">
        <w:rPr>
          <w:i/>
          <w:szCs w:val="22"/>
        </w:rPr>
        <w:t>Viya’s</w:t>
      </w:r>
      <w:r w:rsidRPr="008414C3" w:rsidR="00F6592E">
        <w:rPr>
          <w:i/>
          <w:szCs w:val="22"/>
        </w:rPr>
        <w:t xml:space="preserve"> Application</w:t>
      </w:r>
      <w:r w:rsidRPr="008414C3" w:rsidR="00F6592E">
        <w:rPr>
          <w:szCs w:val="22"/>
        </w:rPr>
        <w:t xml:space="preserve">.  </w:t>
      </w:r>
      <w:r w:rsidRPr="008414C3">
        <w:rPr>
          <w:szCs w:val="22"/>
        </w:rPr>
        <w:t>Viya, through Choice Communications (Choice</w:t>
      </w:r>
      <w:r w:rsidRPr="008414C3" w:rsidR="00643D56">
        <w:rPr>
          <w:szCs w:val="22"/>
        </w:rPr>
        <w:t>)</w:t>
      </w:r>
      <w:r w:rsidRPr="008414C3" w:rsidR="00797C8A">
        <w:rPr>
          <w:szCs w:val="22"/>
        </w:rPr>
        <w:t>,</w:t>
      </w:r>
      <w:r w:rsidRPr="008414C3" w:rsidR="00643D56">
        <w:rPr>
          <w:szCs w:val="22"/>
        </w:rPr>
        <w:t xml:space="preserve"> </w:t>
      </w:r>
      <w:r w:rsidRPr="008414C3">
        <w:rPr>
          <w:szCs w:val="22"/>
        </w:rPr>
        <w:t xml:space="preserve">has been using spectrum in the 2.5 GHz band in the USVI for more than </w:t>
      </w:r>
      <w:r w:rsidRPr="008414C3" w:rsidR="00340CFD">
        <w:rPr>
          <w:szCs w:val="22"/>
        </w:rPr>
        <w:t>20</w:t>
      </w:r>
      <w:r w:rsidRPr="008414C3">
        <w:rPr>
          <w:szCs w:val="22"/>
        </w:rPr>
        <w:t xml:space="preserve"> years.</w:t>
      </w:r>
      <w:r>
        <w:rPr>
          <w:rStyle w:val="FootnoteReference"/>
          <w:sz w:val="22"/>
          <w:szCs w:val="22"/>
        </w:rPr>
        <w:footnoteReference w:id="19"/>
      </w:r>
      <w:r w:rsidRPr="008414C3">
        <w:rPr>
          <w:szCs w:val="22"/>
        </w:rPr>
        <w:t xml:space="preserve">  </w:t>
      </w:r>
      <w:r w:rsidRPr="008414C3" w:rsidR="00FB55EE">
        <w:rPr>
          <w:szCs w:val="22"/>
        </w:rPr>
        <w:t xml:space="preserve">In the 1990s, </w:t>
      </w:r>
      <w:r w:rsidRPr="008414C3">
        <w:rPr>
          <w:szCs w:val="22"/>
        </w:rPr>
        <w:t xml:space="preserve">Choice </w:t>
      </w:r>
      <w:r w:rsidRPr="008414C3" w:rsidR="00FB55EE">
        <w:rPr>
          <w:szCs w:val="22"/>
        </w:rPr>
        <w:t xml:space="preserve">deployed a </w:t>
      </w:r>
      <w:r w:rsidRPr="008414C3" w:rsidR="00FB55EE">
        <w:rPr>
          <w:szCs w:val="22"/>
        </w:rPr>
        <w:t xml:space="preserve">fixed wireless network over which it </w:t>
      </w:r>
      <w:r w:rsidRPr="008414C3">
        <w:rPr>
          <w:szCs w:val="22"/>
        </w:rPr>
        <w:t>offered multichannel video programming distribution (MVPD) services, fixed wireless Internet access, and other related services</w:t>
      </w:r>
      <w:r w:rsidRPr="008414C3" w:rsidR="00FB55EE">
        <w:rPr>
          <w:szCs w:val="22"/>
        </w:rPr>
        <w:t>.</w:t>
      </w:r>
      <w:r>
        <w:rPr>
          <w:rStyle w:val="FootnoteReference"/>
          <w:sz w:val="22"/>
          <w:szCs w:val="22"/>
        </w:rPr>
        <w:footnoteReference w:id="20"/>
      </w:r>
      <w:r w:rsidRPr="008414C3" w:rsidR="00FB55EE">
        <w:rPr>
          <w:szCs w:val="22"/>
        </w:rPr>
        <w:t xml:space="preserve">  </w:t>
      </w:r>
      <w:r w:rsidRPr="008414C3">
        <w:rPr>
          <w:szCs w:val="22"/>
        </w:rPr>
        <w:t xml:space="preserve">The demand for </w:t>
      </w:r>
      <w:r w:rsidRPr="008414C3" w:rsidR="00986AB6">
        <w:rPr>
          <w:szCs w:val="22"/>
        </w:rPr>
        <w:t>Choice</w:t>
      </w:r>
      <w:r w:rsidRPr="008414C3">
        <w:rPr>
          <w:szCs w:val="22"/>
        </w:rPr>
        <w:t xml:space="preserve">’s 2.5 </w:t>
      </w:r>
      <w:r w:rsidRPr="008414C3" w:rsidR="00105683">
        <w:rPr>
          <w:szCs w:val="22"/>
        </w:rPr>
        <w:t>G</w:t>
      </w:r>
      <w:r w:rsidRPr="008414C3">
        <w:rPr>
          <w:szCs w:val="22"/>
        </w:rPr>
        <w:t xml:space="preserve">Hz fixed wireless broadband service grew rapidly throughout the early 2000s because of the lack of adequate wireline broadband alternatives available in the </w:t>
      </w:r>
      <w:r w:rsidRPr="008414C3" w:rsidR="00986AB6">
        <w:rPr>
          <w:szCs w:val="22"/>
        </w:rPr>
        <w:t>USVI</w:t>
      </w:r>
      <w:r w:rsidRPr="008414C3">
        <w:rPr>
          <w:szCs w:val="22"/>
        </w:rPr>
        <w:t xml:space="preserve"> at the time</w:t>
      </w:r>
      <w:r w:rsidRPr="008414C3" w:rsidR="00986AB6">
        <w:rPr>
          <w:szCs w:val="22"/>
        </w:rPr>
        <w:t xml:space="preserve"> and </w:t>
      </w:r>
      <w:r w:rsidRPr="008414C3">
        <w:rPr>
          <w:szCs w:val="22"/>
        </w:rPr>
        <w:t>the ability of Viya’s fixed wireless network to reach areas that the USV</w:t>
      </w:r>
      <w:r w:rsidRPr="008414C3" w:rsidR="00986AB6">
        <w:rPr>
          <w:szCs w:val="22"/>
        </w:rPr>
        <w:t>I</w:t>
      </w:r>
      <w:r w:rsidRPr="008414C3">
        <w:rPr>
          <w:szCs w:val="22"/>
        </w:rPr>
        <w:t xml:space="preserve">’s incumbent local exchange carrier (ILEC) </w:t>
      </w:r>
      <w:r w:rsidRPr="008414C3" w:rsidR="00B113AB">
        <w:rPr>
          <w:szCs w:val="22"/>
        </w:rPr>
        <w:t xml:space="preserve">found it difficult </w:t>
      </w:r>
      <w:r w:rsidRPr="008414C3">
        <w:rPr>
          <w:szCs w:val="22"/>
        </w:rPr>
        <w:t>to serve with wireline facilities.</w:t>
      </w:r>
      <w:r>
        <w:rPr>
          <w:rStyle w:val="FootnoteReference"/>
          <w:sz w:val="22"/>
          <w:szCs w:val="22"/>
        </w:rPr>
        <w:footnoteReference w:id="21"/>
      </w:r>
      <w:r w:rsidRPr="008414C3">
        <w:rPr>
          <w:szCs w:val="22"/>
        </w:rPr>
        <w:t xml:space="preserve"> </w:t>
      </w:r>
      <w:r w:rsidRPr="008414C3" w:rsidR="00594619">
        <w:rPr>
          <w:szCs w:val="22"/>
        </w:rPr>
        <w:t xml:space="preserve"> </w:t>
      </w:r>
      <w:r w:rsidRPr="008414C3">
        <w:rPr>
          <w:szCs w:val="22"/>
        </w:rPr>
        <w:t>Viya found that it did not have adequate spectrum resources to keep pace with this growth. As a result, and</w:t>
      </w:r>
      <w:r w:rsidRPr="008414C3" w:rsidR="00A14918">
        <w:rPr>
          <w:szCs w:val="22"/>
        </w:rPr>
        <w:t xml:space="preserve"> with the increased availability of Direct Broadcast Satellite video service in the </w:t>
      </w:r>
      <w:r w:rsidRPr="008414C3" w:rsidR="00244205">
        <w:rPr>
          <w:szCs w:val="22"/>
        </w:rPr>
        <w:t>USVI</w:t>
      </w:r>
      <w:r w:rsidRPr="008414C3" w:rsidR="00A14918">
        <w:rPr>
          <w:szCs w:val="22"/>
        </w:rPr>
        <w:t xml:space="preserve">, Viya phased out its MVPD offering by mid-2009 </w:t>
      </w:r>
      <w:r w:rsidRPr="008414C3" w:rsidR="00B113AB">
        <w:rPr>
          <w:szCs w:val="22"/>
        </w:rPr>
        <w:t xml:space="preserve">in order </w:t>
      </w:r>
      <w:r w:rsidRPr="008414C3" w:rsidR="00A14918">
        <w:rPr>
          <w:szCs w:val="22"/>
        </w:rPr>
        <w:t xml:space="preserve">to free its 2.5 </w:t>
      </w:r>
      <w:r w:rsidRPr="008414C3" w:rsidR="00FB55BB">
        <w:rPr>
          <w:szCs w:val="22"/>
        </w:rPr>
        <w:t>G</w:t>
      </w:r>
      <w:r w:rsidRPr="008414C3" w:rsidR="00A14918">
        <w:rPr>
          <w:szCs w:val="22"/>
        </w:rPr>
        <w:t>Hz band spectrum exclusively for the provision of fixed wireless data services.</w:t>
      </w:r>
      <w:r>
        <w:rPr>
          <w:rStyle w:val="FootnoteReference"/>
          <w:sz w:val="22"/>
          <w:szCs w:val="22"/>
        </w:rPr>
        <w:footnoteReference w:id="22"/>
      </w:r>
      <w:r w:rsidRPr="008414C3" w:rsidR="00A14918">
        <w:rPr>
          <w:szCs w:val="22"/>
        </w:rPr>
        <w:t xml:space="preserve"> </w:t>
      </w:r>
      <w:r w:rsidRPr="008414C3" w:rsidR="00594619">
        <w:rPr>
          <w:szCs w:val="22"/>
        </w:rPr>
        <w:t xml:space="preserve"> </w:t>
      </w:r>
      <w:r w:rsidRPr="008414C3" w:rsidR="00A14918">
        <w:rPr>
          <w:szCs w:val="22"/>
        </w:rPr>
        <w:t>This enabled Viya to expand the capacity and coverage of its broadband offering</w:t>
      </w:r>
      <w:r w:rsidRPr="008414C3" w:rsidR="00244205">
        <w:rPr>
          <w:szCs w:val="22"/>
        </w:rPr>
        <w:t>.</w:t>
      </w:r>
      <w:r>
        <w:rPr>
          <w:rStyle w:val="FootnoteReference"/>
          <w:sz w:val="22"/>
          <w:szCs w:val="22"/>
        </w:rPr>
        <w:footnoteReference w:id="23"/>
      </w:r>
    </w:p>
    <w:p w:rsidR="0078227A" w:rsidRPr="008414C3" w:rsidP="0078227A" w14:paraId="4A853CEA" w14:textId="77777777">
      <w:pPr>
        <w:pStyle w:val="ParaNum"/>
        <w:rPr>
          <w:szCs w:val="22"/>
        </w:rPr>
      </w:pPr>
      <w:r w:rsidRPr="008414C3">
        <w:rPr>
          <w:szCs w:val="22"/>
        </w:rPr>
        <w:t xml:space="preserve">Viya currently uses all of the 2.5 GHz spectrum </w:t>
      </w:r>
      <w:r w:rsidRPr="008414C3" w:rsidR="00E77B56">
        <w:rPr>
          <w:szCs w:val="22"/>
        </w:rPr>
        <w:t xml:space="preserve">in St. Croix, St. Thomas, and St. John </w:t>
      </w:r>
      <w:r w:rsidRPr="008414C3">
        <w:rPr>
          <w:szCs w:val="22"/>
        </w:rPr>
        <w:t>to operate its 4G LTE network</w:t>
      </w:r>
      <w:r w:rsidRPr="008414C3" w:rsidR="00D1025F">
        <w:rPr>
          <w:szCs w:val="22"/>
        </w:rPr>
        <w:t>.</w:t>
      </w:r>
      <w:r>
        <w:rPr>
          <w:rStyle w:val="FootnoteReference"/>
          <w:sz w:val="22"/>
          <w:szCs w:val="22"/>
        </w:rPr>
        <w:footnoteReference w:id="24"/>
      </w:r>
      <w:r w:rsidRPr="008414C3" w:rsidR="0019169F">
        <w:rPr>
          <w:szCs w:val="22"/>
        </w:rPr>
        <w:t xml:space="preserve">  </w:t>
      </w:r>
      <w:r w:rsidRPr="008414C3" w:rsidR="00643D56">
        <w:rPr>
          <w:szCs w:val="22"/>
        </w:rPr>
        <w:t>Choice is the licensee of the Broadband Radio Service Basic Trading Area (BTA) license for the USVI.</w:t>
      </w:r>
      <w:r>
        <w:rPr>
          <w:rStyle w:val="FootnoteReference"/>
          <w:sz w:val="22"/>
          <w:szCs w:val="22"/>
        </w:rPr>
        <w:footnoteReference w:id="25"/>
      </w:r>
      <w:r w:rsidRPr="008414C3" w:rsidR="00643D56">
        <w:rPr>
          <w:szCs w:val="22"/>
        </w:rPr>
        <w:t xml:space="preserve">  With respect to EBS, </w:t>
      </w:r>
      <w:r w:rsidRPr="008414C3" w:rsidR="00D1025F">
        <w:rPr>
          <w:szCs w:val="22"/>
        </w:rPr>
        <w:t xml:space="preserve">Viya has accumulated the spectrum necessary to build this network by using </w:t>
      </w:r>
      <w:r w:rsidRPr="008414C3" w:rsidR="00903DF9">
        <w:rPr>
          <w:szCs w:val="22"/>
        </w:rPr>
        <w:t xml:space="preserve">a combination of </w:t>
      </w:r>
      <w:r w:rsidRPr="008414C3" w:rsidR="00D1025F">
        <w:rPr>
          <w:szCs w:val="22"/>
        </w:rPr>
        <w:t>STAs, spectrum leases, and its own commercial EBS authorization.</w:t>
      </w:r>
      <w:r>
        <w:rPr>
          <w:rStyle w:val="FootnoteReference"/>
          <w:sz w:val="22"/>
          <w:szCs w:val="22"/>
        </w:rPr>
        <w:footnoteReference w:id="26"/>
      </w:r>
      <w:r w:rsidRPr="008414C3" w:rsidR="005A3853">
        <w:rPr>
          <w:szCs w:val="22"/>
        </w:rPr>
        <w:t xml:space="preserve"> </w:t>
      </w:r>
      <w:r w:rsidRPr="008414C3">
        <w:rPr>
          <w:szCs w:val="22"/>
        </w:rPr>
        <w:t xml:space="preserve">  </w:t>
      </w:r>
    </w:p>
    <w:p w:rsidR="000D5FA7" w:rsidRPr="008414C3" w:rsidP="004F0778" w14:paraId="747EAA68" w14:textId="77777777">
      <w:pPr>
        <w:pStyle w:val="ParaNum"/>
        <w:widowControl/>
        <w:rPr>
          <w:szCs w:val="22"/>
        </w:rPr>
      </w:pPr>
      <w:r w:rsidRPr="008414C3">
        <w:rPr>
          <w:szCs w:val="22"/>
        </w:rPr>
        <w:t xml:space="preserve">On </w:t>
      </w:r>
      <w:r w:rsidRPr="008414C3" w:rsidR="0019169F">
        <w:rPr>
          <w:szCs w:val="22"/>
        </w:rPr>
        <w:t>June 18, 2019</w:t>
      </w:r>
      <w:r w:rsidRPr="008414C3">
        <w:rPr>
          <w:szCs w:val="22"/>
        </w:rPr>
        <w:t xml:space="preserve">, </w:t>
      </w:r>
      <w:r w:rsidRPr="008414C3" w:rsidR="0019169F">
        <w:rPr>
          <w:szCs w:val="22"/>
        </w:rPr>
        <w:t>Viya</w:t>
      </w:r>
      <w:r w:rsidRPr="008414C3">
        <w:rPr>
          <w:szCs w:val="22"/>
        </w:rPr>
        <w:t xml:space="preserve"> filed the instant </w:t>
      </w:r>
      <w:r w:rsidRPr="008414C3" w:rsidR="00610713">
        <w:rPr>
          <w:szCs w:val="22"/>
        </w:rPr>
        <w:t xml:space="preserve">Application, seeking permanent authority for </w:t>
      </w:r>
      <w:r w:rsidRPr="008414C3" w:rsidR="00D15E85">
        <w:rPr>
          <w:szCs w:val="22"/>
        </w:rPr>
        <w:t xml:space="preserve">all the </w:t>
      </w:r>
      <w:r w:rsidRPr="008414C3" w:rsidR="0013704A">
        <w:rPr>
          <w:szCs w:val="22"/>
        </w:rPr>
        <w:t>EBS</w:t>
      </w:r>
      <w:r w:rsidRPr="008414C3" w:rsidR="00D15E85">
        <w:rPr>
          <w:szCs w:val="22"/>
        </w:rPr>
        <w:t xml:space="preserve"> licenses that cover those portions of </w:t>
      </w:r>
      <w:r w:rsidRPr="008414C3" w:rsidR="00E96DCC">
        <w:rPr>
          <w:szCs w:val="22"/>
        </w:rPr>
        <w:t>the USVI</w:t>
      </w:r>
      <w:r w:rsidRPr="008414C3" w:rsidR="00D15E85">
        <w:rPr>
          <w:szCs w:val="22"/>
        </w:rPr>
        <w:t xml:space="preserve"> </w:t>
      </w:r>
      <w:r w:rsidRPr="008414C3" w:rsidR="00E96DCC">
        <w:rPr>
          <w:szCs w:val="22"/>
        </w:rPr>
        <w:t xml:space="preserve">(BTA 491) </w:t>
      </w:r>
      <w:r w:rsidRPr="008414C3" w:rsidR="00D15E85">
        <w:rPr>
          <w:szCs w:val="22"/>
        </w:rPr>
        <w:t xml:space="preserve">that are not currently licensed to </w:t>
      </w:r>
      <w:r w:rsidRPr="008414C3" w:rsidR="00643D56">
        <w:rPr>
          <w:szCs w:val="22"/>
        </w:rPr>
        <w:t xml:space="preserve">Choice </w:t>
      </w:r>
      <w:r w:rsidRPr="008414C3" w:rsidR="00D15E85">
        <w:rPr>
          <w:szCs w:val="22"/>
        </w:rPr>
        <w:t>or Shekinah</w:t>
      </w:r>
      <w:r w:rsidRPr="008414C3" w:rsidR="007F09A4">
        <w:rPr>
          <w:szCs w:val="22"/>
        </w:rPr>
        <w:t>.</w:t>
      </w:r>
      <w:r>
        <w:rPr>
          <w:rStyle w:val="FootnoteReference"/>
          <w:sz w:val="22"/>
          <w:szCs w:val="22"/>
        </w:rPr>
        <w:footnoteReference w:id="27"/>
      </w:r>
      <w:r w:rsidRPr="008414C3" w:rsidR="007F09A4">
        <w:rPr>
          <w:szCs w:val="22"/>
        </w:rPr>
        <w:t xml:space="preserve">  </w:t>
      </w:r>
      <w:r w:rsidRPr="008414C3" w:rsidR="00D15E85">
        <w:rPr>
          <w:szCs w:val="22"/>
        </w:rPr>
        <w:t>Viya states that the scope of the geographic coverage of its existing STAs</w:t>
      </w:r>
      <w:r w:rsidRPr="008414C3" w:rsidR="0041452F">
        <w:rPr>
          <w:szCs w:val="22"/>
        </w:rPr>
        <w:t xml:space="preserve"> on the A, C, D, and G-group channels in St. Croix and the B, C, and D-group channels in St. Thomas and St. John is consistent with the geographic coverage of BTA</w:t>
      </w:r>
      <w:r w:rsidRPr="008414C3" w:rsidR="00E96DCC">
        <w:rPr>
          <w:szCs w:val="22"/>
        </w:rPr>
        <w:t xml:space="preserve"> </w:t>
      </w:r>
      <w:r w:rsidRPr="008414C3" w:rsidR="0041452F">
        <w:rPr>
          <w:szCs w:val="22"/>
        </w:rPr>
        <w:t>491</w:t>
      </w:r>
      <w:r w:rsidRPr="008414C3" w:rsidR="00D15E85">
        <w:rPr>
          <w:szCs w:val="22"/>
        </w:rPr>
        <w:t>.</w:t>
      </w:r>
      <w:r>
        <w:rPr>
          <w:rStyle w:val="FootnoteReference"/>
          <w:sz w:val="22"/>
          <w:szCs w:val="22"/>
        </w:rPr>
        <w:footnoteReference w:id="28"/>
      </w:r>
      <w:r w:rsidRPr="008414C3" w:rsidR="0040244B">
        <w:rPr>
          <w:szCs w:val="22"/>
        </w:rPr>
        <w:t xml:space="preserve"> </w:t>
      </w:r>
      <w:r w:rsidRPr="008414C3" w:rsidR="00D15E85">
        <w:rPr>
          <w:szCs w:val="22"/>
        </w:rPr>
        <w:t xml:space="preserve"> </w:t>
      </w:r>
      <w:r w:rsidRPr="008414C3" w:rsidR="006D4A28">
        <w:rPr>
          <w:szCs w:val="22"/>
        </w:rPr>
        <w:t xml:space="preserve">Viya </w:t>
      </w:r>
      <w:r w:rsidRPr="008414C3" w:rsidR="003D442C">
        <w:rPr>
          <w:szCs w:val="22"/>
        </w:rPr>
        <w:t xml:space="preserve">requests </w:t>
      </w:r>
      <w:r w:rsidRPr="008414C3" w:rsidR="006D4A28">
        <w:rPr>
          <w:szCs w:val="22"/>
        </w:rPr>
        <w:t>three waiver</w:t>
      </w:r>
      <w:r w:rsidRPr="008414C3" w:rsidR="003D442C">
        <w:rPr>
          <w:szCs w:val="22"/>
        </w:rPr>
        <w:t>s</w:t>
      </w:r>
      <w:r w:rsidRPr="008414C3" w:rsidR="004211A5">
        <w:rPr>
          <w:szCs w:val="22"/>
        </w:rPr>
        <w:t xml:space="preserve"> pursuant to section 1.925</w:t>
      </w:r>
      <w:r w:rsidRPr="008414C3" w:rsidR="006D4A28">
        <w:rPr>
          <w:szCs w:val="22"/>
        </w:rPr>
        <w:t>.</w:t>
      </w:r>
      <w:r>
        <w:rPr>
          <w:rStyle w:val="FootnoteReference"/>
          <w:sz w:val="22"/>
          <w:szCs w:val="22"/>
        </w:rPr>
        <w:footnoteReference w:id="29"/>
      </w:r>
      <w:r w:rsidRPr="008414C3" w:rsidR="006D4A28">
        <w:rPr>
          <w:szCs w:val="22"/>
        </w:rPr>
        <w:t xml:space="preserve">  First, Viya seeks a waiver of the Commission’s 2003 freeze on the filing of new applications new Educational Broadband Service licenses.</w:t>
      </w:r>
      <w:r>
        <w:rPr>
          <w:rStyle w:val="FootnoteReference"/>
          <w:sz w:val="22"/>
          <w:szCs w:val="22"/>
        </w:rPr>
        <w:footnoteReference w:id="30"/>
      </w:r>
      <w:r w:rsidRPr="008414C3" w:rsidR="00486011">
        <w:rPr>
          <w:szCs w:val="22"/>
        </w:rPr>
        <w:t xml:space="preserve">  </w:t>
      </w:r>
      <w:r w:rsidRPr="008414C3" w:rsidR="006D4A28">
        <w:rPr>
          <w:szCs w:val="22"/>
        </w:rPr>
        <w:t>Second, Viya seeks a waiver of Section 1.913(b) of the Commission’s rules to permit manual filing of the application.</w:t>
      </w:r>
      <w:r>
        <w:rPr>
          <w:rStyle w:val="FootnoteReference"/>
          <w:sz w:val="22"/>
          <w:szCs w:val="22"/>
        </w:rPr>
        <w:footnoteReference w:id="31"/>
      </w:r>
      <w:r w:rsidRPr="008414C3" w:rsidR="006D4A28">
        <w:rPr>
          <w:szCs w:val="22"/>
        </w:rPr>
        <w:t xml:space="preserve">  Third, Viya seeks a waiver of the eligibility and educational use requirements in Sections 27.1201 and 27.1203 of the </w:t>
      </w:r>
      <w:r w:rsidRPr="008414C3" w:rsidR="006D4A28">
        <w:rPr>
          <w:szCs w:val="22"/>
        </w:rPr>
        <w:t>Commission’s rules</w:t>
      </w:r>
      <w:r w:rsidRPr="008414C3" w:rsidR="00486011">
        <w:rPr>
          <w:szCs w:val="22"/>
        </w:rPr>
        <w:t>.</w:t>
      </w:r>
      <w:r>
        <w:rPr>
          <w:rStyle w:val="FootnoteReference"/>
          <w:sz w:val="22"/>
          <w:szCs w:val="22"/>
        </w:rPr>
        <w:footnoteReference w:id="32"/>
      </w:r>
      <w:r w:rsidRPr="008414C3" w:rsidR="006D4A28">
        <w:rPr>
          <w:szCs w:val="22"/>
        </w:rPr>
        <w:t xml:space="preserve">  </w:t>
      </w:r>
      <w:r w:rsidRPr="008414C3" w:rsidR="00C32946">
        <w:rPr>
          <w:szCs w:val="22"/>
        </w:rPr>
        <w:t>Viya’s Application was listed on public notice as accepted for filing on June 26, 2019.</w:t>
      </w:r>
      <w:r>
        <w:rPr>
          <w:rStyle w:val="FootnoteReference"/>
          <w:sz w:val="22"/>
          <w:szCs w:val="22"/>
        </w:rPr>
        <w:footnoteReference w:id="33"/>
      </w:r>
      <w:r w:rsidRPr="008414C3" w:rsidR="00C32946">
        <w:rPr>
          <w:szCs w:val="22"/>
        </w:rPr>
        <w:t xml:space="preserve">  No petitions to deny or other oppositions were filed.</w:t>
      </w:r>
    </w:p>
    <w:p w:rsidR="00FC1CFD" w:rsidRPr="008414C3" w:rsidP="00632130" w14:paraId="3A5C49F9" w14:textId="41D1E8EF">
      <w:pPr>
        <w:pStyle w:val="Heading1"/>
      </w:pPr>
      <w:r w:rsidRPr="00632130">
        <w:t>DISCUSSION</w:t>
      </w:r>
    </w:p>
    <w:p w:rsidR="00893B9E" w:rsidRPr="008414C3" w:rsidP="00893B9E" w14:paraId="018EA868" w14:textId="5AAC8721">
      <w:pPr>
        <w:pStyle w:val="ParaNum"/>
        <w:autoSpaceDE w:val="0"/>
        <w:autoSpaceDN w:val="0"/>
        <w:adjustRightInd w:val="0"/>
        <w:rPr>
          <w:szCs w:val="22"/>
        </w:rPr>
      </w:pPr>
      <w:r w:rsidRPr="008414C3">
        <w:rPr>
          <w:szCs w:val="22"/>
        </w:rPr>
        <w:t>To be granted a waiver, Viya must show that</w:t>
      </w:r>
      <w:r w:rsidRPr="008414C3" w:rsidR="00191F24">
        <w:rPr>
          <w:szCs w:val="22"/>
        </w:rPr>
        <w:t xml:space="preserve"> </w:t>
      </w:r>
      <w:r w:rsidRPr="008414C3" w:rsidR="00F6592E">
        <w:rPr>
          <w:szCs w:val="22"/>
        </w:rPr>
        <w:t xml:space="preserve">(i) </w:t>
      </w:r>
      <w:r w:rsidRPr="008414C3" w:rsidR="004211A5">
        <w:rPr>
          <w:szCs w:val="22"/>
        </w:rPr>
        <w:t>“[</w:t>
      </w:r>
      <w:r w:rsidRPr="008414C3" w:rsidR="00F6592E">
        <w:rPr>
          <w:szCs w:val="22"/>
        </w:rPr>
        <w:t>t</w:t>
      </w:r>
      <w:r w:rsidRPr="008414C3" w:rsidR="004211A5">
        <w:rPr>
          <w:szCs w:val="22"/>
        </w:rPr>
        <w:t>]</w:t>
      </w:r>
      <w:r w:rsidRPr="008414C3" w:rsidR="00F6592E">
        <w:rPr>
          <w:szCs w:val="22"/>
        </w:rPr>
        <w:t>he underlying purpose of the rule(s) would not be served or would be frustrated by application to the instant case, and that a grant of the requested waiver would be in the public interest;</w:t>
      </w:r>
      <w:r w:rsidRPr="008414C3" w:rsidR="004211A5">
        <w:rPr>
          <w:szCs w:val="22"/>
        </w:rPr>
        <w:t>”</w:t>
      </w:r>
      <w:r w:rsidRPr="008414C3" w:rsidR="00F6592E">
        <w:rPr>
          <w:szCs w:val="22"/>
        </w:rPr>
        <w:t xml:space="preserve"> or (ii) </w:t>
      </w:r>
      <w:r w:rsidRPr="008414C3" w:rsidR="004211A5">
        <w:rPr>
          <w:szCs w:val="22"/>
        </w:rPr>
        <w:t>“[</w:t>
      </w:r>
      <w:r w:rsidRPr="008414C3" w:rsidR="00F6592E">
        <w:rPr>
          <w:szCs w:val="22"/>
        </w:rPr>
        <w:t>i</w:t>
      </w:r>
      <w:r w:rsidRPr="008414C3" w:rsidR="004211A5">
        <w:rPr>
          <w:szCs w:val="22"/>
        </w:rPr>
        <w:t>]</w:t>
      </w:r>
      <w:r w:rsidRPr="008414C3" w:rsidR="00F6592E">
        <w:rPr>
          <w:szCs w:val="22"/>
        </w:rPr>
        <w:t>n view of unique or unusual factual circumstances of the instant case, application of the rule(s) would be inequitable, unduly burdensome or contrary to the public interest, or the applicant has no reasonable alternative.</w:t>
      </w:r>
      <w:r w:rsidRPr="008414C3" w:rsidR="004211A5">
        <w:rPr>
          <w:szCs w:val="22"/>
        </w:rPr>
        <w:t>”</w:t>
      </w:r>
      <w:r>
        <w:rPr>
          <w:rStyle w:val="FootnoteReference"/>
          <w:sz w:val="22"/>
          <w:szCs w:val="22"/>
        </w:rPr>
        <w:footnoteReference w:id="34"/>
      </w:r>
      <w:r w:rsidRPr="008414C3" w:rsidR="00F6592E">
        <w:rPr>
          <w:szCs w:val="22"/>
        </w:rPr>
        <w:t xml:space="preserve">  As discu</w:t>
      </w:r>
      <w:r w:rsidRPr="008414C3" w:rsidR="00530BCA">
        <w:rPr>
          <w:szCs w:val="22"/>
        </w:rPr>
        <w:t>ssed belo</w:t>
      </w:r>
      <w:r w:rsidRPr="008414C3" w:rsidR="00BB0319">
        <w:rPr>
          <w:szCs w:val="22"/>
        </w:rPr>
        <w:t xml:space="preserve">w, we conclude that </w:t>
      </w:r>
      <w:r w:rsidRPr="008414C3" w:rsidR="000C7358">
        <w:rPr>
          <w:szCs w:val="22"/>
        </w:rPr>
        <w:t>Viya</w:t>
      </w:r>
      <w:r w:rsidRPr="008414C3" w:rsidR="00F6592E">
        <w:rPr>
          <w:szCs w:val="22"/>
        </w:rPr>
        <w:t xml:space="preserve"> has met the </w:t>
      </w:r>
      <w:r w:rsidRPr="008414C3" w:rsidR="00191F24">
        <w:rPr>
          <w:szCs w:val="22"/>
        </w:rPr>
        <w:t xml:space="preserve">the </w:t>
      </w:r>
      <w:r w:rsidRPr="008414C3" w:rsidR="00F6592E">
        <w:rPr>
          <w:szCs w:val="22"/>
        </w:rPr>
        <w:t>waiver standard with respect to its requests, and accordingly</w:t>
      </w:r>
      <w:r w:rsidRPr="008414C3" w:rsidR="004777B7">
        <w:rPr>
          <w:szCs w:val="22"/>
        </w:rPr>
        <w:t>,</w:t>
      </w:r>
      <w:r w:rsidRPr="008414C3" w:rsidR="00F6592E">
        <w:rPr>
          <w:szCs w:val="22"/>
        </w:rPr>
        <w:t xml:space="preserve"> we grant its </w:t>
      </w:r>
      <w:r w:rsidRPr="008414C3" w:rsidR="00D12F23">
        <w:rPr>
          <w:szCs w:val="22"/>
        </w:rPr>
        <w:t>W</w:t>
      </w:r>
      <w:r w:rsidRPr="008414C3" w:rsidR="00F6592E">
        <w:rPr>
          <w:szCs w:val="22"/>
        </w:rPr>
        <w:t xml:space="preserve">aiver </w:t>
      </w:r>
      <w:r w:rsidRPr="008414C3" w:rsidR="00D12F23">
        <w:rPr>
          <w:szCs w:val="22"/>
        </w:rPr>
        <w:t>R</w:t>
      </w:r>
      <w:r w:rsidRPr="008414C3" w:rsidR="00F6592E">
        <w:rPr>
          <w:szCs w:val="22"/>
        </w:rPr>
        <w:t xml:space="preserve">equest, subject to the conditions </w:t>
      </w:r>
      <w:r w:rsidRPr="008414C3" w:rsidR="004211A5">
        <w:rPr>
          <w:szCs w:val="22"/>
        </w:rPr>
        <w:t xml:space="preserve">specified </w:t>
      </w:r>
      <w:r w:rsidRPr="008414C3" w:rsidR="00DD01C2">
        <w:rPr>
          <w:szCs w:val="22"/>
        </w:rPr>
        <w:t>below</w:t>
      </w:r>
      <w:r w:rsidRPr="008414C3" w:rsidR="00F6592E">
        <w:rPr>
          <w:szCs w:val="22"/>
        </w:rPr>
        <w:t>.</w:t>
      </w:r>
      <w:r w:rsidRPr="008414C3" w:rsidR="007A12DA">
        <w:rPr>
          <w:szCs w:val="22"/>
        </w:rPr>
        <w:t xml:space="preserve">  </w:t>
      </w:r>
    </w:p>
    <w:p w:rsidR="00E614D2" w:rsidRPr="008414C3" w:rsidP="00900ED0" w14:paraId="58DF542E" w14:textId="393DAA97">
      <w:pPr>
        <w:pStyle w:val="ParaNum"/>
        <w:tabs>
          <w:tab w:val="num" w:pos="720"/>
        </w:tabs>
        <w:rPr>
          <w:szCs w:val="22"/>
        </w:rPr>
      </w:pPr>
      <w:r w:rsidRPr="008414C3">
        <w:rPr>
          <w:szCs w:val="22"/>
        </w:rPr>
        <w:t>We conclude that application of the filing freeze would be inequitable and contrary to the public interest under the uniqu</w:t>
      </w:r>
      <w:r w:rsidRPr="008414C3" w:rsidR="00530BCA">
        <w:rPr>
          <w:szCs w:val="22"/>
        </w:rPr>
        <w:t>e circums</w:t>
      </w:r>
      <w:r w:rsidRPr="008414C3" w:rsidR="009875EF">
        <w:rPr>
          <w:szCs w:val="22"/>
        </w:rPr>
        <w:t xml:space="preserve">tances presented by </w:t>
      </w:r>
      <w:r w:rsidRPr="008414C3" w:rsidR="00B97B2F">
        <w:rPr>
          <w:szCs w:val="22"/>
        </w:rPr>
        <w:t>Viya</w:t>
      </w:r>
      <w:r w:rsidRPr="008414C3">
        <w:rPr>
          <w:szCs w:val="22"/>
        </w:rPr>
        <w:t xml:space="preserve">.  </w:t>
      </w:r>
      <w:r w:rsidRPr="008414C3" w:rsidR="00900ED0">
        <w:rPr>
          <w:szCs w:val="22"/>
        </w:rPr>
        <w:t xml:space="preserve">Other than Viya’s network, there is limited broadband available in </w:t>
      </w:r>
      <w:r w:rsidR="00BE44C0">
        <w:rPr>
          <w:szCs w:val="22"/>
        </w:rPr>
        <w:t xml:space="preserve">the </w:t>
      </w:r>
      <w:r w:rsidRPr="008414C3" w:rsidR="00900ED0">
        <w:rPr>
          <w:szCs w:val="22"/>
        </w:rPr>
        <w:t xml:space="preserve">USVI.  </w:t>
      </w:r>
      <w:r w:rsidRPr="008414C3" w:rsidR="00C32946">
        <w:rPr>
          <w:szCs w:val="22"/>
        </w:rPr>
        <w:t xml:space="preserve">Viya’s 4G LTE network is better able to reach more areas than the </w:t>
      </w:r>
      <w:r w:rsidRPr="008414C3" w:rsidR="00E12AC6">
        <w:rPr>
          <w:szCs w:val="22"/>
        </w:rPr>
        <w:t xml:space="preserve">island’s </w:t>
      </w:r>
      <w:r w:rsidRPr="008414C3" w:rsidR="00C32946">
        <w:rPr>
          <w:szCs w:val="22"/>
        </w:rPr>
        <w:t>wireline broadband network.</w:t>
      </w:r>
      <w:r>
        <w:rPr>
          <w:rStyle w:val="FootnoteReference"/>
          <w:sz w:val="22"/>
          <w:szCs w:val="22"/>
        </w:rPr>
        <w:footnoteReference w:id="35"/>
      </w:r>
      <w:r w:rsidRPr="008414C3" w:rsidR="00C32946">
        <w:rPr>
          <w:szCs w:val="22"/>
        </w:rPr>
        <w:t xml:space="preserve">  In addition, </w:t>
      </w:r>
      <w:r w:rsidRPr="008414C3" w:rsidR="00C32946">
        <w:rPr>
          <w:szCs w:val="22"/>
        </w:rPr>
        <w:t>Viya</w:t>
      </w:r>
      <w:r w:rsidRPr="008414C3" w:rsidR="00C32946">
        <w:rPr>
          <w:szCs w:val="22"/>
        </w:rPr>
        <w:t xml:space="preserve"> is using all of the available EBS spectrum and has no other </w:t>
      </w:r>
      <w:r w:rsidRPr="008414C3" w:rsidR="00181D7D">
        <w:rPr>
          <w:szCs w:val="22"/>
        </w:rPr>
        <w:t xml:space="preserve">immediate </w:t>
      </w:r>
      <w:r w:rsidRPr="008414C3" w:rsidR="00C32946">
        <w:rPr>
          <w:szCs w:val="22"/>
        </w:rPr>
        <w:t>alternative than to seek permanent authorization.</w:t>
      </w:r>
      <w:r w:rsidRPr="008414C3" w:rsidR="00C32946">
        <w:rPr>
          <w:rStyle w:val="FootnoteReference"/>
          <w:sz w:val="22"/>
          <w:szCs w:val="22"/>
        </w:rPr>
        <w:t xml:space="preserve"> </w:t>
      </w:r>
      <w:r>
        <w:rPr>
          <w:rStyle w:val="FootnoteReference"/>
          <w:sz w:val="22"/>
          <w:szCs w:val="22"/>
        </w:rPr>
        <w:footnoteReference w:id="36"/>
      </w:r>
      <w:r w:rsidRPr="008414C3" w:rsidR="00E12AC6">
        <w:rPr>
          <w:szCs w:val="22"/>
        </w:rPr>
        <w:t xml:space="preserve">  If Viya were required to relinquish the spectrum it utilizes under its STAs, Viya would have to redesign the network to reduce both capacity and coverage area.</w:t>
      </w:r>
      <w:r w:rsidRPr="008414C3" w:rsidR="00181D7D">
        <w:rPr>
          <w:szCs w:val="22"/>
        </w:rPr>
        <w:t xml:space="preserve">  Specifically, Viya would be required to drop from 3:1 frequency reuse to 1:1 frequency reuse. </w:t>
      </w:r>
      <w:r w:rsidR="00BE44C0">
        <w:rPr>
          <w:szCs w:val="22"/>
        </w:rPr>
        <w:t xml:space="preserve"> </w:t>
      </w:r>
      <w:r w:rsidRPr="008414C3" w:rsidR="00181D7D">
        <w:rPr>
          <w:szCs w:val="22"/>
        </w:rPr>
        <w:t xml:space="preserve">This change likely would require Viya to significantly reduce transmitter power at each cell site and, as a result, would require Viya to deploy more base stations to offer comparable capacity and coverage, especially in rural mountainous regions. </w:t>
      </w:r>
      <w:r w:rsidR="00BE44C0">
        <w:rPr>
          <w:szCs w:val="22"/>
        </w:rPr>
        <w:t xml:space="preserve"> </w:t>
      </w:r>
      <w:r w:rsidRPr="008414C3" w:rsidR="00181D7D">
        <w:rPr>
          <w:szCs w:val="22"/>
        </w:rPr>
        <w:t>This change in network architecture would fundamentally alter Viya’s cost structure to provide mobile broadband service in the USVI.</w:t>
      </w:r>
      <w:r>
        <w:rPr>
          <w:rStyle w:val="FootnoteReference"/>
          <w:sz w:val="22"/>
          <w:szCs w:val="22"/>
        </w:rPr>
        <w:footnoteReference w:id="37"/>
      </w:r>
      <w:r w:rsidRPr="008414C3" w:rsidR="00E12AC6">
        <w:rPr>
          <w:szCs w:val="22"/>
        </w:rPr>
        <w:t xml:space="preserve"> </w:t>
      </w:r>
      <w:r w:rsidRPr="008414C3" w:rsidR="00640E4C">
        <w:rPr>
          <w:szCs w:val="22"/>
        </w:rPr>
        <w:t xml:space="preserve"> </w:t>
      </w:r>
      <w:r w:rsidRPr="008414C3" w:rsidR="00D3488B">
        <w:rPr>
          <w:szCs w:val="22"/>
        </w:rPr>
        <w:t xml:space="preserve">Particularly given factors unique to the USVI, as noted below, such a result would not be in the public interest.  </w:t>
      </w:r>
      <w:r w:rsidRPr="008414C3">
        <w:rPr>
          <w:szCs w:val="22"/>
        </w:rPr>
        <w:t xml:space="preserve">Viya </w:t>
      </w:r>
      <w:r w:rsidRPr="008414C3" w:rsidR="00D3488B">
        <w:rPr>
          <w:szCs w:val="22"/>
        </w:rPr>
        <w:t xml:space="preserve">therefore </w:t>
      </w:r>
      <w:r w:rsidRPr="008414C3" w:rsidR="00DA7F4F">
        <w:rPr>
          <w:szCs w:val="22"/>
        </w:rPr>
        <w:t xml:space="preserve">has </w:t>
      </w:r>
      <w:r w:rsidRPr="008414C3">
        <w:rPr>
          <w:szCs w:val="22"/>
        </w:rPr>
        <w:t xml:space="preserve">justified a waiver of the EBS filing freeze under the second prong of the waiver standard. </w:t>
      </w:r>
    </w:p>
    <w:p w:rsidR="0096623B" w:rsidRPr="008414C3" w:rsidP="0096623B" w14:paraId="0AAD3D9C" w14:textId="36F9593E">
      <w:pPr>
        <w:pStyle w:val="ParaNum"/>
        <w:autoSpaceDE w:val="0"/>
        <w:autoSpaceDN w:val="0"/>
        <w:adjustRightInd w:val="0"/>
        <w:rPr>
          <w:szCs w:val="22"/>
        </w:rPr>
      </w:pPr>
      <w:r w:rsidRPr="008414C3">
        <w:rPr>
          <w:szCs w:val="22"/>
        </w:rPr>
        <w:t xml:space="preserve">Viya’s 4G LTE network </w:t>
      </w:r>
      <w:r w:rsidRPr="008414C3" w:rsidR="00181D7D">
        <w:rPr>
          <w:szCs w:val="22"/>
        </w:rPr>
        <w:t>has proven</w:t>
      </w:r>
      <w:r w:rsidRPr="008414C3">
        <w:rPr>
          <w:szCs w:val="22"/>
        </w:rPr>
        <w:t xml:space="preserve"> able to provide critical connectivity during the recovery from natural disasters.</w:t>
      </w:r>
      <w:r>
        <w:rPr>
          <w:rStyle w:val="FootnoteReference"/>
          <w:sz w:val="22"/>
          <w:szCs w:val="22"/>
        </w:rPr>
        <w:footnoteReference w:id="38"/>
      </w:r>
      <w:r w:rsidRPr="008414C3" w:rsidR="00793416">
        <w:rPr>
          <w:szCs w:val="22"/>
        </w:rPr>
        <w:t xml:space="preserve"> </w:t>
      </w:r>
      <w:r w:rsidRPr="008414C3">
        <w:rPr>
          <w:szCs w:val="22"/>
        </w:rPr>
        <w:t xml:space="preserve">  T</w:t>
      </w:r>
      <w:r w:rsidRPr="008414C3" w:rsidR="007A12DA">
        <w:rPr>
          <w:szCs w:val="22"/>
        </w:rPr>
        <w:t>he USVI is particularly vulnerable to hurricanes, as witnessed in 2017</w:t>
      </w:r>
      <w:r w:rsidRPr="008414C3" w:rsidR="00CE16B2">
        <w:rPr>
          <w:szCs w:val="22"/>
        </w:rPr>
        <w:t xml:space="preserve"> when</w:t>
      </w:r>
      <w:r w:rsidRPr="008414C3" w:rsidR="007A12DA">
        <w:rPr>
          <w:szCs w:val="22"/>
        </w:rPr>
        <w:t xml:space="preserve"> </w:t>
      </w:r>
      <w:r w:rsidRPr="008414C3" w:rsidR="007A12DA">
        <w:rPr>
          <w:rFonts w:cs="Arial"/>
          <w:szCs w:val="22"/>
        </w:rPr>
        <w:t>the USVI was struck by back-to-back</w:t>
      </w:r>
      <w:r w:rsidRPr="008414C3" w:rsidR="00CE16B2">
        <w:rPr>
          <w:rFonts w:cs="Arial"/>
          <w:szCs w:val="22"/>
        </w:rPr>
        <w:t xml:space="preserve"> </w:t>
      </w:r>
      <w:r w:rsidRPr="008414C3" w:rsidR="007A12DA">
        <w:rPr>
          <w:rFonts w:cs="Arial"/>
          <w:szCs w:val="22"/>
        </w:rPr>
        <w:t>Category 5 hurricanes</w:t>
      </w:r>
      <w:r w:rsidRPr="008414C3" w:rsidR="00CE16B2">
        <w:rPr>
          <w:rFonts w:cs="Arial"/>
          <w:szCs w:val="22"/>
        </w:rPr>
        <w:t xml:space="preserve">, </w:t>
      </w:r>
      <w:r w:rsidRPr="008414C3" w:rsidR="007A12DA">
        <w:rPr>
          <w:rFonts w:cs="Arial"/>
          <w:szCs w:val="22"/>
        </w:rPr>
        <w:t>Irma and Maria</w:t>
      </w:r>
      <w:r w:rsidRPr="008414C3" w:rsidR="00E12AC6">
        <w:rPr>
          <w:szCs w:val="22"/>
        </w:rPr>
        <w:t>.  Those hurricanes</w:t>
      </w:r>
      <w:r w:rsidRPr="008414C3" w:rsidR="007A12DA">
        <w:rPr>
          <w:szCs w:val="22"/>
        </w:rPr>
        <w:t xml:space="preserve"> </w:t>
      </w:r>
      <w:r w:rsidRPr="008414C3" w:rsidR="00CE16B2">
        <w:rPr>
          <w:szCs w:val="22"/>
        </w:rPr>
        <w:t>caus</w:t>
      </w:r>
      <w:r w:rsidRPr="008414C3" w:rsidR="00E12AC6">
        <w:rPr>
          <w:szCs w:val="22"/>
        </w:rPr>
        <w:t>ed</w:t>
      </w:r>
      <w:r w:rsidRPr="008414C3" w:rsidR="00CE16B2">
        <w:rPr>
          <w:szCs w:val="22"/>
        </w:rPr>
        <w:t xml:space="preserve"> catastrophic damage to homes, businesses, and communications infrastructure, including virtually all of </w:t>
      </w:r>
      <w:r w:rsidRPr="008414C3" w:rsidR="006C1056">
        <w:rPr>
          <w:szCs w:val="22"/>
        </w:rPr>
        <w:t xml:space="preserve">the USVI’s wireline </w:t>
      </w:r>
      <w:r w:rsidRPr="008414C3" w:rsidR="004D72D5">
        <w:rPr>
          <w:szCs w:val="22"/>
        </w:rPr>
        <w:t>communication facilities</w:t>
      </w:r>
      <w:r w:rsidRPr="008414C3" w:rsidR="00E12AC6">
        <w:rPr>
          <w:szCs w:val="22"/>
        </w:rPr>
        <w:t>,</w:t>
      </w:r>
      <w:r w:rsidRPr="008414C3" w:rsidR="004D72D5">
        <w:rPr>
          <w:szCs w:val="22"/>
        </w:rPr>
        <w:t xml:space="preserve"> as well as </w:t>
      </w:r>
      <w:r w:rsidRPr="008414C3" w:rsidR="0050361A">
        <w:rPr>
          <w:szCs w:val="22"/>
        </w:rPr>
        <w:t xml:space="preserve">Viya’s </w:t>
      </w:r>
      <w:r w:rsidRPr="008414C3" w:rsidR="004D72D5">
        <w:rPr>
          <w:szCs w:val="22"/>
        </w:rPr>
        <w:t xml:space="preserve">legacy wireless networks and </w:t>
      </w:r>
      <w:r w:rsidRPr="008414C3" w:rsidR="0050361A">
        <w:rPr>
          <w:szCs w:val="22"/>
        </w:rPr>
        <w:t xml:space="preserve">its recently-completed </w:t>
      </w:r>
      <w:r w:rsidRPr="008414C3" w:rsidR="004D72D5">
        <w:rPr>
          <w:szCs w:val="22"/>
        </w:rPr>
        <w:t>4G LTE network Viya</w:t>
      </w:r>
      <w:r w:rsidRPr="008414C3" w:rsidR="00893B9E">
        <w:rPr>
          <w:szCs w:val="22"/>
        </w:rPr>
        <w:t>.</w:t>
      </w:r>
      <w:r>
        <w:rPr>
          <w:rStyle w:val="FootnoteReference"/>
          <w:sz w:val="22"/>
          <w:szCs w:val="22"/>
        </w:rPr>
        <w:footnoteReference w:id="39"/>
      </w:r>
      <w:r w:rsidRPr="008414C3" w:rsidR="00893B9E">
        <w:rPr>
          <w:szCs w:val="22"/>
        </w:rPr>
        <w:t xml:space="preserve">  Viya </w:t>
      </w:r>
      <w:r w:rsidRPr="008414C3" w:rsidR="00DA7F4F">
        <w:rPr>
          <w:szCs w:val="22"/>
        </w:rPr>
        <w:t xml:space="preserve">claims </w:t>
      </w:r>
      <w:r w:rsidRPr="008414C3" w:rsidR="00893B9E">
        <w:rPr>
          <w:szCs w:val="22"/>
        </w:rPr>
        <w:t xml:space="preserve">that it restored its 4G LTE network in a matter of weeks after the storms had passed, and, using its 2.5 </w:t>
      </w:r>
      <w:r w:rsidRPr="008414C3" w:rsidR="00793416">
        <w:rPr>
          <w:szCs w:val="22"/>
        </w:rPr>
        <w:t>G</w:t>
      </w:r>
      <w:r w:rsidRPr="008414C3" w:rsidR="00893B9E">
        <w:rPr>
          <w:szCs w:val="22"/>
        </w:rPr>
        <w:t>Hz spectrum, turned up its 4G LTE network shortly after the hurricanes to provide sorely needed connectivity in the USVI in the aftermath of the storms.</w:t>
      </w:r>
      <w:r>
        <w:rPr>
          <w:rStyle w:val="FootnoteReference"/>
          <w:sz w:val="22"/>
          <w:szCs w:val="22"/>
        </w:rPr>
        <w:footnoteReference w:id="40"/>
      </w:r>
      <w:r w:rsidRPr="008414C3" w:rsidR="00893B9E">
        <w:rPr>
          <w:szCs w:val="22"/>
        </w:rPr>
        <w:t xml:space="preserve">  Viya reports that its new 4G LTE network provided critical communications services for residents, businesses, the USVI government, as well as the USVI and federal first responders </w:t>
      </w:r>
      <w:r w:rsidRPr="008414C3" w:rsidR="00893B9E">
        <w:rPr>
          <w:szCs w:val="22"/>
        </w:rPr>
        <w:t>who were crucial to the USVI’s post-hurricane recovery.</w:t>
      </w:r>
      <w:r>
        <w:rPr>
          <w:rStyle w:val="FootnoteReference"/>
          <w:sz w:val="22"/>
          <w:szCs w:val="22"/>
        </w:rPr>
        <w:footnoteReference w:id="41"/>
      </w:r>
      <w:r w:rsidRPr="008414C3" w:rsidR="00893B9E">
        <w:rPr>
          <w:szCs w:val="22"/>
        </w:rPr>
        <w:t xml:space="preserve"> </w:t>
      </w:r>
      <w:r w:rsidRPr="008414C3" w:rsidR="00AF40EF">
        <w:rPr>
          <w:szCs w:val="22"/>
        </w:rPr>
        <w:t xml:space="preserve"> </w:t>
      </w:r>
      <w:r w:rsidRPr="008414C3" w:rsidR="00893B9E">
        <w:rPr>
          <w:szCs w:val="22"/>
        </w:rPr>
        <w:t xml:space="preserve">Viya also </w:t>
      </w:r>
      <w:r w:rsidRPr="008414C3" w:rsidR="007B78EC">
        <w:rPr>
          <w:szCs w:val="22"/>
        </w:rPr>
        <w:t xml:space="preserve">claims </w:t>
      </w:r>
      <w:r w:rsidRPr="008414C3" w:rsidR="00893B9E">
        <w:rPr>
          <w:szCs w:val="22"/>
        </w:rPr>
        <w:t xml:space="preserve">that the availability of the 2.5 GHz spectrum enabled it to distribute over 11,000 </w:t>
      </w:r>
      <w:r w:rsidRPr="008414C3" w:rsidR="0050361A">
        <w:rPr>
          <w:szCs w:val="22"/>
        </w:rPr>
        <w:t>mobile Wi-Fi</w:t>
      </w:r>
      <w:r w:rsidRPr="008414C3" w:rsidR="0050361A">
        <w:rPr>
          <w:szCs w:val="22"/>
        </w:rPr>
        <w:t xml:space="preserve"> </w:t>
      </w:r>
      <w:r w:rsidRPr="008414C3" w:rsidR="00893B9E">
        <w:rPr>
          <w:szCs w:val="22"/>
        </w:rPr>
        <w:t>devices in the USVI, establish over two dozen public Wi-Fi hotspots, carry other mobile carriers’ traffic while they addressed the damage to their networks, and provide fixed wireless broadband services to many of Viya’s wireline customers as a substitute for the USVI’s devastated wireline network.</w:t>
      </w:r>
      <w:r>
        <w:rPr>
          <w:rStyle w:val="FootnoteReference"/>
          <w:sz w:val="22"/>
          <w:szCs w:val="22"/>
        </w:rPr>
        <w:footnoteReference w:id="42"/>
      </w:r>
    </w:p>
    <w:p w:rsidR="00BB7083" w:rsidRPr="008414C3" w:rsidP="00BB7083" w14:paraId="332140E5" w14:textId="62DA17E1">
      <w:pPr>
        <w:pStyle w:val="ParaNum"/>
        <w:autoSpaceDE w:val="0"/>
        <w:autoSpaceDN w:val="0"/>
        <w:adjustRightInd w:val="0"/>
        <w:rPr>
          <w:szCs w:val="22"/>
        </w:rPr>
      </w:pPr>
      <w:r w:rsidRPr="008414C3">
        <w:rPr>
          <w:szCs w:val="22"/>
        </w:rPr>
        <w:t xml:space="preserve">Moreover, </w:t>
      </w:r>
      <w:r w:rsidRPr="008414C3" w:rsidR="00340CFD">
        <w:rPr>
          <w:szCs w:val="22"/>
        </w:rPr>
        <w:t>Viya</w:t>
      </w:r>
      <w:r w:rsidRPr="008414C3" w:rsidR="000177CB">
        <w:rPr>
          <w:szCs w:val="22"/>
        </w:rPr>
        <w:t xml:space="preserve"> has made significant investment in the development of the 2.5 GHz band in the USVI.  For over 20 years, Viya</w:t>
      </w:r>
      <w:r w:rsidRPr="008414C3" w:rsidR="0096623B">
        <w:rPr>
          <w:szCs w:val="22"/>
        </w:rPr>
        <w:t xml:space="preserve"> and its predecessor-in-interest</w:t>
      </w:r>
      <w:r w:rsidRPr="008414C3" w:rsidR="004A1F0B">
        <w:rPr>
          <w:szCs w:val="22"/>
        </w:rPr>
        <w:t xml:space="preserve"> </w:t>
      </w:r>
      <w:r w:rsidRPr="008414C3" w:rsidR="000177CB">
        <w:rPr>
          <w:szCs w:val="22"/>
        </w:rPr>
        <w:t>have constructed and operated various wireless services over the</w:t>
      </w:r>
      <w:r w:rsidRPr="008414C3" w:rsidR="00340CFD">
        <w:rPr>
          <w:szCs w:val="22"/>
        </w:rPr>
        <w:t xml:space="preserve"> </w:t>
      </w:r>
      <w:r w:rsidRPr="008414C3" w:rsidR="0096623B">
        <w:rPr>
          <w:szCs w:val="22"/>
        </w:rPr>
        <w:t xml:space="preserve">in the 2.5 GHz band.  </w:t>
      </w:r>
      <w:r w:rsidRPr="008414C3" w:rsidR="0083372C">
        <w:rPr>
          <w:szCs w:val="22"/>
        </w:rPr>
        <w:t>As noted above, s</w:t>
      </w:r>
      <w:r w:rsidRPr="008414C3" w:rsidR="0096623B">
        <w:rPr>
          <w:szCs w:val="22"/>
        </w:rPr>
        <w:t>ince 1996</w:t>
      </w:r>
      <w:r w:rsidRPr="008414C3" w:rsidR="00EA3CCE">
        <w:rPr>
          <w:szCs w:val="22"/>
        </w:rPr>
        <w:t>,</w:t>
      </w:r>
      <w:r w:rsidRPr="008414C3" w:rsidR="0096623B">
        <w:rPr>
          <w:szCs w:val="22"/>
        </w:rPr>
        <w:t xml:space="preserve"> Viya has deployed private capital to construct several generations of 2.5 GHz wireless networks in the USVI to provide a variety of fixed and mobile wireless services to residential and business customers.</w:t>
      </w:r>
      <w:r>
        <w:rPr>
          <w:rStyle w:val="FootnoteReference"/>
          <w:sz w:val="22"/>
          <w:szCs w:val="22"/>
        </w:rPr>
        <w:footnoteReference w:id="43"/>
      </w:r>
      <w:r w:rsidRPr="008414C3" w:rsidR="0096623B">
        <w:rPr>
          <w:szCs w:val="22"/>
        </w:rPr>
        <w:t xml:space="preserve">   </w:t>
      </w:r>
    </w:p>
    <w:p w:rsidR="007D251F" w:rsidRPr="008414C3" w:rsidP="00B95F7B" w14:paraId="1DC36603" w14:textId="66571479">
      <w:pPr>
        <w:pStyle w:val="ParaNum"/>
        <w:rPr>
          <w:szCs w:val="22"/>
        </w:rPr>
      </w:pPr>
      <w:r w:rsidRPr="008414C3">
        <w:rPr>
          <w:szCs w:val="22"/>
        </w:rPr>
        <w:t xml:space="preserve">To ensure that grant of the requested waivers will produce the public interest benefits we anticipate, </w:t>
      </w:r>
      <w:r w:rsidRPr="008414C3" w:rsidR="00165C69">
        <w:rPr>
          <w:szCs w:val="22"/>
        </w:rPr>
        <w:t xml:space="preserve">we place </w:t>
      </w:r>
      <w:r w:rsidRPr="008414C3" w:rsidR="00C349D7">
        <w:rPr>
          <w:szCs w:val="22"/>
        </w:rPr>
        <w:t>two</w:t>
      </w:r>
      <w:r w:rsidRPr="008414C3" w:rsidR="009F5785">
        <w:rPr>
          <w:szCs w:val="22"/>
        </w:rPr>
        <w:t xml:space="preserve"> </w:t>
      </w:r>
      <w:r w:rsidRPr="008414C3" w:rsidR="00165C69">
        <w:rPr>
          <w:szCs w:val="22"/>
        </w:rPr>
        <w:t>conditions on the waiver grant</w:t>
      </w:r>
      <w:r w:rsidRPr="008414C3">
        <w:rPr>
          <w:szCs w:val="22"/>
        </w:rPr>
        <w:t xml:space="preserve">, </w:t>
      </w:r>
      <w:r w:rsidRPr="008414C3" w:rsidR="007B78EC">
        <w:rPr>
          <w:szCs w:val="22"/>
        </w:rPr>
        <w:t>which will be included in Viya’s license.  B</w:t>
      </w:r>
      <w:r w:rsidRPr="008414C3" w:rsidR="00C32946">
        <w:rPr>
          <w:szCs w:val="22"/>
        </w:rPr>
        <w:t xml:space="preserve">oth </w:t>
      </w:r>
      <w:r w:rsidRPr="008414C3">
        <w:rPr>
          <w:szCs w:val="22"/>
        </w:rPr>
        <w:t xml:space="preserve">of </w:t>
      </w:r>
      <w:r w:rsidRPr="008414C3" w:rsidR="007B78EC">
        <w:rPr>
          <w:szCs w:val="22"/>
        </w:rPr>
        <w:t xml:space="preserve">these conditions </w:t>
      </w:r>
      <w:r w:rsidRPr="008414C3">
        <w:rPr>
          <w:szCs w:val="22"/>
        </w:rPr>
        <w:t>are consistent with conditions imposed on prior grants of waivers of the EBS filing freeze</w:t>
      </w:r>
      <w:r w:rsidRPr="008414C3" w:rsidR="00165C69">
        <w:rPr>
          <w:szCs w:val="22"/>
        </w:rPr>
        <w:t>.</w:t>
      </w:r>
      <w:r>
        <w:rPr>
          <w:rStyle w:val="FootnoteReference"/>
          <w:sz w:val="22"/>
          <w:szCs w:val="22"/>
        </w:rPr>
        <w:footnoteReference w:id="44"/>
      </w:r>
      <w:r w:rsidRPr="008414C3" w:rsidR="006C169D">
        <w:rPr>
          <w:szCs w:val="22"/>
        </w:rPr>
        <w:t xml:space="preserve">  </w:t>
      </w:r>
      <w:r w:rsidRPr="008414C3" w:rsidR="00165C69">
        <w:rPr>
          <w:szCs w:val="22"/>
        </w:rPr>
        <w:t>First,</w:t>
      </w:r>
      <w:r w:rsidRPr="008414C3" w:rsidR="006C169D">
        <w:rPr>
          <w:szCs w:val="22"/>
        </w:rPr>
        <w:t xml:space="preserve"> the </w:t>
      </w:r>
      <w:r w:rsidRPr="008414C3" w:rsidR="009F5785">
        <w:rPr>
          <w:szCs w:val="22"/>
        </w:rPr>
        <w:t xml:space="preserve"> </w:t>
      </w:r>
      <w:r w:rsidRPr="008414C3">
        <w:rPr>
          <w:szCs w:val="22"/>
        </w:rPr>
        <w:t>Geographic Service Areas (</w:t>
      </w:r>
      <w:r w:rsidRPr="008414C3" w:rsidR="009F5785">
        <w:rPr>
          <w:szCs w:val="22"/>
        </w:rPr>
        <w:t>GSAs</w:t>
      </w:r>
      <w:r w:rsidRPr="008414C3">
        <w:rPr>
          <w:szCs w:val="22"/>
        </w:rPr>
        <w:t>)</w:t>
      </w:r>
      <w:r w:rsidRPr="008414C3" w:rsidR="009F5785">
        <w:rPr>
          <w:szCs w:val="22"/>
        </w:rPr>
        <w:t xml:space="preserve"> </w:t>
      </w:r>
      <w:r w:rsidRPr="008414C3" w:rsidR="006C169D">
        <w:rPr>
          <w:szCs w:val="22"/>
        </w:rPr>
        <w:t xml:space="preserve">of these licenses will not </w:t>
      </w:r>
      <w:r w:rsidRPr="008414C3" w:rsidR="009F5785">
        <w:rPr>
          <w:szCs w:val="22"/>
        </w:rPr>
        <w:t>include any area within the GSA of any previously licensed co-channel EBS station.</w:t>
      </w:r>
      <w:r>
        <w:rPr>
          <w:rStyle w:val="FootnoteReference"/>
          <w:sz w:val="22"/>
          <w:szCs w:val="22"/>
        </w:rPr>
        <w:footnoteReference w:id="45"/>
      </w:r>
      <w:r w:rsidRPr="008414C3" w:rsidR="009F5785">
        <w:rPr>
          <w:szCs w:val="22"/>
        </w:rPr>
        <w:t xml:space="preserve">  Second, </w:t>
      </w:r>
      <w:r w:rsidRPr="008414C3">
        <w:rPr>
          <w:szCs w:val="22"/>
        </w:rPr>
        <w:t xml:space="preserve">to ensure that the licensed spectrum is quickly put to use to serve a community that lacks broadband alternatives, </w:t>
      </w:r>
      <w:r w:rsidRPr="008414C3" w:rsidR="009F5785">
        <w:rPr>
          <w:szCs w:val="22"/>
        </w:rPr>
        <w:t xml:space="preserve">we will require </w:t>
      </w:r>
      <w:r w:rsidRPr="008414C3" w:rsidR="006C169D">
        <w:rPr>
          <w:szCs w:val="22"/>
        </w:rPr>
        <w:t>Viya</w:t>
      </w:r>
      <w:r w:rsidRPr="008414C3" w:rsidR="009F5785">
        <w:rPr>
          <w:szCs w:val="22"/>
        </w:rPr>
        <w:t xml:space="preserve"> to provide substantial service pursuant to Section 27.14(o) of the Commission’s Rules within two years from the date</w:t>
      </w:r>
      <w:r w:rsidRPr="008414C3" w:rsidR="005D3168">
        <w:rPr>
          <w:szCs w:val="22"/>
        </w:rPr>
        <w:t xml:space="preserve"> that</w:t>
      </w:r>
      <w:r w:rsidRPr="008414C3" w:rsidR="009F5785">
        <w:rPr>
          <w:szCs w:val="22"/>
        </w:rPr>
        <w:t xml:space="preserve"> the license is granted by the Bureau.</w:t>
      </w:r>
      <w:r>
        <w:rPr>
          <w:rStyle w:val="FootnoteReference"/>
          <w:sz w:val="22"/>
          <w:szCs w:val="22"/>
        </w:rPr>
        <w:footnoteReference w:id="46"/>
      </w:r>
      <w:r w:rsidRPr="008414C3" w:rsidR="009F5785">
        <w:rPr>
          <w:szCs w:val="22"/>
        </w:rPr>
        <w:t xml:space="preserve">  </w:t>
      </w:r>
    </w:p>
    <w:p w:rsidR="005B5D4C" w:rsidRPr="008414C3" w:rsidP="005B5D4C" w14:paraId="6C2D4C3E" w14:textId="35B955AD">
      <w:pPr>
        <w:pStyle w:val="ParaNum"/>
        <w:rPr>
          <w:rStyle w:val="documentbody1"/>
          <w:rFonts w:ascii="Times New Roman" w:hAnsi="Times New Roman"/>
          <w:sz w:val="22"/>
          <w:szCs w:val="22"/>
          <w:shd w:val="clear" w:color="auto" w:fill="auto"/>
        </w:rPr>
      </w:pPr>
      <w:r w:rsidRPr="008414C3">
        <w:rPr>
          <w:rStyle w:val="documentbody1"/>
          <w:rFonts w:ascii="Times New Roman" w:hAnsi="Times New Roman"/>
          <w:color w:val="000000"/>
          <w:sz w:val="22"/>
          <w:szCs w:val="22"/>
        </w:rPr>
        <w:t>With respect to the electronic filing requirement contained in Section 1.913(b) of the Commission’s Rules,</w:t>
      </w:r>
      <w:r>
        <w:rPr>
          <w:rStyle w:val="FootnoteReference"/>
          <w:sz w:val="22"/>
          <w:szCs w:val="22"/>
        </w:rPr>
        <w:footnoteReference w:id="47"/>
      </w:r>
      <w:r w:rsidRPr="008414C3" w:rsidR="00495020">
        <w:rPr>
          <w:szCs w:val="22"/>
        </w:rPr>
        <w:t xml:space="preserve"> we observe that </w:t>
      </w:r>
      <w:r w:rsidRPr="008414C3">
        <w:rPr>
          <w:szCs w:val="22"/>
        </w:rPr>
        <w:t xml:space="preserve">the Commission’s electronic </w:t>
      </w:r>
      <w:r w:rsidRPr="008414C3" w:rsidR="009739C5">
        <w:rPr>
          <w:szCs w:val="22"/>
        </w:rPr>
        <w:t>ULS</w:t>
      </w:r>
      <w:r w:rsidRPr="008414C3">
        <w:rPr>
          <w:szCs w:val="22"/>
        </w:rPr>
        <w:t xml:space="preserve"> currently </w:t>
      </w:r>
      <w:r w:rsidRPr="008414C3" w:rsidR="00AC2FC5">
        <w:rPr>
          <w:szCs w:val="22"/>
        </w:rPr>
        <w:t xml:space="preserve">is not </w:t>
      </w:r>
      <w:r w:rsidRPr="008414C3">
        <w:rPr>
          <w:szCs w:val="22"/>
        </w:rPr>
        <w:t xml:space="preserve">configured to accept applications </w:t>
      </w:r>
      <w:r w:rsidRPr="008414C3" w:rsidR="00530BCA">
        <w:rPr>
          <w:szCs w:val="22"/>
        </w:rPr>
        <w:t>such as the ones</w:t>
      </w:r>
      <w:r w:rsidRPr="008414C3" w:rsidR="00D50D6E">
        <w:rPr>
          <w:szCs w:val="22"/>
        </w:rPr>
        <w:t xml:space="preserve"> submitted by </w:t>
      </w:r>
      <w:r w:rsidRPr="008414C3" w:rsidR="006C169D">
        <w:rPr>
          <w:szCs w:val="22"/>
        </w:rPr>
        <w:t>Viya</w:t>
      </w:r>
      <w:r w:rsidRPr="008414C3">
        <w:rPr>
          <w:szCs w:val="22"/>
        </w:rPr>
        <w:t xml:space="preserve">.  We therefore conclude that, in light of these circumstances, </w:t>
      </w:r>
      <w:r w:rsidRPr="008414C3">
        <w:rPr>
          <w:rStyle w:val="documentbody1"/>
          <w:rFonts w:ascii="Times New Roman" w:hAnsi="Times New Roman"/>
          <w:color w:val="000000"/>
          <w:sz w:val="22"/>
          <w:szCs w:val="22"/>
        </w:rPr>
        <w:t>application of the rule would be inequitable and contrary to the public interest because it would be unfair to reject an application for failure to file electronically when electronic filing capability is not av</w:t>
      </w:r>
      <w:r w:rsidRPr="008414C3" w:rsidR="00530BCA">
        <w:rPr>
          <w:rStyle w:val="documentbody1"/>
          <w:rFonts w:ascii="Times New Roman" w:hAnsi="Times New Roman"/>
          <w:color w:val="000000"/>
          <w:sz w:val="22"/>
          <w:szCs w:val="22"/>
        </w:rPr>
        <w:t>ailab</w:t>
      </w:r>
      <w:r w:rsidRPr="008414C3" w:rsidR="00D50D6E">
        <w:rPr>
          <w:rStyle w:val="documentbody1"/>
          <w:rFonts w:ascii="Times New Roman" w:hAnsi="Times New Roman"/>
          <w:color w:val="000000"/>
          <w:sz w:val="22"/>
          <w:szCs w:val="22"/>
        </w:rPr>
        <w:t xml:space="preserve">le.  We therefore grant </w:t>
      </w:r>
      <w:r w:rsidRPr="008414C3" w:rsidR="006C169D">
        <w:rPr>
          <w:rStyle w:val="documentbody1"/>
          <w:rFonts w:ascii="Times New Roman" w:hAnsi="Times New Roman"/>
          <w:color w:val="000000"/>
          <w:sz w:val="22"/>
          <w:szCs w:val="22"/>
        </w:rPr>
        <w:t>Viya</w:t>
      </w:r>
      <w:r w:rsidRPr="008414C3">
        <w:rPr>
          <w:rStyle w:val="documentbody1"/>
          <w:rFonts w:ascii="Times New Roman" w:hAnsi="Times New Roman"/>
          <w:color w:val="000000"/>
          <w:sz w:val="22"/>
          <w:szCs w:val="22"/>
        </w:rPr>
        <w:t xml:space="preserve"> a waiver to permit manual filing of its Application</w:t>
      </w:r>
      <w:r w:rsidRPr="008414C3" w:rsidR="009739C5">
        <w:rPr>
          <w:rStyle w:val="documentbody1"/>
          <w:rFonts w:ascii="Times New Roman" w:hAnsi="Times New Roman"/>
          <w:color w:val="000000"/>
          <w:sz w:val="22"/>
          <w:szCs w:val="22"/>
        </w:rPr>
        <w:t>s</w:t>
      </w:r>
      <w:r w:rsidRPr="008414C3">
        <w:rPr>
          <w:rStyle w:val="documentbody1"/>
          <w:rFonts w:ascii="Times New Roman" w:hAnsi="Times New Roman"/>
          <w:color w:val="000000"/>
          <w:sz w:val="22"/>
          <w:szCs w:val="22"/>
        </w:rPr>
        <w:t>.</w:t>
      </w:r>
    </w:p>
    <w:p w:rsidR="00E71C24" w:rsidRPr="008414C3" w:rsidP="005B5D4C" w14:paraId="20D2C77C" w14:textId="12CEDC20">
      <w:pPr>
        <w:pStyle w:val="ParaNum"/>
        <w:rPr>
          <w:rStyle w:val="documentbody1"/>
          <w:rFonts w:ascii="Times New Roman" w:hAnsi="Times New Roman"/>
          <w:sz w:val="22"/>
          <w:szCs w:val="22"/>
          <w:shd w:val="clear" w:color="auto" w:fill="auto"/>
        </w:rPr>
      </w:pPr>
      <w:r w:rsidRPr="008414C3">
        <w:rPr>
          <w:rStyle w:val="documentbody1"/>
          <w:rFonts w:ascii="Times New Roman" w:hAnsi="Times New Roman"/>
          <w:color w:val="000000"/>
          <w:sz w:val="22"/>
          <w:szCs w:val="22"/>
        </w:rPr>
        <w:t xml:space="preserve">We further conclude that it would </w:t>
      </w:r>
      <w:r w:rsidRPr="008414C3" w:rsidR="005B5D4C">
        <w:rPr>
          <w:rStyle w:val="documentbody1"/>
          <w:rFonts w:ascii="Times New Roman" w:hAnsi="Times New Roman"/>
          <w:color w:val="000000"/>
          <w:sz w:val="22"/>
          <w:szCs w:val="22"/>
        </w:rPr>
        <w:t xml:space="preserve">be inequitable and contrary to the public interest to apply the eligibility and educational use requirements to this case.  Although the rules </w:t>
      </w:r>
      <w:r w:rsidRPr="008414C3" w:rsidR="00AC2FC5">
        <w:rPr>
          <w:rStyle w:val="documentbody1"/>
          <w:rFonts w:ascii="Times New Roman" w:hAnsi="Times New Roman"/>
          <w:color w:val="000000"/>
          <w:sz w:val="22"/>
          <w:szCs w:val="22"/>
        </w:rPr>
        <w:t xml:space="preserve">the Commission adopted in its July 2019 </w:t>
      </w:r>
      <w:r w:rsidRPr="008414C3" w:rsidR="00AC2FC5">
        <w:rPr>
          <w:i/>
          <w:szCs w:val="22"/>
        </w:rPr>
        <w:t>2.5 GHz Report and Order</w:t>
      </w:r>
      <w:r w:rsidRPr="008414C3" w:rsidR="00AC2FC5">
        <w:rPr>
          <w:rStyle w:val="documentbody1"/>
          <w:rFonts w:ascii="Times New Roman" w:hAnsi="Times New Roman"/>
          <w:color w:val="000000"/>
          <w:sz w:val="22"/>
          <w:szCs w:val="22"/>
        </w:rPr>
        <w:t xml:space="preserve"> </w:t>
      </w:r>
      <w:r w:rsidRPr="008414C3" w:rsidR="005B5D4C">
        <w:rPr>
          <w:rStyle w:val="documentbody1"/>
          <w:rFonts w:ascii="Times New Roman" w:hAnsi="Times New Roman"/>
          <w:color w:val="000000"/>
          <w:sz w:val="22"/>
          <w:szCs w:val="22"/>
        </w:rPr>
        <w:t xml:space="preserve">are not yet in effect, the </w:t>
      </w:r>
      <w:r w:rsidRPr="008414C3" w:rsidR="00AC2FC5">
        <w:rPr>
          <w:rStyle w:val="documentbody1"/>
          <w:rFonts w:ascii="Times New Roman" w:hAnsi="Times New Roman"/>
          <w:color w:val="000000"/>
          <w:sz w:val="22"/>
          <w:szCs w:val="22"/>
        </w:rPr>
        <w:t xml:space="preserve">rules will </w:t>
      </w:r>
      <w:r w:rsidRPr="008414C3" w:rsidR="005B5D4C">
        <w:rPr>
          <w:szCs w:val="22"/>
          <w:shd w:val="clear" w:color="auto" w:fill="FFFFFF"/>
        </w:rPr>
        <w:t>remove the eligibility and educational use requirements from the rules.</w:t>
      </w:r>
      <w:r>
        <w:rPr>
          <w:rStyle w:val="FootnoteReference"/>
          <w:sz w:val="22"/>
          <w:szCs w:val="22"/>
          <w:shd w:val="clear" w:color="auto" w:fill="FFFFFF"/>
        </w:rPr>
        <w:footnoteReference w:id="48"/>
      </w:r>
      <w:r w:rsidRPr="008414C3" w:rsidR="005B5D4C">
        <w:rPr>
          <w:szCs w:val="22"/>
          <w:shd w:val="clear" w:color="auto" w:fill="FFFFFF"/>
        </w:rPr>
        <w:t xml:space="preserve">  </w:t>
      </w:r>
      <w:r w:rsidRPr="008414C3" w:rsidR="004504FC">
        <w:rPr>
          <w:szCs w:val="22"/>
          <w:shd w:val="clear" w:color="auto" w:fill="FFFFFF"/>
        </w:rPr>
        <w:t xml:space="preserve">In light of the Commission’s recent action, </w:t>
      </w:r>
      <w:r w:rsidRPr="008414C3" w:rsidR="005B5D4C">
        <w:rPr>
          <w:szCs w:val="22"/>
          <w:shd w:val="clear" w:color="auto" w:fill="FFFFFF"/>
        </w:rPr>
        <w:t xml:space="preserve">we find that it is not in the public interest to apply those rules here when they </w:t>
      </w:r>
      <w:r w:rsidRPr="008414C3" w:rsidR="008E476B">
        <w:rPr>
          <w:szCs w:val="22"/>
          <w:shd w:val="clear" w:color="auto" w:fill="FFFFFF"/>
        </w:rPr>
        <w:t xml:space="preserve">soon </w:t>
      </w:r>
      <w:r w:rsidRPr="008414C3" w:rsidR="005B5D4C">
        <w:rPr>
          <w:szCs w:val="22"/>
          <w:shd w:val="clear" w:color="auto" w:fill="FFFFFF"/>
        </w:rPr>
        <w:t>will no longer be effective.</w:t>
      </w:r>
    </w:p>
    <w:p w:rsidR="00FC1CFD" w:rsidRPr="008414C3" w:rsidP="00632130" w14:paraId="513B9552" w14:textId="2A8430AA">
      <w:pPr>
        <w:pStyle w:val="Heading1"/>
      </w:pPr>
      <w:r w:rsidRPr="008414C3">
        <w:t>CONCLUSION AND ORDERING CLAUSES</w:t>
      </w:r>
    </w:p>
    <w:p w:rsidR="00FC1CFD" w:rsidRPr="008414C3" w:rsidP="00B95F7B" w14:paraId="75DC4A3F" w14:textId="1DBD74E5">
      <w:pPr>
        <w:pStyle w:val="ParaNum"/>
        <w:rPr>
          <w:szCs w:val="22"/>
        </w:rPr>
      </w:pPr>
      <w:r w:rsidRPr="008414C3">
        <w:rPr>
          <w:szCs w:val="22"/>
        </w:rPr>
        <w:t>For the reaso</w:t>
      </w:r>
      <w:r w:rsidRPr="008414C3" w:rsidR="00530BCA">
        <w:rPr>
          <w:szCs w:val="22"/>
        </w:rPr>
        <w:t>ns discus</w:t>
      </w:r>
      <w:r w:rsidRPr="008414C3" w:rsidR="0058063C">
        <w:rPr>
          <w:szCs w:val="22"/>
        </w:rPr>
        <w:t xml:space="preserve">sed above, we grant </w:t>
      </w:r>
      <w:r w:rsidRPr="008414C3" w:rsidR="00F55A96">
        <w:rPr>
          <w:szCs w:val="22"/>
        </w:rPr>
        <w:t>Viya</w:t>
      </w:r>
      <w:r w:rsidRPr="008414C3">
        <w:rPr>
          <w:szCs w:val="22"/>
        </w:rPr>
        <w:t>’s requests for waiver of</w:t>
      </w:r>
      <w:r w:rsidRPr="008414C3" w:rsidR="00AC2FC5">
        <w:rPr>
          <w:szCs w:val="22"/>
        </w:rPr>
        <w:t>:</w:t>
      </w:r>
      <w:r w:rsidRPr="008414C3">
        <w:rPr>
          <w:szCs w:val="22"/>
        </w:rPr>
        <w:t xml:space="preserve"> </w:t>
      </w:r>
      <w:r w:rsidRPr="008414C3" w:rsidR="00DA662B">
        <w:rPr>
          <w:szCs w:val="22"/>
        </w:rPr>
        <w:t xml:space="preserve">(1) the filing freeze that was imposed by the Commission on new EBS applications in the Commission’s April 2003, </w:t>
      </w:r>
      <w:r w:rsidRPr="008414C3" w:rsidR="00DA662B">
        <w:rPr>
          <w:i/>
          <w:szCs w:val="22"/>
        </w:rPr>
        <w:t>NPRM and MO&amp;O</w:t>
      </w:r>
      <w:r w:rsidRPr="008414C3" w:rsidR="00DA662B">
        <w:rPr>
          <w:szCs w:val="22"/>
        </w:rPr>
        <w:t xml:space="preserve">; (2) Section 1.913(b) of the Commission’s rules to permit manual filing of the application; and (3) the eligibility and educational use requirements in Sections 27.1201 and 27.1203 of the Commission’s rules. </w:t>
      </w:r>
      <w:r w:rsidRPr="008414C3" w:rsidR="008E476B">
        <w:rPr>
          <w:szCs w:val="22"/>
        </w:rPr>
        <w:t xml:space="preserve"> </w:t>
      </w:r>
      <w:r w:rsidRPr="008414C3">
        <w:rPr>
          <w:szCs w:val="22"/>
        </w:rPr>
        <w:t>We also direct the Broadband Division to pr</w:t>
      </w:r>
      <w:r w:rsidRPr="008414C3" w:rsidR="00530BCA">
        <w:rPr>
          <w:szCs w:val="22"/>
        </w:rPr>
        <w:t xml:space="preserve">ocess </w:t>
      </w:r>
      <w:r w:rsidRPr="008414C3" w:rsidR="008E476B">
        <w:rPr>
          <w:szCs w:val="22"/>
        </w:rPr>
        <w:t xml:space="preserve">Viya’s </w:t>
      </w:r>
      <w:r w:rsidRPr="008414C3" w:rsidR="006D4A28">
        <w:rPr>
          <w:szCs w:val="22"/>
        </w:rPr>
        <w:t>Application</w:t>
      </w:r>
      <w:r w:rsidRPr="008414C3">
        <w:rPr>
          <w:szCs w:val="22"/>
        </w:rPr>
        <w:t xml:space="preserve"> in accordance with the requirements set forth in this </w:t>
      </w:r>
      <w:r w:rsidRPr="008414C3">
        <w:rPr>
          <w:i/>
          <w:szCs w:val="22"/>
        </w:rPr>
        <w:t>Memorandum Opinion and Order</w:t>
      </w:r>
      <w:r w:rsidRPr="008414C3">
        <w:rPr>
          <w:szCs w:val="22"/>
        </w:rPr>
        <w:t xml:space="preserve"> and the Commission’s rules.</w:t>
      </w:r>
    </w:p>
    <w:p w:rsidR="00FC1CFD" w:rsidRPr="008414C3" w:rsidP="00B95F7B" w14:paraId="1F193C77" w14:textId="77777777">
      <w:pPr>
        <w:pStyle w:val="ParaNum"/>
        <w:rPr>
          <w:szCs w:val="22"/>
        </w:rPr>
      </w:pPr>
      <w:r w:rsidRPr="008414C3">
        <w:rPr>
          <w:szCs w:val="22"/>
        </w:rPr>
        <w:t>Accordingly, IT IS ORDERED, pursuant to Section 4(i) of the Communications Act of 1934, as amended 47 U.S.C. § 154(i), and Section 1.925(b)(3) of the Commission’s Rules, 47 CFR §</w:t>
      </w:r>
      <w:r w:rsidRPr="008414C3" w:rsidR="009F5785">
        <w:rPr>
          <w:szCs w:val="22"/>
        </w:rPr>
        <w:t> </w:t>
      </w:r>
      <w:r w:rsidRPr="008414C3">
        <w:rPr>
          <w:szCs w:val="22"/>
        </w:rPr>
        <w:t xml:space="preserve">1.925(b)(3), that the </w:t>
      </w:r>
      <w:r w:rsidRPr="008414C3" w:rsidR="0083372C">
        <w:rPr>
          <w:szCs w:val="22"/>
        </w:rPr>
        <w:t>W</w:t>
      </w:r>
      <w:r w:rsidRPr="008414C3">
        <w:rPr>
          <w:szCs w:val="22"/>
        </w:rPr>
        <w:t xml:space="preserve">aiver </w:t>
      </w:r>
      <w:r w:rsidRPr="008414C3" w:rsidR="0083372C">
        <w:rPr>
          <w:szCs w:val="22"/>
        </w:rPr>
        <w:t>R</w:t>
      </w:r>
      <w:r w:rsidRPr="008414C3">
        <w:rPr>
          <w:szCs w:val="22"/>
        </w:rPr>
        <w:t xml:space="preserve">equest filed by </w:t>
      </w:r>
      <w:r w:rsidRPr="008414C3" w:rsidR="00E71C24">
        <w:rPr>
          <w:szCs w:val="22"/>
        </w:rPr>
        <w:t xml:space="preserve">Choice Communications, LLC </w:t>
      </w:r>
      <w:r w:rsidRPr="008414C3">
        <w:rPr>
          <w:szCs w:val="22"/>
        </w:rPr>
        <w:t xml:space="preserve">on </w:t>
      </w:r>
      <w:r w:rsidRPr="008414C3" w:rsidR="00E71C24">
        <w:rPr>
          <w:szCs w:val="22"/>
        </w:rPr>
        <w:t>June 18</w:t>
      </w:r>
      <w:r w:rsidRPr="008414C3" w:rsidR="00534FFF">
        <w:rPr>
          <w:szCs w:val="22"/>
        </w:rPr>
        <w:t>, 201</w:t>
      </w:r>
      <w:r w:rsidRPr="008414C3" w:rsidR="00E71C24">
        <w:rPr>
          <w:szCs w:val="22"/>
        </w:rPr>
        <w:t>9</w:t>
      </w:r>
      <w:r w:rsidRPr="008414C3">
        <w:rPr>
          <w:szCs w:val="22"/>
        </w:rPr>
        <w:t xml:space="preserve"> in connection with File No. </w:t>
      </w:r>
      <w:r w:rsidRPr="008414C3" w:rsidR="00E71C24">
        <w:rPr>
          <w:szCs w:val="22"/>
        </w:rPr>
        <w:t>0008700428</w:t>
      </w:r>
      <w:r w:rsidRPr="008414C3" w:rsidR="009F5785">
        <w:rPr>
          <w:szCs w:val="22"/>
        </w:rPr>
        <w:t xml:space="preserve"> </w:t>
      </w:r>
      <w:r w:rsidRPr="008414C3" w:rsidR="0083372C">
        <w:rPr>
          <w:szCs w:val="22"/>
        </w:rPr>
        <w:t xml:space="preserve">IS </w:t>
      </w:r>
      <w:r w:rsidRPr="008414C3">
        <w:rPr>
          <w:szCs w:val="22"/>
        </w:rPr>
        <w:t>GRANTED, subject to the conditions noted below.</w:t>
      </w:r>
    </w:p>
    <w:p w:rsidR="00FC1CFD" w:rsidRPr="008414C3" w:rsidP="00B95F7B" w14:paraId="26315229" w14:textId="77777777">
      <w:pPr>
        <w:pStyle w:val="ParaNum"/>
        <w:rPr>
          <w:szCs w:val="22"/>
        </w:rPr>
      </w:pPr>
      <w:r w:rsidRPr="008414C3">
        <w:rPr>
          <w:szCs w:val="22"/>
        </w:rPr>
        <w:t xml:space="preserve">IT IS FURTHER ORDERED, pursuant to Sections 4(i) and 309 of the Communications Act of 1934, as amended, 47 U.S.C. §§154(i), 309 that the licensing staff of the Broadband Division, Wireless Telecommunications Bureau SHALL PROCESS File No. </w:t>
      </w:r>
      <w:r w:rsidRPr="008414C3" w:rsidR="00E71C24">
        <w:rPr>
          <w:szCs w:val="22"/>
        </w:rPr>
        <w:t xml:space="preserve">0008700428 </w:t>
      </w:r>
      <w:r w:rsidRPr="008414C3">
        <w:rPr>
          <w:szCs w:val="22"/>
        </w:rPr>
        <w:t xml:space="preserve">in accordance with this </w:t>
      </w:r>
      <w:r w:rsidRPr="008414C3">
        <w:rPr>
          <w:i/>
          <w:szCs w:val="22"/>
        </w:rPr>
        <w:t>Memorandum Opinion and Order</w:t>
      </w:r>
      <w:r w:rsidRPr="008414C3">
        <w:rPr>
          <w:szCs w:val="22"/>
        </w:rPr>
        <w:t xml:space="preserve"> and the Commission’s Rules.</w:t>
      </w:r>
    </w:p>
    <w:p w:rsidR="00FC1CFD" w:rsidRPr="008414C3" w:rsidP="00B95F7B" w14:paraId="4D29B9D3" w14:textId="77777777">
      <w:pPr>
        <w:pStyle w:val="ParaNum"/>
        <w:rPr>
          <w:szCs w:val="22"/>
        </w:rPr>
      </w:pPr>
      <w:r w:rsidRPr="008414C3">
        <w:rPr>
          <w:szCs w:val="22"/>
        </w:rPr>
        <w:t>IT IS FURTHER ORDERED, pursuant to Sections 4(i) and 309 of the Communications Act of 1934, as amended, 47 U.S.C. § 154(i), 309 that the following co</w:t>
      </w:r>
      <w:r w:rsidRPr="008414C3" w:rsidR="00C279D5">
        <w:rPr>
          <w:szCs w:val="22"/>
        </w:rPr>
        <w:t xml:space="preserve">nditions SHALL BE IMPOSED on </w:t>
      </w:r>
      <w:r w:rsidRPr="008414C3" w:rsidR="009F5785">
        <w:rPr>
          <w:szCs w:val="22"/>
        </w:rPr>
        <w:t>any</w:t>
      </w:r>
      <w:r w:rsidRPr="008414C3">
        <w:rPr>
          <w:szCs w:val="22"/>
        </w:rPr>
        <w:t xml:space="preserve"> </w:t>
      </w:r>
      <w:r w:rsidRPr="008414C3" w:rsidR="00C279D5">
        <w:rPr>
          <w:szCs w:val="22"/>
        </w:rPr>
        <w:t>authorization</w:t>
      </w:r>
      <w:r w:rsidRPr="008414C3">
        <w:rPr>
          <w:szCs w:val="22"/>
        </w:rPr>
        <w:t xml:space="preserve"> issued </w:t>
      </w:r>
      <w:r w:rsidRPr="008414C3">
        <w:rPr>
          <w:szCs w:val="22"/>
        </w:rPr>
        <w:t>to</w:t>
      </w:r>
      <w:r w:rsidRPr="008414C3" w:rsidR="0099634C">
        <w:rPr>
          <w:szCs w:val="22"/>
        </w:rPr>
        <w:t xml:space="preserve"> </w:t>
      </w:r>
      <w:r w:rsidRPr="008414C3" w:rsidR="00E71C24">
        <w:rPr>
          <w:szCs w:val="22"/>
        </w:rPr>
        <w:t>Choice</w:t>
      </w:r>
      <w:r w:rsidRPr="008414C3" w:rsidR="00E71C24">
        <w:rPr>
          <w:szCs w:val="22"/>
        </w:rPr>
        <w:t xml:space="preserve"> Communications, LLC d/b/a Viya </w:t>
      </w:r>
      <w:r w:rsidRPr="008414C3">
        <w:rPr>
          <w:szCs w:val="22"/>
        </w:rPr>
        <w:t>as a result of the application</w:t>
      </w:r>
      <w:r w:rsidRPr="008414C3" w:rsidR="009875EF">
        <w:rPr>
          <w:szCs w:val="22"/>
        </w:rPr>
        <w:t>s</w:t>
      </w:r>
      <w:r w:rsidRPr="008414C3">
        <w:rPr>
          <w:szCs w:val="22"/>
        </w:rPr>
        <w:t xml:space="preserve"> it has filed:</w:t>
      </w:r>
    </w:p>
    <w:p w:rsidR="00EA09F6" w:rsidRPr="008414C3" w:rsidP="002278A7" w14:paraId="54CA9FB4" w14:textId="77777777">
      <w:pPr>
        <w:ind w:left="720" w:right="720"/>
        <w:rPr>
          <w:szCs w:val="22"/>
        </w:rPr>
      </w:pPr>
      <w:r w:rsidRPr="008414C3">
        <w:rPr>
          <w:szCs w:val="22"/>
        </w:rPr>
        <w:t>The Geographic Service Area of this station shall not include any area within the GSA of any previously licensed co-channel EBS station.</w:t>
      </w:r>
    </w:p>
    <w:p w:rsidR="00690245" w:rsidRPr="008414C3" w14:paraId="7C5DA43D" w14:textId="77777777">
      <w:pPr>
        <w:ind w:left="720" w:right="720"/>
        <w:rPr>
          <w:szCs w:val="22"/>
        </w:rPr>
      </w:pPr>
    </w:p>
    <w:p w:rsidR="00690245" w:rsidRPr="008414C3" w14:paraId="2F72AEEC" w14:textId="77777777">
      <w:pPr>
        <w:ind w:left="720" w:right="720"/>
        <w:rPr>
          <w:szCs w:val="22"/>
        </w:rPr>
      </w:pPr>
      <w:r w:rsidRPr="008414C3">
        <w:rPr>
          <w:szCs w:val="22"/>
        </w:rPr>
        <w:t xml:space="preserve">Choice Communications, LLC </w:t>
      </w:r>
      <w:r w:rsidRPr="008414C3" w:rsidR="00F6592E">
        <w:rPr>
          <w:szCs w:val="22"/>
        </w:rPr>
        <w:t xml:space="preserve">shall </w:t>
      </w:r>
      <w:r w:rsidRPr="008414C3" w:rsidR="002631E0">
        <w:rPr>
          <w:szCs w:val="22"/>
        </w:rPr>
        <w:t xml:space="preserve">demonstrate </w:t>
      </w:r>
      <w:r w:rsidRPr="008414C3" w:rsidR="009F5785">
        <w:rPr>
          <w:szCs w:val="22"/>
        </w:rPr>
        <w:t xml:space="preserve">that it has met the substantial service requirement contained in 47 CFR § 27.14(o) </w:t>
      </w:r>
      <w:r w:rsidRPr="008414C3" w:rsidR="002631E0">
        <w:rPr>
          <w:szCs w:val="22"/>
        </w:rPr>
        <w:t xml:space="preserve">within two years after the grant of </w:t>
      </w:r>
      <w:r w:rsidRPr="008414C3" w:rsidR="003251CA">
        <w:rPr>
          <w:szCs w:val="22"/>
        </w:rPr>
        <w:t xml:space="preserve">its </w:t>
      </w:r>
      <w:r w:rsidRPr="008414C3" w:rsidR="002631E0">
        <w:rPr>
          <w:szCs w:val="22"/>
        </w:rPr>
        <w:t>application.</w:t>
      </w:r>
    </w:p>
    <w:p w:rsidR="00446312" w:rsidRPr="008414C3" w14:paraId="5DAD69D3" w14:textId="77777777">
      <w:pPr>
        <w:ind w:left="720" w:right="720"/>
        <w:rPr>
          <w:szCs w:val="22"/>
        </w:rPr>
      </w:pPr>
    </w:p>
    <w:p w:rsidR="00FC1CFD" w:rsidRPr="008414C3" w:rsidP="00B95F7B" w14:paraId="60C1B88A" w14:textId="77777777">
      <w:pPr>
        <w:pStyle w:val="ParaNum"/>
        <w:rPr>
          <w:szCs w:val="22"/>
        </w:rPr>
      </w:pPr>
      <w:r w:rsidRPr="008414C3">
        <w:rPr>
          <w:szCs w:val="22"/>
        </w:rPr>
        <w:t>This action is taken under delegated authority pursuant to Sections 0.131 and 0.331 of the Commission’s Rules, 47 CFR §§ 0.131, 0.331.</w:t>
      </w:r>
    </w:p>
    <w:p w:rsidR="00DD01C2" w:rsidRPr="00E614D2" w14:paraId="02D16DC3" w14:textId="77777777">
      <w:pPr>
        <w:rPr>
          <w:szCs w:val="22"/>
        </w:rPr>
      </w:pPr>
    </w:p>
    <w:p w:rsidR="00FC1CFD" w:rsidRPr="00E614D2" w14:paraId="376C8D55" w14:textId="77777777">
      <w:pPr>
        <w:rPr>
          <w:szCs w:val="22"/>
        </w:rPr>
      </w:pPr>
      <w:r w:rsidRPr="00E614D2">
        <w:rPr>
          <w:szCs w:val="22"/>
        </w:rPr>
        <w:tab/>
      </w:r>
      <w:r w:rsidRPr="00E614D2">
        <w:rPr>
          <w:szCs w:val="22"/>
        </w:rPr>
        <w:tab/>
      </w:r>
      <w:r w:rsidRPr="00E614D2">
        <w:rPr>
          <w:szCs w:val="22"/>
        </w:rPr>
        <w:tab/>
      </w:r>
      <w:r w:rsidRPr="00E614D2">
        <w:rPr>
          <w:szCs w:val="22"/>
        </w:rPr>
        <w:tab/>
      </w:r>
      <w:r w:rsidRPr="00E614D2">
        <w:rPr>
          <w:szCs w:val="22"/>
        </w:rPr>
        <w:tab/>
        <w:t>FEDERAL COMMUNICATIONS COMMISSION</w:t>
      </w:r>
    </w:p>
    <w:p w:rsidR="00FC1CFD" w:rsidRPr="00E614D2" w14:paraId="5A76D843" w14:textId="77777777">
      <w:pPr>
        <w:rPr>
          <w:szCs w:val="22"/>
        </w:rPr>
      </w:pPr>
    </w:p>
    <w:p w:rsidR="00C563FA" w:rsidRPr="00E614D2" w14:paraId="1C535FC7" w14:textId="77777777">
      <w:pPr>
        <w:rPr>
          <w:szCs w:val="22"/>
        </w:rPr>
      </w:pPr>
      <w:r w:rsidRPr="00E614D2">
        <w:rPr>
          <w:szCs w:val="22"/>
        </w:rPr>
        <w:tab/>
      </w:r>
    </w:p>
    <w:p w:rsidR="00C563FA" w:rsidRPr="00E614D2" w14:paraId="458E1C2D" w14:textId="77777777">
      <w:pPr>
        <w:rPr>
          <w:szCs w:val="22"/>
        </w:rPr>
      </w:pPr>
    </w:p>
    <w:p w:rsidR="00FC1CFD" w:rsidRPr="00E614D2" w14:paraId="77DBBDBD" w14:textId="77777777">
      <w:pPr>
        <w:rPr>
          <w:szCs w:val="22"/>
        </w:rPr>
      </w:pPr>
      <w:r w:rsidRPr="00E614D2">
        <w:rPr>
          <w:szCs w:val="22"/>
        </w:rPr>
        <w:tab/>
      </w:r>
      <w:r w:rsidRPr="00E614D2">
        <w:rPr>
          <w:szCs w:val="22"/>
        </w:rPr>
        <w:tab/>
      </w:r>
      <w:r w:rsidRPr="00E614D2">
        <w:rPr>
          <w:szCs w:val="22"/>
        </w:rPr>
        <w:tab/>
      </w:r>
      <w:r w:rsidRPr="00E614D2">
        <w:rPr>
          <w:szCs w:val="22"/>
        </w:rPr>
        <w:tab/>
      </w:r>
      <w:r w:rsidRPr="00E614D2" w:rsidR="00C828CF">
        <w:rPr>
          <w:szCs w:val="22"/>
        </w:rPr>
        <w:tab/>
      </w:r>
      <w:r w:rsidRPr="00E614D2" w:rsidR="007D1E98">
        <w:rPr>
          <w:szCs w:val="22"/>
        </w:rPr>
        <w:t>Donald K. Stockdale, Jr.</w:t>
      </w:r>
    </w:p>
    <w:p w:rsidR="00FC1CFD" w:rsidRPr="00E614D2" w:rsidP="007D1E98" w14:paraId="440B023B" w14:textId="77777777">
      <w:pPr>
        <w:rPr>
          <w:szCs w:val="22"/>
        </w:rPr>
      </w:pPr>
      <w:r w:rsidRPr="00E614D2">
        <w:rPr>
          <w:szCs w:val="22"/>
        </w:rPr>
        <w:tab/>
      </w:r>
      <w:r w:rsidRPr="00E614D2">
        <w:rPr>
          <w:szCs w:val="22"/>
        </w:rPr>
        <w:tab/>
      </w:r>
      <w:r w:rsidRPr="00E614D2">
        <w:rPr>
          <w:szCs w:val="22"/>
        </w:rPr>
        <w:tab/>
      </w:r>
      <w:r w:rsidRPr="00E614D2">
        <w:rPr>
          <w:szCs w:val="22"/>
        </w:rPr>
        <w:tab/>
      </w:r>
      <w:r w:rsidRPr="00E614D2">
        <w:rPr>
          <w:szCs w:val="22"/>
        </w:rPr>
        <w:tab/>
        <w:t>Chief, Wireless Telecommunications Bureau</w:t>
      </w:r>
    </w:p>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020" w14:paraId="55665F3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95020" w14:paraId="536010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020" w14:paraId="71159F8C" w14:textId="77777777">
    <w:pPr>
      <w:pStyle w:val="Footer"/>
      <w:framePr w:wrap="around" w:vAnchor="text" w:hAnchor="margin" w:xAlign="center"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sidR="009618B1">
      <w:rPr>
        <w:rStyle w:val="PageNumber"/>
        <w:noProof/>
        <w:szCs w:val="22"/>
      </w:rPr>
      <w:t>2</w:t>
    </w:r>
    <w:r>
      <w:rPr>
        <w:rStyle w:val="PageNumber"/>
        <w:szCs w:val="22"/>
      </w:rPr>
      <w:fldChar w:fldCharType="end"/>
    </w:r>
  </w:p>
  <w:p w:rsidR="00495020" w:rsidP="00632130" w14:paraId="6596C10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1559" w14:paraId="036D09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2512" w14:paraId="5A90AE8E" w14:textId="77777777">
      <w:r>
        <w:separator/>
      </w:r>
    </w:p>
  </w:footnote>
  <w:footnote w:type="continuationSeparator" w:id="1">
    <w:p w:rsidR="006A2512" w14:paraId="452A25C3" w14:textId="77777777">
      <w:r>
        <w:continuationSeparator/>
      </w:r>
    </w:p>
  </w:footnote>
  <w:footnote w:id="2">
    <w:p w:rsidR="000903AA" w:rsidRPr="00216A72" w:rsidP="00357551" w14:paraId="2529C579" w14:textId="77777777">
      <w:pPr>
        <w:pStyle w:val="FootnoteText"/>
      </w:pPr>
      <w:r w:rsidRPr="00216A72">
        <w:rPr>
          <w:rStyle w:val="FootnoteReference"/>
        </w:rPr>
        <w:footnoteRef/>
      </w:r>
      <w:r w:rsidRPr="00216A72">
        <w:t xml:space="preserve"> </w:t>
      </w:r>
      <w:r w:rsidRPr="00216A72">
        <w:rPr>
          <w:i/>
        </w:rPr>
        <w:t xml:space="preserve">See </w:t>
      </w:r>
      <w:r w:rsidRPr="00216A72">
        <w:t>Choice Communications LLC: Application for Educational Broadband Service (EBS) License, File No. 0008700428 (Application) and Request for Waiver (Waiver Request) (filed Jun</w:t>
      </w:r>
      <w:r w:rsidR="001D42DB">
        <w:t>e</w:t>
      </w:r>
      <w:r w:rsidRPr="00216A72">
        <w:t xml:space="preserve"> 18, 2019).</w:t>
      </w:r>
    </w:p>
  </w:footnote>
  <w:footnote w:id="3">
    <w:p w:rsidR="0080011E" w:rsidRPr="00216A72" w:rsidP="00357551" w14:paraId="4E897D36" w14:textId="75D0E60D">
      <w:pPr>
        <w:pStyle w:val="FootnoteText"/>
      </w:pPr>
      <w:r w:rsidRPr="00216A72">
        <w:rPr>
          <w:rStyle w:val="FootnoteReference"/>
        </w:rPr>
        <w:footnoteRef/>
      </w:r>
      <w:r w:rsidRPr="00216A72">
        <w:t xml:space="preserve"> The U.S. Virgin Islands consist of the main islands of St</w:t>
      </w:r>
      <w:r w:rsidRPr="00216A72" w:rsidR="006D4A28">
        <w:t>.</w:t>
      </w:r>
      <w:r w:rsidRPr="00216A72">
        <w:t xml:space="preserve"> Croix, </w:t>
      </w:r>
      <w:r w:rsidRPr="00216A72" w:rsidR="006D4A28">
        <w:t>St. T</w:t>
      </w:r>
      <w:r w:rsidR="00D46D2A">
        <w:t>h</w:t>
      </w:r>
      <w:r w:rsidRPr="00216A72" w:rsidR="006D4A28">
        <w:t>omas</w:t>
      </w:r>
      <w:r w:rsidRPr="00216A72">
        <w:t xml:space="preserve">, and </w:t>
      </w:r>
      <w:r w:rsidRPr="00216A72" w:rsidR="006D4A28">
        <w:t>St. John</w:t>
      </w:r>
      <w:r w:rsidRPr="00216A72">
        <w:t xml:space="preserve"> and several other surrounding islands.  </w:t>
      </w:r>
    </w:p>
  </w:footnote>
  <w:footnote w:id="4">
    <w:p w:rsidR="00495020" w:rsidRPr="00216A72" w:rsidP="00357551" w14:paraId="0B955AAF" w14:textId="77777777">
      <w:pPr>
        <w:pStyle w:val="FootnoteText"/>
      </w:pPr>
      <w:r w:rsidRPr="00216A72">
        <w:rPr>
          <w:rStyle w:val="FootnoteReference"/>
        </w:rPr>
        <w:footnoteRef/>
      </w:r>
      <w:r w:rsidRPr="00216A72" w:rsidR="00304622">
        <w:t xml:space="preserve"> </w:t>
      </w:r>
      <w:r w:rsidRPr="00216A72">
        <w:rPr>
          <w:i/>
        </w:rPr>
        <w:t>See</w:t>
      </w:r>
      <w:r w:rsidRPr="00216A72">
        <w:t xml:space="preserve"> </w:t>
      </w:r>
      <w:r w:rsidRPr="00216A72">
        <w:rPr>
          <w:i/>
        </w:rPr>
        <w:t>Amendment of Parts 2 and 4 of the Commission’s Rules and Regulations to Establish a New Class of Educational Television Service</w:t>
      </w:r>
      <w:r w:rsidRPr="00216A72">
        <w:t xml:space="preserve">, Report and Order, 39 FCC 846 (1963), </w:t>
      </w:r>
      <w:r w:rsidRPr="00216A72">
        <w:rPr>
          <w:i/>
        </w:rPr>
        <w:t>recon. denied,</w:t>
      </w:r>
      <w:r w:rsidRPr="00216A72">
        <w:t xml:space="preserve"> 39 FCC 873 (1964) (</w:t>
      </w:r>
      <w:r w:rsidRPr="00216A72">
        <w:rPr>
          <w:i/>
        </w:rPr>
        <w:t>ETV Decision</w:t>
      </w:r>
      <w:r w:rsidRPr="00216A72">
        <w:t>).</w:t>
      </w:r>
    </w:p>
  </w:footnote>
  <w:footnote w:id="5">
    <w:p w:rsidR="00495020" w:rsidRPr="00216A72" w:rsidP="00357551" w14:paraId="7BC4ABC9" w14:textId="77777777">
      <w:pPr>
        <w:pStyle w:val="FootnoteText"/>
      </w:pPr>
      <w:r w:rsidRPr="00216A72">
        <w:rPr>
          <w:rStyle w:val="FootnoteReference"/>
        </w:rPr>
        <w:footnoteRef/>
      </w:r>
      <w:r w:rsidRPr="00216A72" w:rsidR="00304622">
        <w:t xml:space="preserve"> </w:t>
      </w:r>
      <w:r w:rsidRPr="00216A72">
        <w:rPr>
          <w:i/>
        </w:rPr>
        <w:t>See</w:t>
      </w:r>
      <w:r w:rsidRPr="00216A72">
        <w:t xml:space="preserve"> </w:t>
      </w:r>
      <w:r w:rsidRPr="00216A72">
        <w:rPr>
          <w:i/>
        </w:rPr>
        <w:t>Amendment of the Commission’s Rules with Regard to the Instructional Television Fixed Service, the Multipoint Distribution Service, and the Private Operational Fixed Microwave Service; and Applications for an Experimental Station and Establishment of Multi-Channel Systems</w:t>
      </w:r>
      <w:r w:rsidRPr="00216A72">
        <w:t>, Report and Order, 48 Fed. Reg. 33873, 33875</w:t>
      </w:r>
      <w:r w:rsidR="00B95D93">
        <w:t>,</w:t>
      </w:r>
      <w:r w:rsidRPr="00216A72">
        <w:t xml:space="preserve"> para. 9 (1983) (</w:t>
      </w:r>
      <w:r w:rsidRPr="00216A72">
        <w:rPr>
          <w:i/>
        </w:rPr>
        <w:t>1983 R&amp;O</w:t>
      </w:r>
      <w:r w:rsidRPr="00216A72">
        <w:t>) (</w:t>
      </w:r>
      <w:r w:rsidRPr="00216A72">
        <w:rPr>
          <w:i/>
        </w:rPr>
        <w:t>citing ETV Decision</w:t>
      </w:r>
      <w:r w:rsidRPr="00216A72">
        <w:t>, 39 FCC 846, 852-53 para. 25).</w:t>
      </w:r>
    </w:p>
  </w:footnote>
  <w:footnote w:id="6">
    <w:p w:rsidR="00495020" w:rsidRPr="00216A72" w:rsidP="00B4585D" w14:paraId="42FF3169" w14:textId="77777777">
      <w:pPr>
        <w:pStyle w:val="FootnoteText"/>
      </w:pPr>
      <w:r w:rsidRPr="00216A72">
        <w:rPr>
          <w:rStyle w:val="FootnoteReference"/>
        </w:rPr>
        <w:footnoteRef/>
      </w:r>
      <w:r w:rsidRPr="00216A72" w:rsidR="00304622">
        <w:t xml:space="preserve"> </w:t>
      </w:r>
      <w:r w:rsidRPr="00216A72">
        <w:rPr>
          <w:i/>
        </w:rPr>
        <w:t>See</w:t>
      </w:r>
      <w:r w:rsidRPr="00216A72">
        <w:t xml:space="preserve"> </w:t>
      </w:r>
      <w:r w:rsidRPr="00216A72">
        <w:rPr>
          <w:i/>
        </w:rPr>
        <w:t>Amendment of Parts 2, 21,74 and 94 of the Commission’s Rules and Regulations in Regard to Frequency Allocation to the Instructional Television Fixed Service, the Multipoint Distribution Service, and the Private Operational Fixed Microwave Service</w:t>
      </w:r>
      <w:r w:rsidRPr="00216A72">
        <w:t>, Report and Order, 94 FCC 2d 1203 (1983) (</w:t>
      </w:r>
      <w:r w:rsidRPr="00216A72">
        <w:rPr>
          <w:i/>
        </w:rPr>
        <w:t>First Leasing Decision</w:t>
      </w:r>
      <w:r w:rsidRPr="00216A72">
        <w:t xml:space="preserve">). </w:t>
      </w:r>
    </w:p>
  </w:footnote>
  <w:footnote w:id="7">
    <w:p w:rsidR="00495020" w:rsidRPr="00216A72" w:rsidP="00B4585D" w14:paraId="5317587E" w14:textId="77777777">
      <w:pPr>
        <w:pStyle w:val="FootnoteText"/>
      </w:pPr>
      <w:r w:rsidRPr="00216A72">
        <w:rPr>
          <w:rStyle w:val="FootnoteReference"/>
        </w:rPr>
        <w:footnoteRef/>
      </w:r>
      <w:r w:rsidRPr="00216A72" w:rsidR="00304622">
        <w:t xml:space="preserve"> </w:t>
      </w:r>
      <w:r w:rsidRPr="00216A72" w:rsidR="00CE0D87">
        <w:rPr>
          <w:i/>
        </w:rPr>
        <w:t>I</w:t>
      </w:r>
      <w:r w:rsidRPr="00216A72">
        <w:rPr>
          <w:i/>
        </w:rPr>
        <w:t>d</w:t>
      </w:r>
      <w:r w:rsidRPr="00216A72">
        <w:t>. at 1206-07 para. 4.</w:t>
      </w:r>
    </w:p>
  </w:footnote>
  <w:footnote w:id="8">
    <w:p w:rsidR="00FD3B45" w:rsidRPr="00216A72" w:rsidP="002278A7" w14:paraId="41AAC153" w14:textId="2E595C57">
      <w:pPr>
        <w:pStyle w:val="FootnoteText"/>
      </w:pPr>
      <w:r w:rsidRPr="00216A72">
        <w:rPr>
          <w:rStyle w:val="FootnoteReference"/>
        </w:rPr>
        <w:footnoteRef/>
      </w:r>
      <w:r w:rsidRPr="00216A72">
        <w:t xml:space="preserve"> </w:t>
      </w:r>
      <w:r w:rsidRPr="00216A72">
        <w:rPr>
          <w:i/>
        </w:rPr>
        <w:t>See</w:t>
      </w:r>
      <w:r w:rsidRPr="00216A72">
        <w:t xml:space="preserve"> </w:t>
      </w:r>
      <w:r w:rsidRPr="00216A72">
        <w:rPr>
          <w:i/>
        </w:rPr>
        <w:t>Amendment of Parts 1, 21, 73, 74 and 101 of the Commission’s Rules to Facilitate the Provision of Fixed and Mobile Broadband Access, Educational and Other Advanced Services in the 2150-2162 and 2500-2690 MHz Bands</w:t>
      </w:r>
      <w:r w:rsidRPr="00216A72">
        <w:t>, Notice of Proposed Rulemaking and Memorandum Opinion and Order, 18 FCC Rcd 6722 (2003) (</w:t>
      </w:r>
      <w:r w:rsidRPr="00216A72">
        <w:rPr>
          <w:i/>
        </w:rPr>
        <w:t>NPRM and MO&amp;O</w:t>
      </w:r>
      <w:r w:rsidRPr="00216A72">
        <w:t>).</w:t>
      </w:r>
      <w:r w:rsidR="000C332E">
        <w:t xml:space="preserve">  </w:t>
      </w:r>
      <w:r w:rsidRPr="000C332E" w:rsidR="000C332E">
        <w:t xml:space="preserve">Subsequently, the Commission lifted the freeze on applications for new BRS licenses but maintained it the freeze for applications for new EBS licenses.  </w:t>
      </w:r>
      <w:r w:rsidRPr="00216A72" w:rsidR="000C332E">
        <w:rPr>
          <w:i/>
        </w:rPr>
        <w:t>See</w:t>
      </w:r>
      <w:r w:rsidRPr="00216A72" w:rsidR="000C332E">
        <w:t xml:space="preserve"> </w:t>
      </w:r>
      <w:r w:rsidRPr="00216A72" w:rsidR="000C332E">
        <w:rPr>
          <w:i/>
        </w:rPr>
        <w:t>Amendment of Parts 1, 21, 73, 74 and 101 of the Commission’s Rules to Facilitate the Provision of Fixed and Mobile Broadband Access, Educational and Other Advanced Services in the 2150-2162 and 2500-2690 MHz Bands</w:t>
      </w:r>
      <w:r w:rsidRPr="00216A72" w:rsidR="000C332E">
        <w:t>,</w:t>
      </w:r>
      <w:r w:rsidRPr="00216A72" w:rsidR="000C332E">
        <w:rPr>
          <w:i/>
        </w:rPr>
        <w:t xml:space="preserve"> </w:t>
      </w:r>
      <w:r w:rsidRPr="00216A72" w:rsidR="000C332E">
        <w:t>Second Memorandum Opinion and Order, 18 FCC Rcd 16848 para. 1, 16853, para. 13 (2003) (</w:t>
      </w:r>
      <w:r w:rsidRPr="00216A72" w:rsidR="000C332E">
        <w:rPr>
          <w:i/>
        </w:rPr>
        <w:t>Second MO&amp;O</w:t>
      </w:r>
      <w:r w:rsidRPr="00216A72" w:rsidR="000C332E">
        <w:t>).</w:t>
      </w:r>
    </w:p>
  </w:footnote>
  <w:footnote w:id="9">
    <w:p w:rsidR="00495020" w:rsidRPr="00216A72" w:rsidP="00B4585D" w14:paraId="52EF2E22" w14:textId="77777777">
      <w:pPr>
        <w:pStyle w:val="FootnoteText"/>
      </w:pPr>
      <w:r w:rsidRPr="00216A72">
        <w:rPr>
          <w:rStyle w:val="FootnoteReference"/>
        </w:rPr>
        <w:footnoteRef/>
      </w:r>
      <w:r w:rsidRPr="00216A72" w:rsidR="00304622">
        <w:t xml:space="preserve"> </w:t>
      </w:r>
      <w:r w:rsidRPr="00216A72">
        <w:rPr>
          <w:i/>
        </w:rPr>
        <w:t>Amendment of Parts 1, 21, 73, 74 and 101 of the Commission’s Rules to Facilitate the Provision of fixed and Mobile Broadband Access, Educational and Other Advanced Services in the 2150-2162 and 2500-2690 MHz Bands</w:t>
      </w:r>
      <w:r w:rsidRPr="00216A72" w:rsidR="007C0881">
        <w:t>,</w:t>
      </w:r>
      <w:r w:rsidRPr="00216A72">
        <w:t xml:space="preserve"> Report and Order and Further Notice of Proposed Rulemaking, WT Docket No. 03-66, 19 FCC Rcd 14165 (2004) (</w:t>
      </w:r>
      <w:r w:rsidRPr="00216A72">
        <w:rPr>
          <w:i/>
        </w:rPr>
        <w:t>BRS/EBS R&amp;O and FNPRM</w:t>
      </w:r>
      <w:r w:rsidRPr="00216A72">
        <w:t>).</w:t>
      </w:r>
    </w:p>
  </w:footnote>
  <w:footnote w:id="10">
    <w:p w:rsidR="00495020" w:rsidRPr="00216A72" w:rsidP="00B4585D" w14:paraId="3CC9BAC6" w14:textId="77777777">
      <w:pPr>
        <w:pStyle w:val="FootnoteText"/>
      </w:pPr>
      <w:r w:rsidRPr="00216A72">
        <w:rPr>
          <w:rStyle w:val="FootnoteReference"/>
        </w:rPr>
        <w:footnoteRef/>
      </w:r>
      <w:r w:rsidRPr="00216A72" w:rsidR="00304622">
        <w:t xml:space="preserve"> </w:t>
      </w:r>
      <w:r w:rsidRPr="00216A72">
        <w:rPr>
          <w:i/>
        </w:rPr>
        <w:t>Amendment of Parts 1, 21, 73, 74 and 101 of the Commission’s Rules to Facilitate the Provision of Fixed and Mobile Broadband Access, Educational and Other Advanced Services in the 2150-2162 and 2500-2690 MHz Bands</w:t>
      </w:r>
      <w:r w:rsidRPr="00216A72">
        <w:t>, Third Order on Reconsideration and Sixth Memorandum Opinion and Order and Fourth Memorandum Opinion and Order and Second Further Notice of Proposed Rulemaking and Declaratory Ruling</w:t>
      </w:r>
      <w:r w:rsidRPr="00216A72">
        <w:rPr>
          <w:i/>
        </w:rPr>
        <w:t>,</w:t>
      </w:r>
      <w:r w:rsidRPr="00216A72">
        <w:t xml:space="preserve"> WT Docket No. 03-66, 23 FCC Rcd 5992, 6060-6068 paras. 180-204 (2008) (</w:t>
      </w:r>
      <w:r w:rsidRPr="00216A72">
        <w:rPr>
          <w:i/>
        </w:rPr>
        <w:t>Second FNPRM</w:t>
      </w:r>
      <w:r w:rsidRPr="00216A72">
        <w:t>).</w:t>
      </w:r>
    </w:p>
  </w:footnote>
  <w:footnote w:id="11">
    <w:p w:rsidR="00AF0DDC" w:rsidRPr="00216A72" w:rsidP="00357551" w14:paraId="220F1167" w14:textId="77777777">
      <w:pPr>
        <w:pStyle w:val="FootnoteText"/>
      </w:pPr>
      <w:r w:rsidRPr="00216A72">
        <w:rPr>
          <w:rStyle w:val="FootnoteReference"/>
        </w:rPr>
        <w:footnoteRef/>
      </w:r>
      <w:r w:rsidRPr="00216A72">
        <w:t xml:space="preserve"> </w:t>
      </w:r>
      <w:r w:rsidRPr="00216A72">
        <w:rPr>
          <w:i/>
        </w:rPr>
        <w:t>Transforming the 2.5 GHz Band</w:t>
      </w:r>
      <w:r w:rsidRPr="00216A72">
        <w:t xml:space="preserve">, Report and Order, </w:t>
      </w:r>
      <w:r w:rsidRPr="00216A72" w:rsidR="00357551">
        <w:t>FCC 19-62</w:t>
      </w:r>
      <w:r w:rsidRPr="00216A72">
        <w:t xml:space="preserve"> (201</w:t>
      </w:r>
      <w:r w:rsidRPr="00216A72" w:rsidR="00357551">
        <w:t>9</w:t>
      </w:r>
      <w:r w:rsidRPr="00216A72">
        <w:t>)</w:t>
      </w:r>
      <w:r w:rsidRPr="00216A72" w:rsidR="00357551">
        <w:t xml:space="preserve"> (</w:t>
      </w:r>
      <w:r w:rsidRPr="00216A72" w:rsidR="00357551">
        <w:rPr>
          <w:i/>
        </w:rPr>
        <w:t>2.5 GHz Report and Order</w:t>
      </w:r>
      <w:r w:rsidRPr="00216A72" w:rsidR="00357551">
        <w:t>)</w:t>
      </w:r>
      <w:r w:rsidRPr="00216A72">
        <w:t>.</w:t>
      </w:r>
    </w:p>
  </w:footnote>
  <w:footnote w:id="12">
    <w:p w:rsidR="00357551" w:rsidRPr="00216A72" w:rsidP="00357551" w14:paraId="371B5D3B" w14:textId="13CAA6FD">
      <w:pPr>
        <w:pStyle w:val="FootnoteText"/>
      </w:pPr>
      <w:r w:rsidRPr="00216A72">
        <w:rPr>
          <w:rStyle w:val="FootnoteReference"/>
        </w:rPr>
        <w:footnoteRef/>
      </w:r>
      <w:r w:rsidRPr="00216A72">
        <w:t xml:space="preserve"> </w:t>
      </w:r>
      <w:r w:rsidR="00945999">
        <w:rPr>
          <w:i/>
        </w:rPr>
        <w:t>Id.</w:t>
      </w:r>
      <w:r w:rsidRPr="00216A72">
        <w:rPr>
          <w:i/>
        </w:rPr>
        <w:t xml:space="preserve"> </w:t>
      </w:r>
      <w:r w:rsidRPr="00216A72">
        <w:t>at paras. 15-25.</w:t>
      </w:r>
    </w:p>
  </w:footnote>
  <w:footnote w:id="13">
    <w:p w:rsidR="00357551" w:rsidRPr="00216A72" w:rsidP="00357551" w14:paraId="2FD47ED8" w14:textId="2DD099BE">
      <w:pPr>
        <w:pStyle w:val="FootnoteText"/>
      </w:pPr>
      <w:r w:rsidRPr="00216A72">
        <w:rPr>
          <w:rStyle w:val="FootnoteReference"/>
        </w:rPr>
        <w:footnoteRef/>
      </w:r>
      <w:r w:rsidRPr="00216A72">
        <w:t xml:space="preserve"> </w:t>
      </w:r>
      <w:r w:rsidR="00870EF3">
        <w:rPr>
          <w:i/>
        </w:rPr>
        <w:t>Id.</w:t>
      </w:r>
      <w:r w:rsidRPr="00216A72">
        <w:rPr>
          <w:i/>
        </w:rPr>
        <w:t xml:space="preserve"> </w:t>
      </w:r>
      <w:r w:rsidRPr="00216A72">
        <w:t>at paras. 26-31.</w:t>
      </w:r>
    </w:p>
  </w:footnote>
  <w:footnote w:id="14">
    <w:p w:rsidR="00357551" w:rsidRPr="00216A72" w:rsidP="00357551" w14:paraId="0612F937" w14:textId="7B7732F7">
      <w:pPr>
        <w:pStyle w:val="FootnoteText"/>
      </w:pPr>
      <w:r w:rsidRPr="00216A72">
        <w:rPr>
          <w:rStyle w:val="FootnoteReference"/>
        </w:rPr>
        <w:footnoteRef/>
      </w:r>
      <w:r w:rsidRPr="00216A72">
        <w:t xml:space="preserve"> </w:t>
      </w:r>
      <w:r w:rsidR="00870EF3">
        <w:rPr>
          <w:i/>
        </w:rPr>
        <w:t>Id.</w:t>
      </w:r>
      <w:r w:rsidRPr="00216A72">
        <w:rPr>
          <w:i/>
        </w:rPr>
        <w:t xml:space="preserve"> </w:t>
      </w:r>
      <w:r w:rsidRPr="00216A72">
        <w:t>at paras. 32-35.</w:t>
      </w:r>
    </w:p>
  </w:footnote>
  <w:footnote w:id="15">
    <w:p w:rsidR="000E7686" w:rsidRPr="00216A72" w:rsidP="00DA3327" w14:paraId="1DBB6B57" w14:textId="02B2F1DD">
      <w:pPr>
        <w:pStyle w:val="FootnoteText"/>
      </w:pPr>
      <w:r w:rsidRPr="00216A72">
        <w:rPr>
          <w:rStyle w:val="FootnoteReference"/>
        </w:rPr>
        <w:footnoteRef/>
      </w:r>
      <w:r w:rsidRPr="00216A72">
        <w:t xml:space="preserve"> </w:t>
      </w:r>
      <w:r w:rsidR="00870EF3">
        <w:rPr>
          <w:i/>
        </w:rPr>
        <w:t>Id.</w:t>
      </w:r>
      <w:r w:rsidRPr="00216A72">
        <w:rPr>
          <w:i/>
        </w:rPr>
        <w:t xml:space="preserve"> </w:t>
      </w:r>
      <w:r w:rsidRPr="00216A72">
        <w:t>at paras. 47-65.</w:t>
      </w:r>
    </w:p>
  </w:footnote>
  <w:footnote w:id="16">
    <w:p w:rsidR="006C1D45" w:rsidRPr="00216A72" w:rsidP="00DA3327" w14:paraId="50CE811A" w14:textId="6278CAFF">
      <w:pPr>
        <w:pStyle w:val="FootnoteText"/>
      </w:pPr>
      <w:r w:rsidRPr="00216A72">
        <w:rPr>
          <w:rStyle w:val="FootnoteReference"/>
        </w:rPr>
        <w:footnoteRef/>
      </w:r>
      <w:r w:rsidRPr="00216A72">
        <w:t xml:space="preserve"> </w:t>
      </w:r>
      <w:r w:rsidR="00870EF3">
        <w:rPr>
          <w:i/>
        </w:rPr>
        <w:t>Id.</w:t>
      </w:r>
      <w:r w:rsidRPr="00216A72">
        <w:rPr>
          <w:i/>
        </w:rPr>
        <w:t xml:space="preserve"> </w:t>
      </w:r>
      <w:r w:rsidRPr="00216A72">
        <w:t>at paras. 93-</w:t>
      </w:r>
      <w:r w:rsidR="000C332E">
        <w:t>100</w:t>
      </w:r>
      <w:r w:rsidRPr="00216A72">
        <w:t>.</w:t>
      </w:r>
    </w:p>
  </w:footnote>
  <w:footnote w:id="17">
    <w:p w:rsidR="000E7686" w:rsidRPr="00216A72" w:rsidP="00FD285C" w14:paraId="1D3BA281" w14:textId="67DF499A">
      <w:pPr>
        <w:pStyle w:val="FootnoteText"/>
      </w:pPr>
      <w:r w:rsidRPr="00216A72">
        <w:rPr>
          <w:rStyle w:val="FootnoteReference"/>
        </w:rPr>
        <w:footnoteRef/>
      </w:r>
      <w:r w:rsidRPr="00216A72">
        <w:t xml:space="preserve"> </w:t>
      </w:r>
      <w:r w:rsidR="00870EF3">
        <w:rPr>
          <w:i/>
        </w:rPr>
        <w:t>Id.</w:t>
      </w:r>
      <w:r w:rsidRPr="00216A72">
        <w:rPr>
          <w:i/>
        </w:rPr>
        <w:t xml:space="preserve"> </w:t>
      </w:r>
      <w:r w:rsidRPr="00216A72">
        <w:t>at paras. 87-92.</w:t>
      </w:r>
    </w:p>
  </w:footnote>
  <w:footnote w:id="18">
    <w:p w:rsidR="000E7686" w:rsidRPr="00216A72" w:rsidP="00FD285C" w14:paraId="13D60376" w14:textId="09205E8B">
      <w:pPr>
        <w:pStyle w:val="FootnoteText"/>
      </w:pPr>
      <w:r w:rsidRPr="00216A72">
        <w:rPr>
          <w:rStyle w:val="FootnoteReference"/>
        </w:rPr>
        <w:footnoteRef/>
      </w:r>
      <w:r w:rsidRPr="00216A72">
        <w:t xml:space="preserve"> </w:t>
      </w:r>
      <w:r w:rsidR="00870EF3">
        <w:rPr>
          <w:i/>
        </w:rPr>
        <w:t>Id.</w:t>
      </w:r>
      <w:r w:rsidRPr="00216A72">
        <w:rPr>
          <w:i/>
        </w:rPr>
        <w:t xml:space="preserve"> </w:t>
      </w:r>
      <w:r w:rsidRPr="00216A72">
        <w:t>at paras. 100-112.</w:t>
      </w:r>
    </w:p>
  </w:footnote>
  <w:footnote w:id="19">
    <w:p w:rsidR="00FD285C" w:rsidRPr="00216A72" w:rsidP="00FD285C" w14:paraId="144F7C1E" w14:textId="77777777">
      <w:pPr>
        <w:pStyle w:val="FootnoteText"/>
      </w:pPr>
      <w:r w:rsidRPr="00216A72">
        <w:rPr>
          <w:rStyle w:val="FootnoteReference"/>
        </w:rPr>
        <w:footnoteRef/>
      </w:r>
      <w:r w:rsidRPr="00216A72">
        <w:t xml:space="preserve"> Waiver Request at 2.</w:t>
      </w:r>
    </w:p>
  </w:footnote>
  <w:footnote w:id="20">
    <w:p w:rsidR="00FD285C" w:rsidRPr="00216A72" w:rsidP="00FD285C" w14:paraId="485951DB" w14:textId="7D2E7D5A">
      <w:pPr>
        <w:pStyle w:val="FootnoteText"/>
      </w:pPr>
      <w:r w:rsidRPr="00216A72">
        <w:rPr>
          <w:rStyle w:val="FootnoteReference"/>
        </w:rPr>
        <w:footnoteRef/>
      </w:r>
      <w:r w:rsidRPr="00216A72">
        <w:t xml:space="preserve"> </w:t>
      </w:r>
      <w:r w:rsidRPr="00870EF3" w:rsidR="00870EF3">
        <w:rPr>
          <w:i/>
        </w:rPr>
        <w:t>Id.</w:t>
      </w:r>
      <w:r w:rsidR="00870EF3">
        <w:t xml:space="preserve"> </w:t>
      </w:r>
      <w:r w:rsidRPr="00216A72">
        <w:t>at 2.</w:t>
      </w:r>
    </w:p>
  </w:footnote>
  <w:footnote w:id="21">
    <w:p w:rsidR="00FD285C" w:rsidRPr="00216A72" w:rsidP="00FD285C" w14:paraId="25A618ED" w14:textId="404EEF0D">
      <w:pPr>
        <w:pStyle w:val="FootnoteText"/>
      </w:pPr>
      <w:r w:rsidRPr="00216A72">
        <w:rPr>
          <w:rStyle w:val="FootnoteReference"/>
        </w:rPr>
        <w:footnoteRef/>
      </w:r>
      <w:r w:rsidRPr="00216A72">
        <w:t xml:space="preserve"> </w:t>
      </w:r>
      <w:r w:rsidRPr="00870EF3" w:rsidR="00870EF3">
        <w:rPr>
          <w:i/>
        </w:rPr>
        <w:t>Id</w:t>
      </w:r>
      <w:r w:rsidR="00870EF3">
        <w:t>.</w:t>
      </w:r>
      <w:r w:rsidRPr="00216A72">
        <w:t xml:space="preserve"> at 2.</w:t>
      </w:r>
    </w:p>
  </w:footnote>
  <w:footnote w:id="22">
    <w:p w:rsidR="00FD285C" w:rsidRPr="00216A72" w:rsidP="00FD285C" w14:paraId="7016F1D2" w14:textId="00477CEB">
      <w:pPr>
        <w:pStyle w:val="FootnoteText"/>
      </w:pPr>
      <w:r w:rsidRPr="00216A72">
        <w:rPr>
          <w:rStyle w:val="FootnoteReference"/>
        </w:rPr>
        <w:footnoteRef/>
      </w:r>
      <w:r w:rsidRPr="00216A72">
        <w:t xml:space="preserve"> </w:t>
      </w:r>
      <w:r w:rsidRPr="00870EF3" w:rsidR="00870EF3">
        <w:rPr>
          <w:i/>
        </w:rPr>
        <w:t>Id.</w:t>
      </w:r>
      <w:r w:rsidRPr="00216A72">
        <w:t xml:space="preserve"> at 2-3.</w:t>
      </w:r>
    </w:p>
  </w:footnote>
  <w:footnote w:id="23">
    <w:p w:rsidR="00FD285C" w:rsidRPr="00216A72" w:rsidP="00FD285C" w14:paraId="3B47E832" w14:textId="10BCFCC4">
      <w:pPr>
        <w:pStyle w:val="FootnoteText"/>
      </w:pPr>
      <w:r w:rsidRPr="00216A72">
        <w:rPr>
          <w:rStyle w:val="FootnoteReference"/>
        </w:rPr>
        <w:footnoteRef/>
      </w:r>
      <w:r w:rsidRPr="00216A72">
        <w:t xml:space="preserve"> </w:t>
      </w:r>
      <w:r w:rsidRPr="00870EF3" w:rsidR="00870EF3">
        <w:rPr>
          <w:i/>
        </w:rPr>
        <w:t>Id.</w:t>
      </w:r>
      <w:r w:rsidRPr="00216A72">
        <w:t xml:space="preserve"> at 3.</w:t>
      </w:r>
    </w:p>
  </w:footnote>
  <w:footnote w:id="24">
    <w:p w:rsidR="00EE009B" w:rsidRPr="00216A72" w:rsidP="00EE009B" w14:paraId="50A39703" w14:textId="2A21FFD4">
      <w:pPr>
        <w:pStyle w:val="FootnoteText"/>
      </w:pPr>
      <w:r w:rsidRPr="00216A72">
        <w:rPr>
          <w:rStyle w:val="FootnoteReference"/>
        </w:rPr>
        <w:footnoteRef/>
      </w:r>
      <w:r w:rsidRPr="00216A72">
        <w:t xml:space="preserve"> </w:t>
      </w:r>
      <w:r w:rsidRPr="00870EF3" w:rsidR="00870EF3">
        <w:rPr>
          <w:i/>
        </w:rPr>
        <w:t>Id</w:t>
      </w:r>
      <w:r w:rsidR="00870EF3">
        <w:t>.</w:t>
      </w:r>
      <w:r w:rsidRPr="00216A72">
        <w:t xml:space="preserve"> at 3.</w:t>
      </w:r>
    </w:p>
  </w:footnote>
  <w:footnote w:id="25">
    <w:p w:rsidR="00643D56" w:rsidP="00903DF9" w14:paraId="2EE5278E" w14:textId="77777777">
      <w:pPr>
        <w:pStyle w:val="FootnoteText"/>
      </w:pPr>
      <w:r>
        <w:rPr>
          <w:rStyle w:val="FootnoteReference"/>
        </w:rPr>
        <w:footnoteRef/>
      </w:r>
      <w:r>
        <w:t xml:space="preserve"> Station B491.</w:t>
      </w:r>
    </w:p>
  </w:footnote>
  <w:footnote w:id="26">
    <w:p w:rsidR="0078227A" w:rsidRPr="00216A72" w:rsidP="00FD285C" w14:paraId="282B47C8" w14:textId="77777777">
      <w:pPr>
        <w:pStyle w:val="FootnoteText"/>
      </w:pPr>
      <w:r w:rsidRPr="00216A72">
        <w:rPr>
          <w:rStyle w:val="FootnoteReference"/>
        </w:rPr>
        <w:footnoteRef/>
      </w:r>
      <w:r w:rsidRPr="00216A72">
        <w:t xml:space="preserve"> </w:t>
      </w:r>
      <w:r w:rsidR="00903DF9">
        <w:t>O</w:t>
      </w:r>
      <w:r w:rsidRPr="00903DF9" w:rsidR="00903DF9">
        <w:t>n St. Croix, Viya is authorized to operate on the A-group channels, through an STA for station WQXS464; the B-group channels, through a lease agreement with Shekinah Network (Shekinah)</w:t>
      </w:r>
      <w:r w:rsidR="00903DF9">
        <w:t xml:space="preserve"> for </w:t>
      </w:r>
      <w:r w:rsidRPr="00216A72">
        <w:t>Station WND210</w:t>
      </w:r>
      <w:r w:rsidR="00903DF9">
        <w:t xml:space="preserve">; </w:t>
      </w:r>
      <w:r w:rsidRPr="00903DF9" w:rsidR="00903DF9">
        <w:t>the C and D-group channels, through an STA for station WQUT992, and the G-group channels, through an STA for station WQXS462</w:t>
      </w:r>
      <w:r w:rsidRPr="00216A72">
        <w:t>.</w:t>
      </w:r>
      <w:r w:rsidR="00903DF9">
        <w:t xml:space="preserve">  </w:t>
      </w:r>
      <w:r w:rsidRPr="00903DF9" w:rsidR="00903DF9">
        <w:t>On St. Thomas and St. John, Viya is authorized to operate on the A-group channels, through its own commercial EBS station WQCY880; the B-group channels, through an STA for station WQXS462; the C and D-group channels, through an STA for station WQUT992; and the G-group channels, through a lease agreement with Shekinah</w:t>
      </w:r>
      <w:r w:rsidR="00903DF9">
        <w:t xml:space="preserve"> for Station WNC892.</w:t>
      </w:r>
    </w:p>
  </w:footnote>
  <w:footnote w:id="27">
    <w:p w:rsidR="0040244B" w:rsidRPr="00216A72" w:rsidP="00486011" w14:paraId="1F6D8B4A" w14:textId="357FB33E">
      <w:pPr>
        <w:pStyle w:val="FootnoteText"/>
      </w:pPr>
      <w:r w:rsidRPr="00216A72">
        <w:rPr>
          <w:rStyle w:val="FootnoteReference"/>
        </w:rPr>
        <w:footnoteRef/>
      </w:r>
      <w:r w:rsidRPr="00216A72">
        <w:t xml:space="preserve"> </w:t>
      </w:r>
      <w:r w:rsidRPr="0094628D" w:rsidR="0053449D">
        <w:rPr>
          <w:i/>
        </w:rPr>
        <w:t>See</w:t>
      </w:r>
      <w:r w:rsidR="0053449D">
        <w:t xml:space="preserve"> </w:t>
      </w:r>
      <w:r w:rsidRPr="00216A72">
        <w:t>Waiver Request.</w:t>
      </w:r>
    </w:p>
  </w:footnote>
  <w:footnote w:id="28">
    <w:p w:rsidR="0040244B" w:rsidRPr="00216A72" w:rsidP="00486011" w14:paraId="4885623C" w14:textId="62F6E633">
      <w:pPr>
        <w:pStyle w:val="FootnoteText"/>
      </w:pPr>
      <w:r w:rsidRPr="00216A72">
        <w:rPr>
          <w:rStyle w:val="FootnoteReference"/>
        </w:rPr>
        <w:footnoteRef/>
      </w:r>
      <w:r w:rsidRPr="00216A72">
        <w:t xml:space="preserve"> </w:t>
      </w:r>
      <w:r w:rsidRPr="00870EF3" w:rsidR="00870EF3">
        <w:rPr>
          <w:i/>
        </w:rPr>
        <w:t>Id</w:t>
      </w:r>
      <w:r w:rsidR="00870EF3">
        <w:t>.</w:t>
      </w:r>
      <w:r w:rsidRPr="00216A72">
        <w:t xml:space="preserve"> at 1-2 n.5.</w:t>
      </w:r>
    </w:p>
  </w:footnote>
  <w:footnote w:id="29">
    <w:p w:rsidR="004211A5" w:rsidRPr="004211A5" w:rsidP="0094628D" w14:paraId="40167528" w14:textId="77777777">
      <w:pPr>
        <w:pStyle w:val="FootnoteText"/>
      </w:pPr>
      <w:r>
        <w:rPr>
          <w:rStyle w:val="FootnoteReference"/>
        </w:rPr>
        <w:footnoteRef/>
      </w:r>
      <w:r>
        <w:t xml:space="preserve"> 47 CFR § 1.925.</w:t>
      </w:r>
    </w:p>
  </w:footnote>
  <w:footnote w:id="30">
    <w:p w:rsidR="00486011" w:rsidRPr="00216A72" w:rsidP="00486011" w14:paraId="389965CF" w14:textId="77777777">
      <w:pPr>
        <w:pStyle w:val="FootnoteText"/>
      </w:pPr>
      <w:r w:rsidRPr="00216A72">
        <w:rPr>
          <w:rStyle w:val="FootnoteReference"/>
        </w:rPr>
        <w:footnoteRef/>
      </w:r>
      <w:r w:rsidRPr="00216A72">
        <w:t xml:space="preserve"> Waiver Request at 1.</w:t>
      </w:r>
    </w:p>
  </w:footnote>
  <w:footnote w:id="31">
    <w:p w:rsidR="00486011" w:rsidRPr="00216A72" w:rsidP="00486011" w14:paraId="6FE38DB6" w14:textId="6C0EEADE">
      <w:pPr>
        <w:pStyle w:val="FootnoteText"/>
      </w:pPr>
      <w:r w:rsidRPr="00216A72">
        <w:rPr>
          <w:rStyle w:val="FootnoteReference"/>
        </w:rPr>
        <w:footnoteRef/>
      </w:r>
      <w:r w:rsidRPr="00216A72">
        <w:t xml:space="preserve"> </w:t>
      </w:r>
      <w:r w:rsidRPr="00870EF3" w:rsidR="00870EF3">
        <w:rPr>
          <w:i/>
        </w:rPr>
        <w:t>Id</w:t>
      </w:r>
      <w:r w:rsidR="00870EF3">
        <w:t>.</w:t>
      </w:r>
      <w:r w:rsidRPr="00216A72">
        <w:t xml:space="preserve"> at 1.</w:t>
      </w:r>
    </w:p>
  </w:footnote>
  <w:footnote w:id="32">
    <w:p w:rsidR="00486011" w:rsidRPr="00216A72" w:rsidP="00486011" w14:paraId="07C08551" w14:textId="565C61A7">
      <w:pPr>
        <w:pStyle w:val="FootnoteText"/>
      </w:pPr>
      <w:r w:rsidRPr="00216A72">
        <w:rPr>
          <w:rStyle w:val="FootnoteReference"/>
        </w:rPr>
        <w:footnoteRef/>
      </w:r>
      <w:r w:rsidRPr="00216A72">
        <w:t xml:space="preserve"> </w:t>
      </w:r>
      <w:r w:rsidRPr="00870EF3" w:rsidR="00870EF3">
        <w:rPr>
          <w:i/>
        </w:rPr>
        <w:t>Id</w:t>
      </w:r>
      <w:r w:rsidR="00870EF3">
        <w:t>.</w:t>
      </w:r>
      <w:r w:rsidRPr="00216A72">
        <w:t xml:space="preserve"> at 1.</w:t>
      </w:r>
    </w:p>
  </w:footnote>
  <w:footnote w:id="33">
    <w:p w:rsidR="00C32946" w:rsidP="00C32946" w14:paraId="7FC73430" w14:textId="711E3AF1">
      <w:pPr>
        <w:pStyle w:val="FootnoteText"/>
      </w:pPr>
      <w:r>
        <w:rPr>
          <w:rStyle w:val="FootnoteReference"/>
        </w:rPr>
        <w:footnoteRef/>
      </w:r>
      <w:r>
        <w:t xml:space="preserve">  </w:t>
      </w:r>
      <w:r w:rsidRPr="0094628D">
        <w:rPr>
          <w:i/>
        </w:rPr>
        <w:t>Wireless Telecommunications Bureau Market-Based Applications Accepted for Filing</w:t>
      </w:r>
      <w:r>
        <w:t xml:space="preserve">, Report No. 14158, </w:t>
      </w:r>
      <w:r w:rsidRPr="0094628D">
        <w:t>Public Notice</w:t>
      </w:r>
      <w:r w:rsidR="0050361A">
        <w:t xml:space="preserve"> at 5</w:t>
      </w:r>
      <w:r>
        <w:t xml:space="preserve"> (rel. June 26, 2019).</w:t>
      </w:r>
    </w:p>
  </w:footnote>
  <w:footnote w:id="34">
    <w:p w:rsidR="00495020" w:rsidRPr="00216A72" w:rsidP="00486011" w14:paraId="182A0562" w14:textId="77777777">
      <w:pPr>
        <w:pStyle w:val="FootnoteText"/>
      </w:pPr>
      <w:r w:rsidRPr="00216A72">
        <w:rPr>
          <w:rStyle w:val="FootnoteReference"/>
        </w:rPr>
        <w:footnoteRef/>
      </w:r>
      <w:r w:rsidRPr="00216A72">
        <w:t xml:space="preserve"> 47 CFR § 1.925(b)(3).</w:t>
      </w:r>
    </w:p>
  </w:footnote>
  <w:footnote w:id="35">
    <w:p w:rsidR="00C32946" w:rsidP="00C32946" w14:paraId="1F1D4277" w14:textId="77777777">
      <w:pPr>
        <w:pStyle w:val="FootnoteText"/>
      </w:pPr>
      <w:r>
        <w:rPr>
          <w:rStyle w:val="FootnoteReference"/>
        </w:rPr>
        <w:footnoteRef/>
      </w:r>
      <w:r>
        <w:t xml:space="preserve"> Waiver Request at 2.</w:t>
      </w:r>
    </w:p>
  </w:footnote>
  <w:footnote w:id="36">
    <w:p w:rsidR="00C32946" w:rsidP="00C32946" w14:paraId="408B9C1B" w14:textId="32689415">
      <w:pPr>
        <w:pStyle w:val="FootnoteText"/>
      </w:pPr>
      <w:r>
        <w:rPr>
          <w:rStyle w:val="FootnoteReference"/>
        </w:rPr>
        <w:footnoteRef/>
      </w:r>
      <w:r>
        <w:t xml:space="preserve"> </w:t>
      </w:r>
      <w:r w:rsidRPr="00870EF3" w:rsidR="00870EF3">
        <w:rPr>
          <w:i/>
        </w:rPr>
        <w:t>Id</w:t>
      </w:r>
      <w:r w:rsidR="00870EF3">
        <w:t>.</w:t>
      </w:r>
      <w:r>
        <w:t xml:space="preserve"> at 3.</w:t>
      </w:r>
    </w:p>
  </w:footnote>
  <w:footnote w:id="37">
    <w:p w:rsidR="00E12AC6" w:rsidRPr="00D3488B" w:rsidP="00971D00" w14:paraId="46F09F96" w14:textId="1392B8A5">
      <w:pPr>
        <w:pStyle w:val="FootnoteText"/>
      </w:pPr>
      <w:r>
        <w:rPr>
          <w:rStyle w:val="FootnoteReference"/>
        </w:rPr>
        <w:footnoteRef/>
      </w:r>
      <w:r>
        <w:t xml:space="preserve"> </w:t>
      </w:r>
      <w:r>
        <w:rPr>
          <w:i/>
        </w:rPr>
        <w:t>See</w:t>
      </w:r>
      <w:r>
        <w:t xml:space="preserve"> </w:t>
      </w:r>
      <w:r w:rsidRPr="00870EF3" w:rsidR="00870EF3">
        <w:rPr>
          <w:i/>
        </w:rPr>
        <w:t>id</w:t>
      </w:r>
      <w:r w:rsidR="00870EF3">
        <w:t>.</w:t>
      </w:r>
      <w:r>
        <w:t xml:space="preserve"> at 8-9.</w:t>
      </w:r>
    </w:p>
  </w:footnote>
  <w:footnote w:id="38">
    <w:p w:rsidR="00793416" w:rsidRPr="00216A72" w:rsidP="00793416" w14:paraId="182706ED" w14:textId="33E29262">
      <w:pPr>
        <w:pStyle w:val="FootnoteText"/>
      </w:pPr>
      <w:r w:rsidRPr="00216A72">
        <w:rPr>
          <w:rStyle w:val="FootnoteReference"/>
        </w:rPr>
        <w:footnoteRef/>
      </w:r>
      <w:r w:rsidRPr="00216A72">
        <w:t xml:space="preserve"> </w:t>
      </w:r>
      <w:r w:rsidRPr="00870EF3" w:rsidR="00870EF3">
        <w:rPr>
          <w:i/>
        </w:rPr>
        <w:t>Id</w:t>
      </w:r>
      <w:r w:rsidR="00870EF3">
        <w:t>.</w:t>
      </w:r>
      <w:r w:rsidRPr="00216A72">
        <w:t xml:space="preserve"> at 2.</w:t>
      </w:r>
    </w:p>
  </w:footnote>
  <w:footnote w:id="39">
    <w:p w:rsidR="00793416" w:rsidRPr="00216A72" w:rsidP="00793416" w14:paraId="2C4165E0" w14:textId="4295E5C0">
      <w:pPr>
        <w:pStyle w:val="FootnoteText"/>
      </w:pPr>
      <w:r w:rsidRPr="00216A72">
        <w:rPr>
          <w:rStyle w:val="FootnoteReference"/>
        </w:rPr>
        <w:footnoteRef/>
      </w:r>
      <w:r w:rsidRPr="00216A72">
        <w:t xml:space="preserve"> </w:t>
      </w:r>
      <w:r w:rsidRPr="00870EF3" w:rsidR="00870EF3">
        <w:rPr>
          <w:i/>
        </w:rPr>
        <w:t>Id</w:t>
      </w:r>
      <w:r w:rsidR="00870EF3">
        <w:t>.</w:t>
      </w:r>
      <w:r w:rsidRPr="00216A72">
        <w:t xml:space="preserve"> at 2.</w:t>
      </w:r>
    </w:p>
  </w:footnote>
  <w:footnote w:id="40">
    <w:p w:rsidR="00793416" w:rsidRPr="00216A72" w:rsidP="00793416" w14:paraId="63EE098E" w14:textId="02742A2F">
      <w:pPr>
        <w:pStyle w:val="FootnoteText"/>
      </w:pPr>
      <w:r w:rsidRPr="00216A72">
        <w:rPr>
          <w:rStyle w:val="FootnoteReference"/>
        </w:rPr>
        <w:footnoteRef/>
      </w:r>
      <w:r w:rsidRPr="00216A72">
        <w:t xml:space="preserve"> </w:t>
      </w:r>
      <w:r w:rsidRPr="00870EF3" w:rsidR="00870EF3">
        <w:rPr>
          <w:i/>
        </w:rPr>
        <w:t>Id</w:t>
      </w:r>
      <w:r w:rsidR="00870EF3">
        <w:t>.</w:t>
      </w:r>
      <w:r w:rsidRPr="00216A72">
        <w:t xml:space="preserve"> at 2.</w:t>
      </w:r>
    </w:p>
  </w:footnote>
  <w:footnote w:id="41">
    <w:p w:rsidR="00793416" w:rsidRPr="00216A72" w:rsidP="00793416" w14:paraId="3DF17BDB" w14:textId="7E4D26C7">
      <w:pPr>
        <w:pStyle w:val="FootnoteText"/>
      </w:pPr>
      <w:r w:rsidRPr="00216A72">
        <w:rPr>
          <w:rStyle w:val="FootnoteReference"/>
        </w:rPr>
        <w:footnoteRef/>
      </w:r>
      <w:r w:rsidRPr="00216A72">
        <w:t xml:space="preserve"> </w:t>
      </w:r>
      <w:r w:rsidRPr="00870EF3" w:rsidR="00870EF3">
        <w:rPr>
          <w:i/>
        </w:rPr>
        <w:t>Id</w:t>
      </w:r>
      <w:r w:rsidR="00870EF3">
        <w:t>.</w:t>
      </w:r>
      <w:r w:rsidRPr="00216A72">
        <w:t xml:space="preserve"> at 2.</w:t>
      </w:r>
    </w:p>
  </w:footnote>
  <w:footnote w:id="42">
    <w:p w:rsidR="00793416" w:rsidRPr="00216A72" w:rsidP="00793416" w14:paraId="74295048" w14:textId="538FA3DC">
      <w:pPr>
        <w:pStyle w:val="FootnoteText"/>
      </w:pPr>
      <w:r w:rsidRPr="00216A72">
        <w:rPr>
          <w:rStyle w:val="FootnoteReference"/>
        </w:rPr>
        <w:footnoteRef/>
      </w:r>
      <w:r w:rsidRPr="00216A72">
        <w:t xml:space="preserve"> </w:t>
      </w:r>
      <w:r w:rsidRPr="00870EF3" w:rsidR="00870EF3">
        <w:rPr>
          <w:i/>
        </w:rPr>
        <w:t>Id</w:t>
      </w:r>
      <w:r w:rsidR="00870EF3">
        <w:t>.</w:t>
      </w:r>
      <w:r w:rsidRPr="00216A72">
        <w:t xml:space="preserve"> at 2.</w:t>
      </w:r>
    </w:p>
  </w:footnote>
  <w:footnote w:id="43">
    <w:p w:rsidR="00793416" w:rsidRPr="00216A72" w:rsidP="00793416" w14:paraId="6FF9BE2F" w14:textId="77777777">
      <w:pPr>
        <w:pStyle w:val="FootnoteText"/>
      </w:pPr>
      <w:r w:rsidRPr="00216A72">
        <w:rPr>
          <w:rStyle w:val="FootnoteReference"/>
        </w:rPr>
        <w:footnoteRef/>
      </w:r>
      <w:r w:rsidRPr="00216A72">
        <w:t xml:space="preserve"> </w:t>
      </w:r>
      <w:r w:rsidRPr="00632130" w:rsidR="0083372C">
        <w:rPr>
          <w:i/>
        </w:rPr>
        <w:t>See</w:t>
      </w:r>
      <w:r w:rsidR="0083372C">
        <w:t xml:space="preserve"> para. 5, </w:t>
      </w:r>
      <w:r w:rsidR="0083372C">
        <w:rPr>
          <w:i/>
        </w:rPr>
        <w:t>supra</w:t>
      </w:r>
      <w:r w:rsidR="0083372C">
        <w:t>,</w:t>
      </w:r>
      <w:r w:rsidR="0083372C">
        <w:rPr>
          <w:i/>
        </w:rPr>
        <w:t xml:space="preserve"> </w:t>
      </w:r>
      <w:r w:rsidRPr="0083372C">
        <w:t>Waiver</w:t>
      </w:r>
      <w:r w:rsidRPr="00216A72">
        <w:t xml:space="preserve"> Request at 2.</w:t>
      </w:r>
    </w:p>
  </w:footnote>
  <w:footnote w:id="44">
    <w:p w:rsidR="00446312" w:rsidRPr="00480DF7" w:rsidP="00480DF7" w14:paraId="5B01FDCB" w14:textId="77777777">
      <w:pPr>
        <w:autoSpaceDE w:val="0"/>
        <w:autoSpaceDN w:val="0"/>
        <w:adjustRightInd w:val="0"/>
        <w:spacing w:after="120"/>
        <w:rPr>
          <w:sz w:val="20"/>
        </w:rPr>
      </w:pPr>
      <w:r w:rsidRPr="00216A72">
        <w:rPr>
          <w:rStyle w:val="FootnoteReference"/>
        </w:rPr>
        <w:footnoteRef/>
      </w:r>
      <w:r w:rsidRPr="00216A72">
        <w:rPr>
          <w:sz w:val="20"/>
        </w:rPr>
        <w:t xml:space="preserve"> </w:t>
      </w:r>
      <w:r w:rsidRPr="00216A72">
        <w:rPr>
          <w:i/>
          <w:iCs/>
          <w:sz w:val="20"/>
        </w:rPr>
        <w:t>See, e.g.</w:t>
      </w:r>
      <w:r w:rsidRPr="00216A72">
        <w:rPr>
          <w:iCs/>
          <w:sz w:val="20"/>
        </w:rPr>
        <w:t>,</w:t>
      </w:r>
      <w:r w:rsidRPr="00216A72">
        <w:rPr>
          <w:i/>
          <w:iCs/>
          <w:sz w:val="20"/>
        </w:rPr>
        <w:t xml:space="preserve"> The Board of Trustees of Northern Michigan University</w:t>
      </w:r>
      <w:r w:rsidRPr="00216A72">
        <w:rPr>
          <w:sz w:val="20"/>
        </w:rPr>
        <w:t xml:space="preserve">, Memorandum Opinion and Order, </w:t>
      </w:r>
      <w:r w:rsidR="0083372C">
        <w:rPr>
          <w:sz w:val="20"/>
        </w:rPr>
        <w:t xml:space="preserve">DA 19-687 (WTB rel. July 22, 2019); </w:t>
      </w:r>
      <w:r w:rsidR="0083372C">
        <w:rPr>
          <w:i/>
          <w:sz w:val="20"/>
        </w:rPr>
        <w:t>Kings County Superintendent of Schools</w:t>
      </w:r>
      <w:r w:rsidR="0083372C">
        <w:rPr>
          <w:sz w:val="20"/>
        </w:rPr>
        <w:t>, Memorandum Opinion and Order, 34 FCC Rcd 3226 (WTB 2019).</w:t>
      </w:r>
    </w:p>
  </w:footnote>
  <w:footnote w:id="45">
    <w:p w:rsidR="009F5785" w:rsidRPr="00216A72" w:rsidP="00B4585D" w14:paraId="76724429" w14:textId="77777777">
      <w:pPr>
        <w:pStyle w:val="FootnoteText"/>
      </w:pPr>
      <w:r w:rsidRPr="00216A72">
        <w:rPr>
          <w:rStyle w:val="FootnoteReference"/>
        </w:rPr>
        <w:footnoteRef/>
      </w:r>
      <w:r w:rsidRPr="00216A72">
        <w:t xml:space="preserve"> </w:t>
      </w:r>
      <w:r w:rsidRPr="00216A72" w:rsidR="00AD011E">
        <w:t>VIYA</w:t>
      </w:r>
      <w:r w:rsidRPr="00216A72">
        <w:t xml:space="preserve"> has not requested authorization for any EBS spectrum already authorized to another entity.  </w:t>
      </w:r>
      <w:r w:rsidRPr="00216A72" w:rsidR="00C349D7">
        <w:t xml:space="preserve">Waiver Request at </w:t>
      </w:r>
      <w:r w:rsidR="003D442C">
        <w:t>1 n.5</w:t>
      </w:r>
      <w:r w:rsidRPr="00216A72" w:rsidR="00C349D7">
        <w:t>.</w:t>
      </w:r>
    </w:p>
  </w:footnote>
  <w:footnote w:id="46">
    <w:p w:rsidR="009F5785" w:rsidRPr="00216A72" w:rsidP="00B4585D" w14:paraId="6100FF4E" w14:textId="77777777">
      <w:pPr>
        <w:pStyle w:val="FootnoteText"/>
      </w:pPr>
      <w:r w:rsidRPr="00216A72">
        <w:rPr>
          <w:rStyle w:val="FootnoteReference"/>
        </w:rPr>
        <w:footnoteRef/>
      </w:r>
      <w:r w:rsidRPr="00216A72">
        <w:t xml:space="preserve">  47 CFR § 27.14(o).</w:t>
      </w:r>
    </w:p>
  </w:footnote>
  <w:footnote w:id="47">
    <w:p w:rsidR="00495020" w:rsidRPr="00216A72" w:rsidP="00B4585D" w14:paraId="7E4F4EAA" w14:textId="77777777">
      <w:pPr>
        <w:pStyle w:val="FootnoteText"/>
      </w:pPr>
      <w:r w:rsidRPr="00216A72">
        <w:rPr>
          <w:rStyle w:val="FootnoteReference"/>
        </w:rPr>
        <w:footnoteRef/>
      </w:r>
      <w:r w:rsidRPr="00216A72">
        <w:t xml:space="preserve"> </w:t>
      </w:r>
      <w:r w:rsidRPr="00216A72" w:rsidR="00304622">
        <w:t xml:space="preserve"> </w:t>
      </w:r>
      <w:r w:rsidRPr="00216A72">
        <w:t>47 CFR § 1.913(b).</w:t>
      </w:r>
    </w:p>
  </w:footnote>
  <w:footnote w:id="48">
    <w:p w:rsidR="000154D7" w:rsidRPr="00216A72" w:rsidP="004504FC" w14:paraId="4389CF36" w14:textId="77777777">
      <w:pPr>
        <w:pStyle w:val="FootnoteText"/>
      </w:pPr>
      <w:r w:rsidRPr="00216A72">
        <w:rPr>
          <w:rStyle w:val="FootnoteReference"/>
        </w:rPr>
        <w:footnoteRef/>
      </w:r>
      <w:r w:rsidRPr="00216A72">
        <w:t xml:space="preserve"> </w:t>
      </w:r>
      <w:r w:rsidRPr="00216A72">
        <w:rPr>
          <w:i/>
        </w:rPr>
        <w:t xml:space="preserve">2.5 GHz Report and Order </w:t>
      </w:r>
      <w:r w:rsidRPr="00216A72">
        <w:t>at paras. 26-31.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1559" w14:paraId="25F037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020" w14:paraId="08B6545D" w14:textId="49ACE71F">
    <w:pPr>
      <w:pStyle w:val="Header"/>
      <w:rPr>
        <w:b w:val="0"/>
        <w:szCs w:val="22"/>
      </w:rPr>
    </w:pPr>
    <w:r>
      <w:tab/>
    </w:r>
    <w:r>
      <w:rPr>
        <w:szCs w:val="22"/>
      </w:rPr>
      <w:t>Federal C</w:t>
    </w:r>
    <w:r w:rsidR="006C1D51">
      <w:rPr>
        <w:szCs w:val="22"/>
      </w:rPr>
      <w:t>ommunications Commission</w:t>
    </w:r>
    <w:r w:rsidR="006C1D51">
      <w:rPr>
        <w:szCs w:val="22"/>
      </w:rPr>
      <w:tab/>
      <w:t>DA 1</w:t>
    </w:r>
    <w:r w:rsidR="00C03D6E">
      <w:rPr>
        <w:szCs w:val="22"/>
      </w:rPr>
      <w:t>9</w:t>
    </w:r>
    <w:r w:rsidR="006C1D51">
      <w:rPr>
        <w:szCs w:val="22"/>
      </w:rPr>
      <w:t>-</w:t>
    </w:r>
    <w:r w:rsidR="00CB65B6">
      <w:rPr>
        <w:szCs w:val="22"/>
      </w:rPr>
      <w:t>874</w:t>
    </w:r>
    <w:r>
      <w:rPr>
        <w:szCs w:val="22"/>
      </w:rPr>
      <w:t xml:space="preserve"> </w:t>
    </w:r>
  </w:p>
  <w:p w:rsidR="00495020" w14:paraId="55CF2FE0" w14:textId="77777777">
    <w:pPr>
      <w:pStyle w:val="Header"/>
      <w:rPr>
        <w:szCs w:val="22"/>
      </w:rPr>
    </w:pPr>
    <w:r>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49"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p w:rsidR="00495020" w14:paraId="086C982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5020" w14:paraId="3C7502EF" w14:textId="254B80FE">
    <w:pPr>
      <w:pStyle w:val="Header"/>
      <w:rPr>
        <w:b w:val="0"/>
        <w:szCs w:val="22"/>
      </w:rPr>
    </w:pPr>
    <w:r>
      <w:rPr>
        <w:szCs w:val="22"/>
      </w:rPr>
      <w:tab/>
      <w:t>Federal Communications Commission</w:t>
    </w:r>
    <w:r>
      <w:rPr>
        <w:szCs w:val="22"/>
      </w:rPr>
      <w:tab/>
    </w:r>
    <w:r w:rsidR="006C1D51">
      <w:rPr>
        <w:szCs w:val="22"/>
      </w:rPr>
      <w:t xml:space="preserve">DA </w:t>
    </w:r>
    <w:r w:rsidR="006C1D51">
      <w:rPr>
        <w:szCs w:val="22"/>
      </w:rPr>
      <w:t>1</w:t>
    </w:r>
    <w:r w:rsidR="00C829CE">
      <w:rPr>
        <w:szCs w:val="22"/>
      </w:rPr>
      <w:t>9</w:t>
    </w:r>
    <w:r w:rsidR="006C1D51">
      <w:rPr>
        <w:szCs w:val="22"/>
      </w:rPr>
      <w:t>-</w:t>
    </w:r>
    <w:r w:rsidR="000B1559">
      <w:rPr>
        <w:szCs w:val="22"/>
      </w:rPr>
      <w:t>874</w:t>
    </w:r>
    <w:bookmarkStart w:id="1" w:name="_GoBack"/>
    <w:bookmarkEnd w:id="1"/>
  </w:p>
  <w:p w:rsidR="00495020" w14:paraId="6FFE63E9" w14:textId="77777777">
    <w:pPr>
      <w:pStyle w:val="Header"/>
      <w:rPr>
        <w:szCs w:val="22"/>
      </w:rPr>
    </w:pPr>
    <w:r>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495020" w14:paraId="0D4BE0B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6C35A40"/>
    <w:multiLevelType w:val="hybridMultilevel"/>
    <w:tmpl w:val="3C0627F2"/>
    <w:lvl w:ilvl="0">
      <w:start w:val="1"/>
      <w:numFmt w:val="decimal"/>
      <w:lvlText w:val="%1."/>
      <w:lvlJc w:val="left"/>
      <w:pPr>
        <w:tabs>
          <w:tab w:val="num" w:pos="990"/>
        </w:tabs>
        <w:ind w:left="-90" w:firstLine="720"/>
      </w:pPr>
      <w:rPr>
        <w:rFonts w:hint="default"/>
        <w:b w:val="0"/>
      </w:rPr>
    </w:lvl>
    <w:lvl w:ilvl="1">
      <w:start w:val="1"/>
      <w:numFmt w:val="decimal"/>
      <w:lvlText w:val="%2."/>
      <w:lvlJc w:val="left"/>
      <w:pPr>
        <w:tabs>
          <w:tab w:val="num" w:pos="2160"/>
        </w:tabs>
        <w:ind w:left="1080" w:firstLine="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FD"/>
    <w:rsid w:val="00001B6D"/>
    <w:rsid w:val="00012B1E"/>
    <w:rsid w:val="00015335"/>
    <w:rsid w:val="000154D7"/>
    <w:rsid w:val="000177CB"/>
    <w:rsid w:val="0002421F"/>
    <w:rsid w:val="00033D6E"/>
    <w:rsid w:val="0003544B"/>
    <w:rsid w:val="00054408"/>
    <w:rsid w:val="00062C46"/>
    <w:rsid w:val="0007109C"/>
    <w:rsid w:val="000903AA"/>
    <w:rsid w:val="00091F87"/>
    <w:rsid w:val="0009664A"/>
    <w:rsid w:val="000A0AD3"/>
    <w:rsid w:val="000A110E"/>
    <w:rsid w:val="000A137A"/>
    <w:rsid w:val="000B1559"/>
    <w:rsid w:val="000C0066"/>
    <w:rsid w:val="000C332E"/>
    <w:rsid w:val="000C7358"/>
    <w:rsid w:val="000D14BF"/>
    <w:rsid w:val="000D2430"/>
    <w:rsid w:val="000D26D6"/>
    <w:rsid w:val="000D5FA7"/>
    <w:rsid w:val="000E7686"/>
    <w:rsid w:val="000F0319"/>
    <w:rsid w:val="000F03B2"/>
    <w:rsid w:val="00105683"/>
    <w:rsid w:val="00110A63"/>
    <w:rsid w:val="001248BC"/>
    <w:rsid w:val="00131D99"/>
    <w:rsid w:val="0013605C"/>
    <w:rsid w:val="00136DD2"/>
    <w:rsid w:val="0013704A"/>
    <w:rsid w:val="0014097F"/>
    <w:rsid w:val="0014237B"/>
    <w:rsid w:val="00145850"/>
    <w:rsid w:val="00146042"/>
    <w:rsid w:val="00154C1C"/>
    <w:rsid w:val="00156FA0"/>
    <w:rsid w:val="00165C69"/>
    <w:rsid w:val="00175A05"/>
    <w:rsid w:val="00181D7D"/>
    <w:rsid w:val="00184244"/>
    <w:rsid w:val="00186950"/>
    <w:rsid w:val="0019169F"/>
    <w:rsid w:val="00191F24"/>
    <w:rsid w:val="00192146"/>
    <w:rsid w:val="001A3821"/>
    <w:rsid w:val="001B03D4"/>
    <w:rsid w:val="001B4FBC"/>
    <w:rsid w:val="001C3E0D"/>
    <w:rsid w:val="001C6C6B"/>
    <w:rsid w:val="001D152A"/>
    <w:rsid w:val="001D26EE"/>
    <w:rsid w:val="001D42DB"/>
    <w:rsid w:val="001E094A"/>
    <w:rsid w:val="001F5201"/>
    <w:rsid w:val="00200FF6"/>
    <w:rsid w:val="0021496C"/>
    <w:rsid w:val="00216A72"/>
    <w:rsid w:val="00224991"/>
    <w:rsid w:val="002278A7"/>
    <w:rsid w:val="00230B62"/>
    <w:rsid w:val="0023493F"/>
    <w:rsid w:val="00234F93"/>
    <w:rsid w:val="0024107D"/>
    <w:rsid w:val="00243D4E"/>
    <w:rsid w:val="00244205"/>
    <w:rsid w:val="00254CF6"/>
    <w:rsid w:val="002631E0"/>
    <w:rsid w:val="00266E32"/>
    <w:rsid w:val="002853B6"/>
    <w:rsid w:val="002878E7"/>
    <w:rsid w:val="002A1A73"/>
    <w:rsid w:val="002A4F10"/>
    <w:rsid w:val="002B028D"/>
    <w:rsid w:val="002B595D"/>
    <w:rsid w:val="002B7774"/>
    <w:rsid w:val="002C4029"/>
    <w:rsid w:val="002C67CD"/>
    <w:rsid w:val="002E60D3"/>
    <w:rsid w:val="002F0A63"/>
    <w:rsid w:val="002F6CEC"/>
    <w:rsid w:val="0030046C"/>
    <w:rsid w:val="00304622"/>
    <w:rsid w:val="00315BB9"/>
    <w:rsid w:val="00320C16"/>
    <w:rsid w:val="003251CA"/>
    <w:rsid w:val="003265E8"/>
    <w:rsid w:val="003266DC"/>
    <w:rsid w:val="00340CFD"/>
    <w:rsid w:val="00346B52"/>
    <w:rsid w:val="00357014"/>
    <w:rsid w:val="00357551"/>
    <w:rsid w:val="00371EA8"/>
    <w:rsid w:val="00381DC2"/>
    <w:rsid w:val="00383B08"/>
    <w:rsid w:val="0039289B"/>
    <w:rsid w:val="00393806"/>
    <w:rsid w:val="003A1F43"/>
    <w:rsid w:val="003A37B2"/>
    <w:rsid w:val="003A4E96"/>
    <w:rsid w:val="003B20FB"/>
    <w:rsid w:val="003B4412"/>
    <w:rsid w:val="003C2EA2"/>
    <w:rsid w:val="003D442C"/>
    <w:rsid w:val="003D6D29"/>
    <w:rsid w:val="003D74AD"/>
    <w:rsid w:val="003E2B57"/>
    <w:rsid w:val="003E48C9"/>
    <w:rsid w:val="003F1B21"/>
    <w:rsid w:val="003F2BA1"/>
    <w:rsid w:val="003F31DD"/>
    <w:rsid w:val="0040064C"/>
    <w:rsid w:val="0040244B"/>
    <w:rsid w:val="0040630D"/>
    <w:rsid w:val="00406483"/>
    <w:rsid w:val="00406CAC"/>
    <w:rsid w:val="0041452F"/>
    <w:rsid w:val="00415FA6"/>
    <w:rsid w:val="00420420"/>
    <w:rsid w:val="004211A5"/>
    <w:rsid w:val="0042213D"/>
    <w:rsid w:val="004246C4"/>
    <w:rsid w:val="004444EF"/>
    <w:rsid w:val="00446312"/>
    <w:rsid w:val="004504FC"/>
    <w:rsid w:val="00456F8A"/>
    <w:rsid w:val="00457F41"/>
    <w:rsid w:val="00465BD8"/>
    <w:rsid w:val="0046629E"/>
    <w:rsid w:val="004702BA"/>
    <w:rsid w:val="004777B7"/>
    <w:rsid w:val="00480DF7"/>
    <w:rsid w:val="00484652"/>
    <w:rsid w:val="004851EC"/>
    <w:rsid w:val="00486011"/>
    <w:rsid w:val="00495020"/>
    <w:rsid w:val="004A10CB"/>
    <w:rsid w:val="004A1F0B"/>
    <w:rsid w:val="004A2809"/>
    <w:rsid w:val="004A3B0E"/>
    <w:rsid w:val="004B17B2"/>
    <w:rsid w:val="004B685B"/>
    <w:rsid w:val="004C3BFD"/>
    <w:rsid w:val="004C4CD1"/>
    <w:rsid w:val="004D72D5"/>
    <w:rsid w:val="004E21FB"/>
    <w:rsid w:val="004E2690"/>
    <w:rsid w:val="004E4425"/>
    <w:rsid w:val="004E6933"/>
    <w:rsid w:val="004F0778"/>
    <w:rsid w:val="004F2188"/>
    <w:rsid w:val="004F38BD"/>
    <w:rsid w:val="004F6596"/>
    <w:rsid w:val="005012A4"/>
    <w:rsid w:val="005026D1"/>
    <w:rsid w:val="0050361A"/>
    <w:rsid w:val="00510625"/>
    <w:rsid w:val="00524237"/>
    <w:rsid w:val="005256E4"/>
    <w:rsid w:val="00530BCA"/>
    <w:rsid w:val="005317F6"/>
    <w:rsid w:val="005337DD"/>
    <w:rsid w:val="0053449D"/>
    <w:rsid w:val="00534FFF"/>
    <w:rsid w:val="00544D0C"/>
    <w:rsid w:val="005601CD"/>
    <w:rsid w:val="005661FA"/>
    <w:rsid w:val="005752AB"/>
    <w:rsid w:val="00577F85"/>
    <w:rsid w:val="0058063C"/>
    <w:rsid w:val="00594619"/>
    <w:rsid w:val="0059748D"/>
    <w:rsid w:val="005A3853"/>
    <w:rsid w:val="005B2B90"/>
    <w:rsid w:val="005B2F8F"/>
    <w:rsid w:val="005B53F4"/>
    <w:rsid w:val="005B5D4C"/>
    <w:rsid w:val="005B6509"/>
    <w:rsid w:val="005B7093"/>
    <w:rsid w:val="005D18FB"/>
    <w:rsid w:val="005D3168"/>
    <w:rsid w:val="005D44C0"/>
    <w:rsid w:val="00610713"/>
    <w:rsid w:val="006126B4"/>
    <w:rsid w:val="00612F38"/>
    <w:rsid w:val="006265AB"/>
    <w:rsid w:val="006302DC"/>
    <w:rsid w:val="00632130"/>
    <w:rsid w:val="00636E87"/>
    <w:rsid w:val="00640E4C"/>
    <w:rsid w:val="00643D56"/>
    <w:rsid w:val="00653AC1"/>
    <w:rsid w:val="00654A44"/>
    <w:rsid w:val="006639BD"/>
    <w:rsid w:val="00666A67"/>
    <w:rsid w:val="0067417D"/>
    <w:rsid w:val="006742B5"/>
    <w:rsid w:val="006803DF"/>
    <w:rsid w:val="00690245"/>
    <w:rsid w:val="00692097"/>
    <w:rsid w:val="006A0EED"/>
    <w:rsid w:val="006A2512"/>
    <w:rsid w:val="006A562B"/>
    <w:rsid w:val="006A6BC9"/>
    <w:rsid w:val="006C1056"/>
    <w:rsid w:val="006C169D"/>
    <w:rsid w:val="006C1D45"/>
    <w:rsid w:val="006C1D51"/>
    <w:rsid w:val="006D4A28"/>
    <w:rsid w:val="006E0647"/>
    <w:rsid w:val="006E0EF7"/>
    <w:rsid w:val="006E26C3"/>
    <w:rsid w:val="006E6195"/>
    <w:rsid w:val="006E70B4"/>
    <w:rsid w:val="006F4775"/>
    <w:rsid w:val="006F4A58"/>
    <w:rsid w:val="00701964"/>
    <w:rsid w:val="00706AE5"/>
    <w:rsid w:val="00710A7A"/>
    <w:rsid w:val="00711124"/>
    <w:rsid w:val="007142AB"/>
    <w:rsid w:val="00714992"/>
    <w:rsid w:val="007242BD"/>
    <w:rsid w:val="0072782B"/>
    <w:rsid w:val="00730B62"/>
    <w:rsid w:val="00736887"/>
    <w:rsid w:val="00740426"/>
    <w:rsid w:val="0074438D"/>
    <w:rsid w:val="00753D8C"/>
    <w:rsid w:val="00764A1C"/>
    <w:rsid w:val="00775A6F"/>
    <w:rsid w:val="0078227A"/>
    <w:rsid w:val="00787B11"/>
    <w:rsid w:val="00793416"/>
    <w:rsid w:val="00794323"/>
    <w:rsid w:val="00795FDE"/>
    <w:rsid w:val="00797C8A"/>
    <w:rsid w:val="007A12DA"/>
    <w:rsid w:val="007A25FB"/>
    <w:rsid w:val="007A69DB"/>
    <w:rsid w:val="007A7631"/>
    <w:rsid w:val="007A7B27"/>
    <w:rsid w:val="007A7C52"/>
    <w:rsid w:val="007B074D"/>
    <w:rsid w:val="007B78EC"/>
    <w:rsid w:val="007C0881"/>
    <w:rsid w:val="007C32AA"/>
    <w:rsid w:val="007D1E98"/>
    <w:rsid w:val="007D2230"/>
    <w:rsid w:val="007D251F"/>
    <w:rsid w:val="007E03B2"/>
    <w:rsid w:val="007E1877"/>
    <w:rsid w:val="007F09A4"/>
    <w:rsid w:val="0080011E"/>
    <w:rsid w:val="008029EA"/>
    <w:rsid w:val="00806F70"/>
    <w:rsid w:val="0081198A"/>
    <w:rsid w:val="00822BBB"/>
    <w:rsid w:val="008246EB"/>
    <w:rsid w:val="0083372C"/>
    <w:rsid w:val="0083432C"/>
    <w:rsid w:val="00836FC0"/>
    <w:rsid w:val="008414C3"/>
    <w:rsid w:val="0084378B"/>
    <w:rsid w:val="00847705"/>
    <w:rsid w:val="008569BD"/>
    <w:rsid w:val="008604C4"/>
    <w:rsid w:val="008627FF"/>
    <w:rsid w:val="00864DD1"/>
    <w:rsid w:val="00870EF3"/>
    <w:rsid w:val="00873D06"/>
    <w:rsid w:val="00875D7E"/>
    <w:rsid w:val="008850E1"/>
    <w:rsid w:val="008929AF"/>
    <w:rsid w:val="00893B9E"/>
    <w:rsid w:val="00896E7B"/>
    <w:rsid w:val="008B6E3B"/>
    <w:rsid w:val="008C3B24"/>
    <w:rsid w:val="008C51CE"/>
    <w:rsid w:val="008C5DEF"/>
    <w:rsid w:val="008D0D24"/>
    <w:rsid w:val="008D62D7"/>
    <w:rsid w:val="008E30BD"/>
    <w:rsid w:val="008E476B"/>
    <w:rsid w:val="00900ED0"/>
    <w:rsid w:val="00903DF9"/>
    <w:rsid w:val="00904B00"/>
    <w:rsid w:val="0091688C"/>
    <w:rsid w:val="009226F6"/>
    <w:rsid w:val="00935AD9"/>
    <w:rsid w:val="00935D06"/>
    <w:rsid w:val="0094063C"/>
    <w:rsid w:val="00944741"/>
    <w:rsid w:val="00945999"/>
    <w:rsid w:val="0094600A"/>
    <w:rsid w:val="0094628D"/>
    <w:rsid w:val="00954BF9"/>
    <w:rsid w:val="009618B1"/>
    <w:rsid w:val="009659A8"/>
    <w:rsid w:val="00965F41"/>
    <w:rsid w:val="0096623B"/>
    <w:rsid w:val="00971D00"/>
    <w:rsid w:val="009739C5"/>
    <w:rsid w:val="00974678"/>
    <w:rsid w:val="009759FB"/>
    <w:rsid w:val="00975EFC"/>
    <w:rsid w:val="00981905"/>
    <w:rsid w:val="00986AB6"/>
    <w:rsid w:val="009875EF"/>
    <w:rsid w:val="0099634C"/>
    <w:rsid w:val="009A0B73"/>
    <w:rsid w:val="009D0AAE"/>
    <w:rsid w:val="009D1222"/>
    <w:rsid w:val="009D126F"/>
    <w:rsid w:val="009D2E03"/>
    <w:rsid w:val="009F2346"/>
    <w:rsid w:val="009F5785"/>
    <w:rsid w:val="00A01759"/>
    <w:rsid w:val="00A12287"/>
    <w:rsid w:val="00A13652"/>
    <w:rsid w:val="00A14918"/>
    <w:rsid w:val="00A14CC8"/>
    <w:rsid w:val="00A16C78"/>
    <w:rsid w:val="00A4723D"/>
    <w:rsid w:val="00A53EAA"/>
    <w:rsid w:val="00A632F6"/>
    <w:rsid w:val="00A73892"/>
    <w:rsid w:val="00A77374"/>
    <w:rsid w:val="00A8113C"/>
    <w:rsid w:val="00A92C46"/>
    <w:rsid w:val="00A93A92"/>
    <w:rsid w:val="00A9590F"/>
    <w:rsid w:val="00AA137D"/>
    <w:rsid w:val="00AA77DA"/>
    <w:rsid w:val="00AB62BB"/>
    <w:rsid w:val="00AB653E"/>
    <w:rsid w:val="00AB711D"/>
    <w:rsid w:val="00AB7B1A"/>
    <w:rsid w:val="00AC2FC5"/>
    <w:rsid w:val="00AD011E"/>
    <w:rsid w:val="00AD2628"/>
    <w:rsid w:val="00AD489A"/>
    <w:rsid w:val="00AF0DDC"/>
    <w:rsid w:val="00AF3A4C"/>
    <w:rsid w:val="00AF40EF"/>
    <w:rsid w:val="00AF7FEC"/>
    <w:rsid w:val="00B04FF7"/>
    <w:rsid w:val="00B113AB"/>
    <w:rsid w:val="00B258A6"/>
    <w:rsid w:val="00B31D76"/>
    <w:rsid w:val="00B33816"/>
    <w:rsid w:val="00B35093"/>
    <w:rsid w:val="00B4585D"/>
    <w:rsid w:val="00B51E15"/>
    <w:rsid w:val="00B57BE3"/>
    <w:rsid w:val="00B778DF"/>
    <w:rsid w:val="00B80886"/>
    <w:rsid w:val="00B92A96"/>
    <w:rsid w:val="00B95D93"/>
    <w:rsid w:val="00B95F7B"/>
    <w:rsid w:val="00B97B2F"/>
    <w:rsid w:val="00BA7CD0"/>
    <w:rsid w:val="00BA7DDC"/>
    <w:rsid w:val="00BB0319"/>
    <w:rsid w:val="00BB7083"/>
    <w:rsid w:val="00BC4CA0"/>
    <w:rsid w:val="00BE44C0"/>
    <w:rsid w:val="00BF01F2"/>
    <w:rsid w:val="00BF40C6"/>
    <w:rsid w:val="00C03D6E"/>
    <w:rsid w:val="00C16613"/>
    <w:rsid w:val="00C17687"/>
    <w:rsid w:val="00C176EE"/>
    <w:rsid w:val="00C23997"/>
    <w:rsid w:val="00C279D5"/>
    <w:rsid w:val="00C32557"/>
    <w:rsid w:val="00C32946"/>
    <w:rsid w:val="00C33680"/>
    <w:rsid w:val="00C349D7"/>
    <w:rsid w:val="00C3603D"/>
    <w:rsid w:val="00C4387D"/>
    <w:rsid w:val="00C543B8"/>
    <w:rsid w:val="00C563FA"/>
    <w:rsid w:val="00C826CE"/>
    <w:rsid w:val="00C828CF"/>
    <w:rsid w:val="00C829CE"/>
    <w:rsid w:val="00C85A52"/>
    <w:rsid w:val="00C86B70"/>
    <w:rsid w:val="00C93054"/>
    <w:rsid w:val="00C939DC"/>
    <w:rsid w:val="00C94523"/>
    <w:rsid w:val="00C96ADB"/>
    <w:rsid w:val="00CA316D"/>
    <w:rsid w:val="00CB00C2"/>
    <w:rsid w:val="00CB3358"/>
    <w:rsid w:val="00CB5E53"/>
    <w:rsid w:val="00CB65B6"/>
    <w:rsid w:val="00CC2575"/>
    <w:rsid w:val="00CD4239"/>
    <w:rsid w:val="00CE0D87"/>
    <w:rsid w:val="00CE1099"/>
    <w:rsid w:val="00CE16B2"/>
    <w:rsid w:val="00CE72E7"/>
    <w:rsid w:val="00CF26B0"/>
    <w:rsid w:val="00CF56D4"/>
    <w:rsid w:val="00CF6648"/>
    <w:rsid w:val="00CF7515"/>
    <w:rsid w:val="00D02068"/>
    <w:rsid w:val="00D059A9"/>
    <w:rsid w:val="00D05D31"/>
    <w:rsid w:val="00D1025F"/>
    <w:rsid w:val="00D11FC4"/>
    <w:rsid w:val="00D12F23"/>
    <w:rsid w:val="00D15E85"/>
    <w:rsid w:val="00D33115"/>
    <w:rsid w:val="00D3488B"/>
    <w:rsid w:val="00D43DD8"/>
    <w:rsid w:val="00D46D2A"/>
    <w:rsid w:val="00D47291"/>
    <w:rsid w:val="00D477E6"/>
    <w:rsid w:val="00D50D6E"/>
    <w:rsid w:val="00D53CD7"/>
    <w:rsid w:val="00D61CF2"/>
    <w:rsid w:val="00D6752D"/>
    <w:rsid w:val="00D7245B"/>
    <w:rsid w:val="00D7629C"/>
    <w:rsid w:val="00D8445D"/>
    <w:rsid w:val="00D860AB"/>
    <w:rsid w:val="00D86E10"/>
    <w:rsid w:val="00D8728B"/>
    <w:rsid w:val="00D91405"/>
    <w:rsid w:val="00DA3327"/>
    <w:rsid w:val="00DA35C7"/>
    <w:rsid w:val="00DA4DC6"/>
    <w:rsid w:val="00DA662B"/>
    <w:rsid w:val="00DA7F4F"/>
    <w:rsid w:val="00DC0112"/>
    <w:rsid w:val="00DC6E00"/>
    <w:rsid w:val="00DC70EA"/>
    <w:rsid w:val="00DD01C2"/>
    <w:rsid w:val="00DD23A2"/>
    <w:rsid w:val="00DE17F6"/>
    <w:rsid w:val="00DF0172"/>
    <w:rsid w:val="00DF26A3"/>
    <w:rsid w:val="00DF617D"/>
    <w:rsid w:val="00E015F2"/>
    <w:rsid w:val="00E031C9"/>
    <w:rsid w:val="00E06D4A"/>
    <w:rsid w:val="00E11D1D"/>
    <w:rsid w:val="00E12AC6"/>
    <w:rsid w:val="00E242E0"/>
    <w:rsid w:val="00E42683"/>
    <w:rsid w:val="00E46E7F"/>
    <w:rsid w:val="00E531E4"/>
    <w:rsid w:val="00E5716B"/>
    <w:rsid w:val="00E614D2"/>
    <w:rsid w:val="00E619A8"/>
    <w:rsid w:val="00E661DF"/>
    <w:rsid w:val="00E67598"/>
    <w:rsid w:val="00E71C24"/>
    <w:rsid w:val="00E77B56"/>
    <w:rsid w:val="00E9412C"/>
    <w:rsid w:val="00E96DCC"/>
    <w:rsid w:val="00EA09F6"/>
    <w:rsid w:val="00EA3CCE"/>
    <w:rsid w:val="00EA3F17"/>
    <w:rsid w:val="00EB027B"/>
    <w:rsid w:val="00EB6F6E"/>
    <w:rsid w:val="00EC2233"/>
    <w:rsid w:val="00EC245D"/>
    <w:rsid w:val="00EC3C06"/>
    <w:rsid w:val="00EC436B"/>
    <w:rsid w:val="00EC5D31"/>
    <w:rsid w:val="00EC68F6"/>
    <w:rsid w:val="00ED128A"/>
    <w:rsid w:val="00ED17F8"/>
    <w:rsid w:val="00EE009B"/>
    <w:rsid w:val="00EE5730"/>
    <w:rsid w:val="00EF016C"/>
    <w:rsid w:val="00F05C78"/>
    <w:rsid w:val="00F12691"/>
    <w:rsid w:val="00F13EA9"/>
    <w:rsid w:val="00F22506"/>
    <w:rsid w:val="00F4515A"/>
    <w:rsid w:val="00F451C7"/>
    <w:rsid w:val="00F46C82"/>
    <w:rsid w:val="00F55A96"/>
    <w:rsid w:val="00F571A2"/>
    <w:rsid w:val="00F6592E"/>
    <w:rsid w:val="00F760CF"/>
    <w:rsid w:val="00F8277F"/>
    <w:rsid w:val="00F9188D"/>
    <w:rsid w:val="00F9423B"/>
    <w:rsid w:val="00F9767E"/>
    <w:rsid w:val="00FB0A3F"/>
    <w:rsid w:val="00FB55BB"/>
    <w:rsid w:val="00FB55EE"/>
    <w:rsid w:val="00FC1CFD"/>
    <w:rsid w:val="00FC795A"/>
    <w:rsid w:val="00FD016E"/>
    <w:rsid w:val="00FD1D2C"/>
    <w:rsid w:val="00FD285C"/>
    <w:rsid w:val="00FD3B45"/>
    <w:rsid w:val="00FE5C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59"/>
    <w:pPr>
      <w:widowControl w:val="0"/>
    </w:pPr>
    <w:rPr>
      <w:snapToGrid w:val="0"/>
      <w:kern w:val="28"/>
      <w:sz w:val="22"/>
    </w:rPr>
  </w:style>
  <w:style w:type="paragraph" w:styleId="Heading1">
    <w:name w:val="heading 1"/>
    <w:basedOn w:val="Normal"/>
    <w:next w:val="ParaNum"/>
    <w:link w:val="Heading1Char"/>
    <w:qFormat/>
    <w:rsid w:val="000B1559"/>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B1559"/>
    <w:pPr>
      <w:keepNext/>
      <w:numPr>
        <w:ilvl w:val="1"/>
        <w:numId w:val="4"/>
      </w:numPr>
      <w:spacing w:after="120"/>
      <w:outlineLvl w:val="1"/>
    </w:pPr>
    <w:rPr>
      <w:b/>
    </w:rPr>
  </w:style>
  <w:style w:type="paragraph" w:styleId="Heading3">
    <w:name w:val="heading 3"/>
    <w:basedOn w:val="Normal"/>
    <w:next w:val="ParaNum"/>
    <w:link w:val="Heading3Char"/>
    <w:qFormat/>
    <w:rsid w:val="000B1559"/>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0B1559"/>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0B1559"/>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0B1559"/>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0B1559"/>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0B1559"/>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B1559"/>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B15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1559"/>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rsid w:val="000B1559"/>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0B1559"/>
    <w:rPr>
      <w:rFonts w:ascii="Times New Roman" w:hAnsi="Times New Roman"/>
      <w:dstrike w:val="0"/>
      <w:color w:val="auto"/>
      <w:sz w:val="20"/>
      <w:vertAlign w:val="superscript"/>
    </w:rPr>
  </w:style>
  <w:style w:type="character" w:styleId="Hyperlink">
    <w:name w:val="Hyperlink"/>
    <w:rsid w:val="000B1559"/>
    <w:rPr>
      <w:color w:val="0000FF"/>
      <w:u w:val="single"/>
    </w:rPr>
  </w:style>
  <w:style w:type="paragraph" w:styleId="Header">
    <w:name w:val="header"/>
    <w:basedOn w:val="Normal"/>
    <w:autoRedefine/>
    <w:rsid w:val="000B1559"/>
    <w:pPr>
      <w:tabs>
        <w:tab w:val="center" w:pos="4680"/>
        <w:tab w:val="right" w:pos="9360"/>
      </w:tabs>
    </w:pPr>
    <w:rPr>
      <w:b/>
    </w:rPr>
  </w:style>
  <w:style w:type="paragraph" w:styleId="Footer">
    <w:name w:val="footer"/>
    <w:basedOn w:val="Normal"/>
    <w:link w:val="FooterChar"/>
    <w:uiPriority w:val="99"/>
    <w:rsid w:val="000B1559"/>
    <w:pPr>
      <w:tabs>
        <w:tab w:val="center" w:pos="4320"/>
        <w:tab w:val="right" w:pos="8640"/>
      </w:tabs>
    </w:pPr>
  </w:style>
  <w:style w:type="character" w:styleId="PageNumber">
    <w:name w:val="page number"/>
    <w:basedOn w:val="DefaultParagraphFont"/>
    <w:rsid w:val="000B1559"/>
  </w:style>
  <w:style w:type="paragraph" w:customStyle="1" w:styleId="ParaNum">
    <w:name w:val="ParaNum"/>
    <w:basedOn w:val="Normal"/>
    <w:rsid w:val="000B1559"/>
    <w:pPr>
      <w:numPr>
        <w:numId w:val="3"/>
      </w:numPr>
      <w:tabs>
        <w:tab w:val="clear" w:pos="1080"/>
        <w:tab w:val="num" w:pos="1440"/>
      </w:tabs>
      <w:spacing w:after="120"/>
    </w:p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tabs>
        <w:tab w:val="num" w:pos="990"/>
        <w:tab w:val="left" w:pos="1440"/>
      </w:tabs>
      <w:spacing w:after="220"/>
      <w:ind w:left="-450" w:firstLine="1440"/>
      <w:jc w:val="both"/>
    </w:pPr>
  </w:style>
  <w:style w:type="paragraph" w:styleId="ListParagraph">
    <w:name w:val="List Paragraph"/>
    <w:basedOn w:val="Normal"/>
    <w:uiPriority w:val="34"/>
    <w:qFormat/>
    <w:rsid w:val="00091F87"/>
    <w:pPr>
      <w:ind w:left="720"/>
      <w:contextualSpacing/>
    </w:pPr>
  </w:style>
  <w:style w:type="character" w:styleId="FollowedHyperlink">
    <w:name w:val="FollowedHyperlink"/>
    <w:basedOn w:val="DefaultParagraphFont"/>
    <w:semiHidden/>
    <w:unhideWhenUsed/>
    <w:rsid w:val="00175A05"/>
    <w:rPr>
      <w:color w:val="800080" w:themeColor="followedHyperlink"/>
      <w:u w:val="single"/>
    </w:rPr>
  </w:style>
  <w:style w:type="character" w:customStyle="1" w:styleId="FootnoteTextChar2">
    <w:name w:val="Footnote Text Char2"/>
    <w:aliases w:val="Footnote Text Char Char Char,Footnote Text Char Char Char1 Char Char,Footnote Text Char Char1,Footnote Text Char1 Char,Footnote Text Char1 Char Char Char Char Char,Footnote Text Char1 Char1 Char Char Char,f Char,fn Char"/>
    <w:link w:val="FootnoteText"/>
    <w:rsid w:val="009D126F"/>
  </w:style>
  <w:style w:type="character" w:styleId="CommentReference">
    <w:name w:val="annotation reference"/>
    <w:basedOn w:val="DefaultParagraphFont"/>
    <w:semiHidden/>
    <w:unhideWhenUsed/>
    <w:rsid w:val="009F5785"/>
    <w:rPr>
      <w:sz w:val="16"/>
      <w:szCs w:val="16"/>
    </w:rPr>
  </w:style>
  <w:style w:type="paragraph" w:styleId="CommentText">
    <w:name w:val="annotation text"/>
    <w:basedOn w:val="Normal"/>
    <w:link w:val="CommentTextChar"/>
    <w:semiHidden/>
    <w:unhideWhenUsed/>
    <w:rsid w:val="009F5785"/>
    <w:rPr>
      <w:sz w:val="20"/>
    </w:rPr>
  </w:style>
  <w:style w:type="character" w:customStyle="1" w:styleId="CommentTextChar">
    <w:name w:val="Comment Text Char"/>
    <w:basedOn w:val="DefaultParagraphFont"/>
    <w:link w:val="CommentText"/>
    <w:semiHidden/>
    <w:rsid w:val="009F5785"/>
  </w:style>
  <w:style w:type="paragraph" w:styleId="CommentSubject">
    <w:name w:val="annotation subject"/>
    <w:basedOn w:val="CommentText"/>
    <w:next w:val="CommentText"/>
    <w:link w:val="CommentSubjectChar"/>
    <w:semiHidden/>
    <w:unhideWhenUsed/>
    <w:rsid w:val="009F5785"/>
    <w:rPr>
      <w:b/>
      <w:bCs/>
    </w:rPr>
  </w:style>
  <w:style w:type="character" w:customStyle="1" w:styleId="CommentSubjectChar">
    <w:name w:val="Comment Subject Char"/>
    <w:basedOn w:val="CommentTextChar"/>
    <w:link w:val="CommentSubject"/>
    <w:semiHidden/>
    <w:rsid w:val="009F5785"/>
    <w:rPr>
      <w:b/>
      <w:bCs/>
    </w:rPr>
  </w:style>
  <w:style w:type="character" w:customStyle="1" w:styleId="FootnoteTextChar2Char">
    <w:name w:val="Footnote Text Char2 Char"/>
    <w:aliases w:val="Footnote Text Char Char Char Char,Footnote Text Char Char Char Char Char Char Char,Footnote Text Char1 Char3 Char,Footnote Text Char2 Char Char Char Char Char"/>
    <w:rsid w:val="0080011E"/>
    <w:rPr>
      <w:lang w:val="en-US" w:eastAsia="en-US" w:bidi="ar-SA"/>
    </w:rPr>
  </w:style>
  <w:style w:type="character" w:customStyle="1" w:styleId="Heading2Char">
    <w:name w:val="Heading 2 Char"/>
    <w:basedOn w:val="DefaultParagraphFont"/>
    <w:link w:val="Heading2"/>
    <w:rsid w:val="000D5FA7"/>
    <w:rPr>
      <w:b/>
      <w:snapToGrid w:val="0"/>
      <w:kern w:val="28"/>
      <w:sz w:val="22"/>
    </w:rPr>
  </w:style>
  <w:style w:type="paragraph" w:styleId="Revision">
    <w:name w:val="Revision"/>
    <w:hidden/>
    <w:uiPriority w:val="99"/>
    <w:semiHidden/>
    <w:rsid w:val="00D11FC4"/>
    <w:rPr>
      <w:sz w:val="24"/>
      <w:szCs w:val="24"/>
    </w:rPr>
  </w:style>
  <w:style w:type="character" w:customStyle="1" w:styleId="Heading3Char">
    <w:name w:val="Heading 3 Char"/>
    <w:basedOn w:val="DefaultParagraphFont"/>
    <w:link w:val="Heading3"/>
    <w:rsid w:val="00632130"/>
    <w:rPr>
      <w:b/>
      <w:snapToGrid w:val="0"/>
      <w:kern w:val="28"/>
      <w:sz w:val="22"/>
    </w:rPr>
  </w:style>
  <w:style w:type="character" w:customStyle="1" w:styleId="Heading4Char">
    <w:name w:val="Heading 4 Char"/>
    <w:basedOn w:val="DefaultParagraphFont"/>
    <w:link w:val="Heading4"/>
    <w:rsid w:val="00632130"/>
    <w:rPr>
      <w:b/>
      <w:snapToGrid w:val="0"/>
      <w:kern w:val="28"/>
      <w:sz w:val="22"/>
    </w:rPr>
  </w:style>
  <w:style w:type="character" w:customStyle="1" w:styleId="Heading5Char">
    <w:name w:val="Heading 5 Char"/>
    <w:basedOn w:val="DefaultParagraphFont"/>
    <w:link w:val="Heading5"/>
    <w:rsid w:val="00632130"/>
    <w:rPr>
      <w:b/>
      <w:snapToGrid w:val="0"/>
      <w:kern w:val="28"/>
      <w:sz w:val="22"/>
    </w:rPr>
  </w:style>
  <w:style w:type="character" w:customStyle="1" w:styleId="Heading6Char">
    <w:name w:val="Heading 6 Char"/>
    <w:basedOn w:val="DefaultParagraphFont"/>
    <w:link w:val="Heading6"/>
    <w:rsid w:val="00632130"/>
    <w:rPr>
      <w:b/>
      <w:snapToGrid w:val="0"/>
      <w:kern w:val="28"/>
      <w:sz w:val="22"/>
    </w:rPr>
  </w:style>
  <w:style w:type="character" w:customStyle="1" w:styleId="Heading7Char">
    <w:name w:val="Heading 7 Char"/>
    <w:basedOn w:val="DefaultParagraphFont"/>
    <w:link w:val="Heading7"/>
    <w:rsid w:val="00632130"/>
    <w:rPr>
      <w:b/>
      <w:snapToGrid w:val="0"/>
      <w:kern w:val="28"/>
      <w:sz w:val="22"/>
    </w:rPr>
  </w:style>
  <w:style w:type="character" w:customStyle="1" w:styleId="Heading8Char">
    <w:name w:val="Heading 8 Char"/>
    <w:basedOn w:val="DefaultParagraphFont"/>
    <w:link w:val="Heading8"/>
    <w:rsid w:val="00632130"/>
    <w:rPr>
      <w:b/>
      <w:snapToGrid w:val="0"/>
      <w:kern w:val="28"/>
      <w:sz w:val="22"/>
    </w:rPr>
  </w:style>
  <w:style w:type="character" w:customStyle="1" w:styleId="Heading9Char">
    <w:name w:val="Heading 9 Char"/>
    <w:basedOn w:val="DefaultParagraphFont"/>
    <w:link w:val="Heading9"/>
    <w:rsid w:val="00632130"/>
    <w:rPr>
      <w:b/>
      <w:snapToGrid w:val="0"/>
      <w:kern w:val="28"/>
      <w:sz w:val="22"/>
    </w:rPr>
  </w:style>
  <w:style w:type="paragraph" w:styleId="EndnoteText">
    <w:name w:val="endnote text"/>
    <w:basedOn w:val="Normal"/>
    <w:link w:val="EndnoteTextChar"/>
    <w:semiHidden/>
    <w:rsid w:val="000B1559"/>
    <w:rPr>
      <w:sz w:val="20"/>
    </w:rPr>
  </w:style>
  <w:style w:type="character" w:customStyle="1" w:styleId="EndnoteTextChar">
    <w:name w:val="Endnote Text Char"/>
    <w:basedOn w:val="DefaultParagraphFont"/>
    <w:link w:val="EndnoteText"/>
    <w:semiHidden/>
    <w:rsid w:val="00632130"/>
    <w:rPr>
      <w:snapToGrid w:val="0"/>
      <w:kern w:val="28"/>
    </w:rPr>
  </w:style>
  <w:style w:type="character" w:styleId="EndnoteReference">
    <w:name w:val="endnote reference"/>
    <w:semiHidden/>
    <w:rsid w:val="000B1559"/>
    <w:rPr>
      <w:vertAlign w:val="superscript"/>
    </w:rPr>
  </w:style>
  <w:style w:type="paragraph" w:styleId="TOC1">
    <w:name w:val="toc 1"/>
    <w:basedOn w:val="Normal"/>
    <w:next w:val="Normal"/>
    <w:semiHidden/>
    <w:rsid w:val="000B155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B1559"/>
    <w:pPr>
      <w:tabs>
        <w:tab w:val="left" w:pos="720"/>
        <w:tab w:val="right" w:leader="dot" w:pos="9360"/>
      </w:tabs>
      <w:suppressAutoHyphens/>
      <w:ind w:left="720" w:right="720" w:hanging="360"/>
    </w:pPr>
    <w:rPr>
      <w:noProof/>
    </w:rPr>
  </w:style>
  <w:style w:type="paragraph" w:styleId="TOC3">
    <w:name w:val="toc 3"/>
    <w:basedOn w:val="Normal"/>
    <w:next w:val="Normal"/>
    <w:semiHidden/>
    <w:rsid w:val="000B155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B155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155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155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155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155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155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B1559"/>
    <w:pPr>
      <w:tabs>
        <w:tab w:val="right" w:pos="9360"/>
      </w:tabs>
      <w:suppressAutoHyphens/>
    </w:pPr>
  </w:style>
  <w:style w:type="character" w:customStyle="1" w:styleId="EquationCaption">
    <w:name w:val="_Equation Caption"/>
    <w:rsid w:val="000B1559"/>
  </w:style>
  <w:style w:type="paragraph" w:styleId="BlockText">
    <w:name w:val="Block Text"/>
    <w:basedOn w:val="Normal"/>
    <w:rsid w:val="000B1559"/>
    <w:pPr>
      <w:spacing w:after="240"/>
      <w:ind w:left="1440" w:right="1440"/>
    </w:pPr>
  </w:style>
  <w:style w:type="paragraph" w:customStyle="1" w:styleId="Paratitle">
    <w:name w:val="Para title"/>
    <w:basedOn w:val="Normal"/>
    <w:rsid w:val="000B1559"/>
    <w:pPr>
      <w:tabs>
        <w:tab w:val="center" w:pos="9270"/>
      </w:tabs>
      <w:spacing w:after="240"/>
    </w:pPr>
    <w:rPr>
      <w:spacing w:val="-2"/>
    </w:rPr>
  </w:style>
  <w:style w:type="paragraph" w:customStyle="1" w:styleId="Bullet">
    <w:name w:val="Bullet"/>
    <w:basedOn w:val="Normal"/>
    <w:rsid w:val="000B1559"/>
    <w:pPr>
      <w:tabs>
        <w:tab w:val="left" w:pos="2160"/>
      </w:tabs>
      <w:spacing w:after="220"/>
      <w:ind w:left="2160" w:hanging="720"/>
    </w:pPr>
  </w:style>
  <w:style w:type="paragraph" w:customStyle="1" w:styleId="TableFormat">
    <w:name w:val="TableFormat"/>
    <w:basedOn w:val="Bullet"/>
    <w:rsid w:val="000B1559"/>
    <w:pPr>
      <w:tabs>
        <w:tab w:val="clear" w:pos="2160"/>
        <w:tab w:val="left" w:pos="5040"/>
      </w:tabs>
      <w:ind w:left="5040" w:hanging="3600"/>
    </w:pPr>
  </w:style>
  <w:style w:type="paragraph" w:customStyle="1" w:styleId="TOCTitle">
    <w:name w:val="TOC Title"/>
    <w:basedOn w:val="Normal"/>
    <w:rsid w:val="000B155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B1559"/>
    <w:pPr>
      <w:jc w:val="center"/>
    </w:pPr>
    <w:rPr>
      <w:rFonts w:ascii="Times New Roman Bold" w:hAnsi="Times New Roman Bold"/>
      <w:b/>
      <w:bCs/>
      <w:caps/>
      <w:szCs w:val="22"/>
    </w:rPr>
  </w:style>
  <w:style w:type="character" w:customStyle="1" w:styleId="FooterChar">
    <w:name w:val="Footer Char"/>
    <w:link w:val="Footer"/>
    <w:uiPriority w:val="99"/>
    <w:rsid w:val="000B155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