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3284">
      <w:pPr>
        <w:jc w:val="center"/>
        <w:rPr>
          <w:b/>
        </w:rPr>
      </w:pPr>
      <w:bookmarkStart w:id="0" w:name="_GoBack"/>
      <w:bookmarkEnd w:id="0"/>
      <w:r>
        <w:rPr>
          <w:b/>
        </w:rPr>
        <w:t>Before the</w:t>
      </w:r>
    </w:p>
    <w:p w:rsidR="001F3284">
      <w:pPr>
        <w:jc w:val="center"/>
        <w:rPr>
          <w:b/>
        </w:rPr>
      </w:pPr>
      <w:r>
        <w:rPr>
          <w:b/>
        </w:rPr>
        <w:t>Federal Communications Commission</w:t>
      </w:r>
    </w:p>
    <w:p w:rsidR="001F3284">
      <w:pPr>
        <w:jc w:val="center"/>
        <w:rPr>
          <w:b/>
        </w:rPr>
      </w:pPr>
      <w:r>
        <w:rPr>
          <w:b/>
        </w:rPr>
        <w:t>Washington, D.C. 20554</w:t>
      </w:r>
    </w:p>
    <w:p w:rsidR="001F3284"/>
    <w:p w:rsidR="001F3284"/>
    <w:tbl>
      <w:tblPr>
        <w:tblW w:w="0" w:type="auto"/>
        <w:tblLayout w:type="fixed"/>
        <w:tblLook w:val="0000"/>
      </w:tblPr>
      <w:tblGrid>
        <w:gridCol w:w="4698"/>
        <w:gridCol w:w="720"/>
        <w:gridCol w:w="4230"/>
      </w:tblGrid>
      <w:tr>
        <w:tblPrEx>
          <w:tblW w:w="0" w:type="auto"/>
          <w:tblLayout w:type="fixed"/>
          <w:tblLook w:val="0000"/>
        </w:tblPrEx>
        <w:tc>
          <w:tcPr>
            <w:tcW w:w="4698" w:type="dxa"/>
          </w:tcPr>
          <w:p w:rsidR="001F3284">
            <w:pPr>
              <w:ind w:right="-18"/>
            </w:pPr>
            <w:r>
              <w:t>In the Matter of</w:t>
            </w:r>
          </w:p>
          <w:p w:rsidR="001F3284">
            <w:pPr>
              <w:ind w:right="-18"/>
            </w:pPr>
          </w:p>
          <w:p w:rsidR="001F3284">
            <w:pPr>
              <w:ind w:right="-18"/>
            </w:pPr>
            <w:r>
              <w:t xml:space="preserve">Amendment of </w:t>
            </w:r>
            <w:r w:rsidR="00873140">
              <w:t>s</w:t>
            </w:r>
            <w:r>
              <w:t>ection 73.202(b),</w:t>
            </w:r>
          </w:p>
          <w:p w:rsidR="001F3284">
            <w:pPr>
              <w:ind w:right="-18"/>
            </w:pPr>
            <w:r>
              <w:t xml:space="preserve">FM Table of Allotments, </w:t>
            </w:r>
          </w:p>
          <w:p w:rsidR="001F3284">
            <w:pPr>
              <w:ind w:right="-18"/>
            </w:pPr>
            <w:r>
              <w:t>FM Broadcast Stations.</w:t>
            </w:r>
          </w:p>
          <w:p w:rsidR="001F3284">
            <w:pPr>
              <w:ind w:right="-18"/>
            </w:pPr>
            <w:r>
              <w:t>(Various Locations)</w:t>
            </w:r>
          </w:p>
        </w:tc>
        <w:tc>
          <w:tcPr>
            <w:tcW w:w="720" w:type="dxa"/>
          </w:tcPr>
          <w:p w:rsidR="001F3284">
            <w:pPr>
              <w:rPr>
                <w:b/>
              </w:rPr>
            </w:pPr>
            <w:r>
              <w:rPr>
                <w:b/>
              </w:rPr>
              <w:t>)</w:t>
            </w:r>
          </w:p>
          <w:p w:rsidR="001F3284">
            <w:pPr>
              <w:rPr>
                <w:b/>
              </w:rPr>
            </w:pPr>
            <w:r>
              <w:rPr>
                <w:b/>
              </w:rPr>
              <w:t>)</w:t>
            </w:r>
          </w:p>
          <w:p w:rsidR="001F3284">
            <w:pPr>
              <w:rPr>
                <w:b/>
              </w:rPr>
            </w:pPr>
            <w:r>
              <w:rPr>
                <w:b/>
              </w:rPr>
              <w:t>)</w:t>
            </w:r>
          </w:p>
          <w:p w:rsidR="001F3284">
            <w:pPr>
              <w:rPr>
                <w:b/>
              </w:rPr>
            </w:pPr>
            <w:r>
              <w:rPr>
                <w:b/>
              </w:rPr>
              <w:t>)</w:t>
            </w:r>
          </w:p>
          <w:p w:rsidR="001F3284">
            <w:pPr>
              <w:rPr>
                <w:b/>
              </w:rPr>
            </w:pPr>
            <w:r>
              <w:rPr>
                <w:b/>
              </w:rPr>
              <w:t>)</w:t>
            </w:r>
          </w:p>
          <w:p w:rsidR="001F3284">
            <w:pPr>
              <w:rPr>
                <w:b/>
              </w:rPr>
            </w:pPr>
            <w:r>
              <w:rPr>
                <w:b/>
              </w:rPr>
              <w:t>)</w:t>
            </w:r>
          </w:p>
          <w:p w:rsidR="001F3284">
            <w:pPr>
              <w:rPr>
                <w:b/>
              </w:rPr>
            </w:pPr>
          </w:p>
        </w:tc>
        <w:tc>
          <w:tcPr>
            <w:tcW w:w="4230" w:type="dxa"/>
          </w:tcPr>
          <w:p w:rsidR="001F3284"/>
          <w:p w:rsidR="001F3284"/>
          <w:p w:rsidR="001F3284">
            <w:pPr>
              <w:rPr>
                <w:spacing w:val="-2"/>
              </w:rPr>
            </w:pPr>
          </w:p>
          <w:p w:rsidR="001F3284">
            <w:pPr>
              <w:rPr>
                <w:spacing w:val="-2"/>
              </w:rPr>
            </w:pPr>
          </w:p>
          <w:p w:rsidR="001F3284"/>
        </w:tc>
      </w:tr>
    </w:tbl>
    <w:p w:rsidR="001F3284"/>
    <w:p w:rsidR="001F3284">
      <w:pPr>
        <w:jc w:val="center"/>
        <w:rPr>
          <w:b/>
        </w:rPr>
      </w:pPr>
      <w:r>
        <w:rPr>
          <w:b/>
        </w:rPr>
        <w:t>ORDER</w:t>
      </w:r>
    </w:p>
    <w:p w:rsidR="001F3284">
      <w:pPr>
        <w:tabs>
          <w:tab w:val="left" w:pos="5760"/>
        </w:tabs>
        <w:rPr>
          <w:b/>
        </w:rPr>
      </w:pPr>
      <w:r>
        <w:rPr>
          <w:b/>
        </w:rPr>
        <w:t xml:space="preserve">Adopted:  </w:t>
      </w:r>
      <w:r w:rsidR="007B4391">
        <w:rPr>
          <w:b/>
        </w:rPr>
        <w:t>September 5</w:t>
      </w:r>
      <w:r w:rsidR="00873140">
        <w:rPr>
          <w:b/>
        </w:rPr>
        <w:t>, 2019</w:t>
      </w:r>
      <w:r>
        <w:rPr>
          <w:b/>
        </w:rPr>
        <w:tab/>
        <w:t xml:space="preserve">              Released:  </w:t>
      </w:r>
      <w:r w:rsidR="007B4391">
        <w:rPr>
          <w:b/>
        </w:rPr>
        <w:t>September 6</w:t>
      </w:r>
      <w:r w:rsidR="00873140">
        <w:rPr>
          <w:b/>
        </w:rPr>
        <w:t>, 2019</w:t>
      </w:r>
    </w:p>
    <w:p w:rsidR="00516162">
      <w:pPr>
        <w:tabs>
          <w:tab w:val="left" w:pos="5760"/>
        </w:tabs>
        <w:rPr>
          <w:b/>
        </w:rPr>
      </w:pPr>
    </w:p>
    <w:p w:rsidR="001F3284">
      <w:pPr>
        <w:tabs>
          <w:tab w:val="left" w:pos="5760"/>
        </w:tabs>
        <w:rPr>
          <w:spacing w:val="-2"/>
        </w:rPr>
      </w:pPr>
      <w:r>
        <w:t xml:space="preserve">By the </w:t>
      </w:r>
      <w:r>
        <w:rPr>
          <w:spacing w:val="-2"/>
        </w:rPr>
        <w:t>Assistant Chief, Audio Division, Media Bureau:</w:t>
      </w:r>
    </w:p>
    <w:p w:rsidR="001F3284">
      <w:pPr>
        <w:tabs>
          <w:tab w:val="left" w:pos="1080"/>
          <w:tab w:val="left" w:pos="5760"/>
        </w:tabs>
        <w:ind w:firstLine="720"/>
        <w:rPr>
          <w:spacing w:val="-2"/>
        </w:rPr>
      </w:pPr>
    </w:p>
    <w:p w:rsidR="001F3284">
      <w:pPr>
        <w:pStyle w:val="ParaNum"/>
        <w:widowControl/>
        <w:tabs>
          <w:tab w:val="left" w:pos="720"/>
          <w:tab w:val="left" w:pos="1080"/>
        </w:tabs>
      </w:pPr>
      <w:r>
        <w:t xml:space="preserve">This </w:t>
      </w:r>
      <w:r>
        <w:rPr>
          <w:i/>
        </w:rPr>
        <w:t>Order</w:t>
      </w:r>
      <w:r>
        <w:t xml:space="preserve"> updates the FM Table of Allotments (“FM Table”)</w:t>
      </w:r>
      <w:r>
        <w:rPr>
          <w:rStyle w:val="FootnoteReference"/>
        </w:rPr>
        <w:footnoteReference w:id="3"/>
      </w:r>
      <w:r>
        <w:t xml:space="preserve"> to reinstate certain vacant FM allotments.  The attached Appendix shows the FM Table, as amended, for those communities.</w:t>
      </w:r>
    </w:p>
    <w:p w:rsidR="001F3284">
      <w:pPr>
        <w:pStyle w:val="ParaNum"/>
      </w:pPr>
      <w:r>
        <w:t>Formerly, the FM Table listed all vacant FM allotments as well as FM channels and communities occupied by authorized facilities.</w:t>
      </w:r>
      <w:r>
        <w:rPr>
          <w:rStyle w:val="FootnoteReference"/>
        </w:rPr>
        <w:footnoteReference w:id="4"/>
      </w:r>
      <w:r>
        <w:t xml:space="preserve">  In 2006, the Commission removed the allotments of authorized and awarded FM facilities from the FM Table in order to accommodate the new application procedures for radio stations to change their communities of license.</w:t>
      </w:r>
      <w:r>
        <w:rPr>
          <w:rStyle w:val="FootnoteReference"/>
        </w:rPr>
        <w:footnoteReference w:id="5"/>
      </w:r>
      <w:r>
        <w:t xml:space="preserve">  As contemplated by the </w:t>
      </w:r>
      <w:r>
        <w:rPr>
          <w:i/>
        </w:rPr>
        <w:t>Changes of Community R&amp;O</w:t>
      </w:r>
      <w:r>
        <w:t xml:space="preserve">, when an authorization is cancelled, the vacant </w:t>
      </w:r>
      <w:r w:rsidR="00A2345D">
        <w:t xml:space="preserve">FM channel needs to be reinstated in the FM Table in order to be protected for spacing purposes and </w:t>
      </w:r>
      <w:r>
        <w:t>preserve the opportunity to license a future station in the specified community.</w:t>
      </w:r>
      <w:r>
        <w:rPr>
          <w:rStyle w:val="FootnoteReference"/>
        </w:rPr>
        <w:footnoteReference w:id="6"/>
      </w:r>
      <w:r>
        <w:t xml:space="preserve">  The allotments listed in the attached Appendix w</w:t>
      </w:r>
      <w:r w:rsidR="00AE0A26">
        <w:t>ere</w:t>
      </w:r>
      <w:r>
        <w:t xml:space="preserve"> removed from the FM Table because a construction permit and/or license was granted.  These FM allotments are considered vacant because of the cancellation of the associated authorizations or the dismissal of long-form auction applications. We are, therefore, reinstating the allotments set forth in the Appendix.  On a going-forward basis, we will periodically issue </w:t>
      </w:r>
      <w:r>
        <w:rPr>
          <w:i/>
        </w:rPr>
        <w:t>Orders</w:t>
      </w:r>
      <w:r>
        <w:t xml:space="preserve"> to update the FM Table reinstating allotments that have become vacant due to the cancellation of an authorization or license.  </w:t>
      </w:r>
    </w:p>
    <w:p w:rsidR="001F3284">
      <w:pPr>
        <w:pStyle w:val="ParaNum"/>
        <w:widowControl/>
        <w:tabs>
          <w:tab w:val="left" w:pos="720"/>
          <w:tab w:val="left" w:pos="1080"/>
          <w:tab w:val="clear" w:pos="1440"/>
        </w:tabs>
      </w:pPr>
      <w:r>
        <w:t xml:space="preserve">The vacant FM allotments listed in the Appendix have previously undergone notice and comment rule making.  Reinstatement of the vacant allotments is merely a ministerial action to effectuate licensing procedures adopted in the </w:t>
      </w:r>
      <w:r>
        <w:rPr>
          <w:i/>
        </w:rPr>
        <w:t>Changes of Community R&amp;O</w:t>
      </w:r>
      <w:r>
        <w:t>.  Therefore, we find for good cause that further notice and comment are unnecessary.</w:t>
      </w:r>
      <w:r>
        <w:rPr>
          <w:rStyle w:val="FootnoteReference"/>
        </w:rPr>
        <w:footnoteReference w:id="7"/>
      </w:r>
      <w:r>
        <w:t xml:space="preserve">   </w:t>
      </w:r>
    </w:p>
    <w:p w:rsidR="001F3284">
      <w:pPr>
        <w:pStyle w:val="ParaNum"/>
        <w:widowControl/>
        <w:tabs>
          <w:tab w:val="left" w:pos="720"/>
          <w:tab w:val="left" w:pos="1080"/>
          <w:tab w:val="clear" w:pos="1440"/>
        </w:tabs>
        <w:rPr>
          <w:szCs w:val="22"/>
        </w:rPr>
      </w:pPr>
      <w:r>
        <w:rPr>
          <w:rFonts w:cs="Courier New"/>
          <w:szCs w:val="22"/>
        </w:rPr>
        <w:t>The Commission will not send a copy of this</w:t>
      </w:r>
      <w:r>
        <w:rPr>
          <w:rFonts w:cs="Courier New"/>
          <w:i/>
          <w:szCs w:val="22"/>
        </w:rPr>
        <w:t xml:space="preserve"> Order</w:t>
      </w:r>
      <w:r>
        <w:rPr>
          <w:rFonts w:cs="Courier New"/>
          <w:szCs w:val="22"/>
        </w:rPr>
        <w:t xml:space="preserve"> pursuant to the Congressional Review Act, </w:t>
      </w:r>
      <w:r>
        <w:rPr>
          <w:rFonts w:cs="Courier New"/>
          <w:i/>
          <w:szCs w:val="22"/>
        </w:rPr>
        <w:t xml:space="preserve">see </w:t>
      </w:r>
      <w:r>
        <w:rPr>
          <w:rFonts w:cs="Courier New"/>
          <w:szCs w:val="22"/>
        </w:rPr>
        <w:t xml:space="preserve">5 U.S.C. </w:t>
      </w:r>
      <w:r w:rsidR="00955E41">
        <w:rPr>
          <w:szCs w:val="22"/>
        </w:rPr>
        <w:t>§</w:t>
      </w:r>
      <w:r w:rsidR="00955E41">
        <w:rPr>
          <w:rFonts w:cs="Courier New"/>
          <w:szCs w:val="22"/>
        </w:rPr>
        <w:t xml:space="preserve"> </w:t>
      </w:r>
      <w:r>
        <w:rPr>
          <w:rFonts w:cs="Courier New"/>
          <w:szCs w:val="22"/>
        </w:rPr>
        <w:t xml:space="preserve">801(a)(1)(A), because these allotments were previously reported. </w:t>
      </w:r>
      <w:r>
        <w:rPr>
          <w:szCs w:val="22"/>
        </w:rPr>
        <w:t xml:space="preserve"> </w:t>
      </w:r>
    </w:p>
    <w:p w:rsidR="001F3284">
      <w:pPr>
        <w:pStyle w:val="ParaNum"/>
        <w:widowControl/>
        <w:tabs>
          <w:tab w:val="num" w:pos="90"/>
          <w:tab w:val="left" w:pos="720"/>
          <w:tab w:val="left" w:pos="1080"/>
          <w:tab w:val="clear" w:pos="1440"/>
        </w:tabs>
      </w:pPr>
      <w:r>
        <w:rPr>
          <w:b/>
        </w:rPr>
        <w:t>Ordering Clauses.</w:t>
      </w:r>
      <w:r>
        <w:t xml:space="preserve">  Accordingly, IT IS ORDERED, </w:t>
      </w:r>
      <w:r w:rsidR="00F75280">
        <w:t>t</w:t>
      </w:r>
      <w:r>
        <w:t xml:space="preserve">hat upon publication in the Federal Register, the FM Table of Allotments, 47 </w:t>
      </w:r>
      <w:r w:rsidR="00F75280">
        <w:t>CFR</w:t>
      </w:r>
      <w:r>
        <w:t xml:space="preserve"> </w:t>
      </w:r>
      <w:r w:rsidR="00955E41">
        <w:t>§</w:t>
      </w:r>
      <w:r>
        <w:t xml:space="preserve"> 73.202(b), IS AMENDED, in accordance with the changes set forth in the Appendix to this Order.  </w:t>
      </w:r>
    </w:p>
    <w:p w:rsidR="001F3284">
      <w:pPr>
        <w:pStyle w:val="ParaNum"/>
        <w:widowControl/>
        <w:tabs>
          <w:tab w:val="num" w:pos="90"/>
          <w:tab w:val="left" w:pos="720"/>
          <w:tab w:val="left" w:pos="1080"/>
          <w:tab w:val="clear" w:pos="1440"/>
        </w:tabs>
      </w:pPr>
      <w:r>
        <w:t xml:space="preserve">For further information regarding a proceeding listed above, contact Rolanda F. Smith, (202) 418-2700.   </w:t>
      </w:r>
      <w:r>
        <w:tab/>
      </w:r>
      <w:r>
        <w:tab/>
      </w:r>
      <w:r>
        <w:tab/>
      </w:r>
      <w:r>
        <w:tab/>
      </w:r>
    </w:p>
    <w:p w:rsidR="001F3284">
      <w:pPr>
        <w:pStyle w:val="ParaNum"/>
        <w:widowControl/>
        <w:numPr>
          <w:ilvl w:val="0"/>
          <w:numId w:val="0"/>
        </w:numPr>
        <w:ind w:firstLine="720"/>
      </w:pPr>
      <w:r>
        <w:tab/>
      </w:r>
      <w:r>
        <w:tab/>
      </w:r>
      <w:r>
        <w:tab/>
      </w:r>
      <w:r>
        <w:tab/>
      </w:r>
      <w:r>
        <w:tab/>
        <w:t>FEDERAL COMMUNICATIONS COMMISSION</w:t>
      </w:r>
    </w:p>
    <w:p w:rsidR="001F3284">
      <w:pPr>
        <w:pStyle w:val="ParaNum"/>
        <w:widowControl/>
        <w:numPr>
          <w:ilvl w:val="0"/>
          <w:numId w:val="0"/>
        </w:numPr>
        <w:ind w:firstLine="720"/>
      </w:pPr>
    </w:p>
    <w:p w:rsidR="001F3284">
      <w:pPr>
        <w:pStyle w:val="ParaNum"/>
        <w:widowControl/>
        <w:numPr>
          <w:ilvl w:val="0"/>
          <w:numId w:val="0"/>
        </w:numPr>
        <w:spacing w:after="0"/>
        <w:ind w:firstLine="3600"/>
      </w:pPr>
      <w:r>
        <w:tab/>
        <w:t>Nazifa Sawez</w:t>
      </w:r>
    </w:p>
    <w:p w:rsidR="001F3284">
      <w:pPr>
        <w:pStyle w:val="ParaNum"/>
        <w:widowControl/>
        <w:numPr>
          <w:ilvl w:val="0"/>
          <w:numId w:val="0"/>
        </w:numPr>
        <w:spacing w:after="0"/>
        <w:ind w:firstLine="3600"/>
      </w:pPr>
      <w:r>
        <w:tab/>
        <w:t xml:space="preserve">Assistant Chief </w:t>
      </w:r>
    </w:p>
    <w:p w:rsidR="001F3284">
      <w:pPr>
        <w:pStyle w:val="ParaNum"/>
        <w:widowControl/>
        <w:numPr>
          <w:ilvl w:val="0"/>
          <w:numId w:val="0"/>
        </w:numPr>
        <w:spacing w:after="0"/>
        <w:ind w:firstLine="3600"/>
      </w:pPr>
      <w:r>
        <w:tab/>
        <w:t>Audio Division</w:t>
      </w:r>
    </w:p>
    <w:p w:rsidR="001F3284">
      <w:pPr>
        <w:pStyle w:val="ParaNum"/>
        <w:widowControl/>
        <w:numPr>
          <w:ilvl w:val="0"/>
          <w:numId w:val="0"/>
        </w:numPr>
        <w:spacing w:after="0"/>
        <w:ind w:firstLine="720"/>
      </w:pPr>
      <w:r>
        <w:tab/>
      </w:r>
      <w:r>
        <w:tab/>
      </w:r>
      <w:r>
        <w:tab/>
      </w:r>
      <w:r>
        <w:tab/>
      </w:r>
      <w:r>
        <w:tab/>
        <w:t>Media Bureau</w:t>
      </w:r>
    </w:p>
    <w:p w:rsidR="001F3284">
      <w:pPr>
        <w:pStyle w:val="ParaNum"/>
        <w:widowControl/>
        <w:numPr>
          <w:ilvl w:val="0"/>
          <w:numId w:val="0"/>
        </w:numPr>
        <w:ind w:firstLine="720"/>
      </w:pPr>
    </w:p>
    <w:p w:rsidR="001F3284">
      <w:pPr>
        <w:pStyle w:val="ParaNum"/>
        <w:widowControl/>
        <w:numPr>
          <w:ilvl w:val="0"/>
          <w:numId w:val="0"/>
        </w:numPr>
      </w:pPr>
      <w:r>
        <w:t>Appendix</w:t>
      </w: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jc w:val="center"/>
        <w:rPr>
          <w:b/>
        </w:rPr>
      </w:pPr>
      <w:r>
        <w:rPr>
          <w:b/>
        </w:rPr>
        <w:t>APPENDIX</w:t>
      </w:r>
    </w:p>
    <w:p w:rsidR="001F3284">
      <w:pPr>
        <w:pStyle w:val="ParaNum"/>
        <w:widowControl/>
        <w:numPr>
          <w:ilvl w:val="0"/>
          <w:numId w:val="0"/>
        </w:numPr>
        <w:ind w:firstLine="720"/>
        <w:jc w:val="center"/>
        <w:rPr>
          <w:b/>
        </w:rPr>
      </w:pPr>
    </w:p>
    <w:p w:rsidR="001F3284" w:rsidP="00C55B52">
      <w:pPr>
        <w:pStyle w:val="ParaNum"/>
        <w:widowControl/>
        <w:numPr>
          <w:ilvl w:val="0"/>
          <w:numId w:val="0"/>
        </w:numPr>
        <w:tabs>
          <w:tab w:val="left" w:pos="4140"/>
          <w:tab w:val="left" w:pos="4320"/>
          <w:tab w:val="left" w:pos="5760"/>
          <w:tab w:val="left" w:pos="6480"/>
          <w:tab w:val="left" w:pos="7200"/>
        </w:tabs>
        <w:ind w:firstLine="720"/>
      </w:pPr>
      <w:r>
        <w:t>Community</w:t>
      </w:r>
      <w:r>
        <w:tab/>
      </w:r>
      <w:r w:rsidR="00C55B52">
        <w:tab/>
        <w:t>Channel Deleted</w:t>
      </w:r>
      <w:r>
        <w:tab/>
      </w:r>
      <w:r w:rsidR="00C55B52">
        <w:tab/>
      </w:r>
      <w:r>
        <w:t>Channel Added</w:t>
      </w:r>
    </w:p>
    <w:p w:rsidR="007B7591" w:rsidP="00C55B52">
      <w:pPr>
        <w:pStyle w:val="ParaNum"/>
        <w:widowControl/>
        <w:numPr>
          <w:ilvl w:val="0"/>
          <w:numId w:val="0"/>
        </w:numPr>
        <w:tabs>
          <w:tab w:val="left" w:pos="3960"/>
          <w:tab w:val="left" w:pos="5715"/>
          <w:tab w:val="left" w:pos="5760"/>
          <w:tab w:val="left" w:pos="7200"/>
          <w:tab w:val="left" w:pos="7560"/>
        </w:tabs>
        <w:ind w:left="3960" w:hanging="3240"/>
        <w:jc w:val="left"/>
      </w:pPr>
      <w:r>
        <w:t>Hamilton, Alabama</w:t>
      </w:r>
      <w:r>
        <w:tab/>
      </w:r>
      <w:r>
        <w:tab/>
      </w:r>
      <w:r>
        <w:tab/>
      </w:r>
      <w:r>
        <w:tab/>
        <w:t>221A</w:t>
      </w:r>
    </w:p>
    <w:p w:rsidR="007B7591" w:rsidP="007B7591">
      <w:pPr>
        <w:pStyle w:val="ParaNum"/>
        <w:widowControl/>
        <w:numPr>
          <w:ilvl w:val="0"/>
          <w:numId w:val="0"/>
        </w:numPr>
        <w:tabs>
          <w:tab w:val="left" w:pos="4320"/>
          <w:tab w:val="left" w:pos="5715"/>
          <w:tab w:val="left" w:pos="5760"/>
          <w:tab w:val="left" w:pos="7200"/>
          <w:tab w:val="left" w:pos="7560"/>
        </w:tabs>
        <w:ind w:left="3960" w:hanging="3240"/>
        <w:jc w:val="left"/>
      </w:pPr>
      <w:r>
        <w:t>Aguila, Arizona</w:t>
      </w:r>
      <w:r>
        <w:tab/>
      </w:r>
      <w:r>
        <w:tab/>
      </w:r>
      <w:r>
        <w:tab/>
      </w:r>
      <w:r>
        <w:tab/>
      </w:r>
      <w:r>
        <w:tab/>
        <w:t>297C2</w:t>
      </w:r>
    </w:p>
    <w:p w:rsidR="007B7591" w:rsidP="007B7591">
      <w:pPr>
        <w:pStyle w:val="ParaNum"/>
        <w:widowControl/>
        <w:numPr>
          <w:ilvl w:val="0"/>
          <w:numId w:val="0"/>
        </w:numPr>
        <w:tabs>
          <w:tab w:val="left" w:pos="4320"/>
          <w:tab w:val="left" w:pos="5715"/>
          <w:tab w:val="left" w:pos="5760"/>
          <w:tab w:val="left" w:pos="7200"/>
          <w:tab w:val="left" w:pos="7560"/>
        </w:tabs>
        <w:ind w:left="3960" w:hanging="3240"/>
        <w:jc w:val="left"/>
      </w:pPr>
      <w:r>
        <w:t>Bagdad, Arizona</w:t>
      </w:r>
      <w:r>
        <w:tab/>
      </w:r>
      <w:r>
        <w:tab/>
        <w:t>269C3</w:t>
      </w:r>
      <w:r>
        <w:tab/>
      </w:r>
      <w:r>
        <w:tab/>
      </w:r>
      <w:r>
        <w:tab/>
        <w:t>299C3</w:t>
      </w:r>
    </w:p>
    <w:p w:rsidR="003B0E4E" w:rsidP="007B7591">
      <w:pPr>
        <w:pStyle w:val="ParaNum"/>
        <w:widowControl/>
        <w:numPr>
          <w:ilvl w:val="0"/>
          <w:numId w:val="0"/>
        </w:numPr>
        <w:tabs>
          <w:tab w:val="left" w:pos="4320"/>
          <w:tab w:val="left" w:pos="5715"/>
          <w:tab w:val="left" w:pos="5760"/>
          <w:tab w:val="left" w:pos="7200"/>
          <w:tab w:val="left" w:pos="7560"/>
        </w:tabs>
        <w:ind w:left="3960" w:hanging="3240"/>
        <w:jc w:val="left"/>
      </w:pPr>
      <w:r>
        <w:t>Sacramento, California</w:t>
      </w:r>
      <w:r>
        <w:rPr>
          <w:rStyle w:val="FootnoteReference"/>
        </w:rPr>
        <w:footnoteReference w:id="8"/>
      </w:r>
      <w:r>
        <w:tab/>
      </w:r>
      <w:r>
        <w:tab/>
      </w:r>
      <w:r>
        <w:tab/>
      </w:r>
      <w:r>
        <w:tab/>
      </w:r>
      <w:r>
        <w:tab/>
        <w:t>300B</w:t>
      </w:r>
    </w:p>
    <w:p w:rsidR="00B374D8" w:rsidP="00B374D8">
      <w:pPr>
        <w:pStyle w:val="ParaNum"/>
        <w:widowControl/>
        <w:numPr>
          <w:ilvl w:val="0"/>
          <w:numId w:val="0"/>
        </w:numPr>
        <w:tabs>
          <w:tab w:val="left" w:pos="4320"/>
          <w:tab w:val="left" w:pos="5715"/>
          <w:tab w:val="left" w:pos="5760"/>
          <w:tab w:val="left" w:pos="7200"/>
          <w:tab w:val="left" w:pos="7560"/>
        </w:tabs>
        <w:ind w:left="3960" w:hanging="3240"/>
        <w:jc w:val="left"/>
      </w:pPr>
      <w:r>
        <w:t>Orange, Massachusetts</w:t>
      </w:r>
      <w:r>
        <w:tab/>
      </w:r>
      <w:r>
        <w:tab/>
      </w:r>
      <w:r>
        <w:tab/>
      </w:r>
      <w:r>
        <w:tab/>
      </w:r>
      <w:r>
        <w:tab/>
        <w:t>247A</w:t>
      </w:r>
    </w:p>
    <w:p w:rsidR="0084425B" w:rsidP="007B7591">
      <w:pPr>
        <w:pStyle w:val="ParaNum"/>
        <w:widowControl/>
        <w:numPr>
          <w:ilvl w:val="0"/>
          <w:numId w:val="0"/>
        </w:numPr>
        <w:tabs>
          <w:tab w:val="left" w:pos="4320"/>
          <w:tab w:val="left" w:pos="5715"/>
          <w:tab w:val="left" w:pos="5760"/>
          <w:tab w:val="left" w:pos="7200"/>
          <w:tab w:val="left" w:pos="7560"/>
        </w:tabs>
        <w:ind w:left="3960" w:hanging="3240"/>
        <w:jc w:val="left"/>
      </w:pPr>
      <w:r>
        <w:t>Marathon, Texas</w:t>
      </w:r>
      <w:r>
        <w:tab/>
      </w:r>
      <w:r>
        <w:tab/>
        <w:t>278C</w:t>
      </w:r>
      <w:r>
        <w:tab/>
      </w:r>
      <w:r>
        <w:tab/>
      </w:r>
      <w:r>
        <w:tab/>
        <w:t>276C1</w:t>
      </w:r>
      <w:r>
        <w:tab/>
      </w:r>
    </w:p>
    <w:p w:rsidR="004E5DD5" w:rsidP="007B7591">
      <w:pPr>
        <w:pStyle w:val="ParaNum"/>
        <w:widowControl/>
        <w:numPr>
          <w:ilvl w:val="0"/>
          <w:numId w:val="0"/>
        </w:numPr>
        <w:tabs>
          <w:tab w:val="left" w:pos="4320"/>
          <w:tab w:val="left" w:pos="5715"/>
          <w:tab w:val="left" w:pos="5760"/>
          <w:tab w:val="left" w:pos="7200"/>
          <w:tab w:val="left" w:pos="7560"/>
        </w:tabs>
        <w:ind w:left="3960" w:hanging="3240"/>
        <w:jc w:val="left"/>
      </w:pPr>
      <w:r>
        <w:t>Mason, Texas</w:t>
      </w:r>
      <w:r>
        <w:tab/>
      </w:r>
      <w:r>
        <w:tab/>
      </w:r>
      <w:r>
        <w:tab/>
      </w:r>
      <w:r>
        <w:tab/>
      </w:r>
      <w:r>
        <w:tab/>
        <w:t>239C2</w:t>
      </w:r>
    </w:p>
    <w:p w:rsidR="00B374D8" w:rsidP="007B7591">
      <w:pPr>
        <w:pStyle w:val="ParaNum"/>
        <w:widowControl/>
        <w:numPr>
          <w:ilvl w:val="0"/>
          <w:numId w:val="0"/>
        </w:numPr>
        <w:tabs>
          <w:tab w:val="left" w:pos="4320"/>
          <w:tab w:val="left" w:pos="5715"/>
          <w:tab w:val="left" w:pos="5760"/>
          <w:tab w:val="left" w:pos="7200"/>
          <w:tab w:val="left" w:pos="7560"/>
        </w:tabs>
        <w:ind w:left="3960" w:hanging="3240"/>
        <w:jc w:val="left"/>
      </w:pPr>
      <w:r>
        <w:t>Roby, Texas</w:t>
      </w:r>
      <w:r>
        <w:tab/>
      </w:r>
      <w:r>
        <w:tab/>
        <w:t>249A</w:t>
      </w:r>
      <w:r>
        <w:tab/>
      </w:r>
      <w:r>
        <w:tab/>
      </w:r>
      <w:r>
        <w:tab/>
        <w:t>290A</w:t>
      </w:r>
      <w:r>
        <w:tab/>
      </w:r>
      <w:r>
        <w:tab/>
      </w:r>
    </w:p>
    <w:sectPr>
      <w:headerReference w:type="default" r:id="rId5"/>
      <w:footerReference w:type="default" r:id="rId6"/>
      <w:headerReference w:type="first" r:id="rId7"/>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pPr>
      <w:pStyle w:val="Footer"/>
      <w:jc w:val="center"/>
    </w:pPr>
    <w:r>
      <w:rPr>
        <w:rStyle w:val="PageNumber"/>
      </w:rPr>
      <w:fldChar w:fldCharType="begin"/>
    </w:r>
    <w:r>
      <w:rPr>
        <w:rStyle w:val="PageNumber"/>
      </w:rPr>
      <w:instrText xml:space="preserve"> PAGE </w:instrText>
    </w:r>
    <w:r>
      <w:rPr>
        <w:rStyle w:val="PageNumber"/>
      </w:rPr>
      <w:fldChar w:fldCharType="separate"/>
    </w:r>
    <w:r w:rsidR="00B1345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9FD">
      <w:pPr>
        <w:rPr>
          <w:sz w:val="20"/>
        </w:rPr>
      </w:pPr>
      <w:r>
        <w:rPr>
          <w:sz w:val="20"/>
        </w:rPr>
        <w:separator/>
      </w:r>
    </w:p>
  </w:footnote>
  <w:footnote w:type="continuationSeparator" w:id="1">
    <w:p w:rsidR="00AE19FD">
      <w:pPr>
        <w:rPr>
          <w:sz w:val="20"/>
        </w:rPr>
      </w:pPr>
      <w:r>
        <w:rPr>
          <w:sz w:val="20"/>
        </w:rPr>
        <w:separator/>
      </w:r>
    </w:p>
    <w:p w:rsidR="00AE19FD">
      <w:pPr>
        <w:rPr>
          <w:sz w:val="20"/>
        </w:rPr>
      </w:pPr>
      <w:r>
        <w:rPr>
          <w:sz w:val="20"/>
        </w:rPr>
        <w:t>(...continued from previous page)</w:t>
      </w:r>
    </w:p>
  </w:footnote>
  <w:footnote w:type="continuationNotice" w:id="2">
    <w:p w:rsidR="00AE19FD">
      <w:pPr>
        <w:jc w:val="right"/>
        <w:rPr>
          <w:sz w:val="20"/>
        </w:rPr>
      </w:pPr>
      <w:r>
        <w:rPr>
          <w:sz w:val="20"/>
        </w:rPr>
        <w:t>(continued....)</w:t>
      </w:r>
    </w:p>
  </w:footnote>
  <w:footnote w:id="3">
    <w:p w:rsidR="001F3284" w:rsidP="00C55B52">
      <w:pPr>
        <w:pStyle w:val="FootnoteText"/>
        <w:tabs>
          <w:tab w:val="left" w:pos="4500"/>
        </w:tabs>
      </w:pPr>
      <w:r>
        <w:rPr>
          <w:rStyle w:val="FootnoteReference"/>
        </w:rPr>
        <w:footnoteRef/>
      </w:r>
      <w:r>
        <w:t xml:space="preserve"> 47</w:t>
      </w:r>
      <w:r w:rsidR="00AE0A26">
        <w:t xml:space="preserve"> CFR</w:t>
      </w:r>
      <w:r>
        <w:t xml:space="preserve"> § 73.202(b).</w:t>
      </w:r>
    </w:p>
  </w:footnote>
  <w:footnote w:id="4">
    <w:p w:rsidR="001F3284">
      <w:pPr>
        <w:pStyle w:val="FootnoteText"/>
      </w:pPr>
      <w:r>
        <w:rPr>
          <w:rStyle w:val="FootnoteReference"/>
        </w:rPr>
        <w:footnoteRef/>
      </w:r>
      <w:r>
        <w:t xml:space="preserve"> </w:t>
      </w:r>
      <w:r>
        <w:rPr>
          <w:i/>
        </w:rPr>
        <w:t xml:space="preserve">See Revision of Procedures Governing Amendments to FM Table of Allotments and Changes of Community of License in the Radio Broadcast Services, </w:t>
      </w:r>
      <w:r>
        <w:t xml:space="preserve">Report and Order, 21 FCC </w:t>
      </w:r>
      <w:r>
        <w:t>Rcd</w:t>
      </w:r>
      <w:r>
        <w:t xml:space="preserve"> 14212, 14221, ¶ 15 (2006), </w:t>
      </w:r>
      <w:r>
        <w:rPr>
          <w:i/>
        </w:rPr>
        <w:t>recon. pending</w:t>
      </w:r>
      <w:r>
        <w:t xml:space="preserve"> (“</w:t>
      </w:r>
      <w:r>
        <w:rPr>
          <w:i/>
        </w:rPr>
        <w:t>Changes of Community R&amp;O</w:t>
      </w:r>
      <w:r>
        <w:t xml:space="preserve">”). </w:t>
      </w:r>
    </w:p>
  </w:footnote>
  <w:footnote w:id="5">
    <w:p w:rsidR="001F328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w:t>
      </w:r>
    </w:p>
  </w:footnote>
  <w:footnote w:id="6">
    <w:p w:rsidR="001F3284" w:rsidP="00B1514D">
      <w:r>
        <w:rPr>
          <w:rStyle w:val="FootnoteReference"/>
        </w:rPr>
        <w:footnoteRef/>
      </w:r>
      <w:r>
        <w:t xml:space="preserve"> </w:t>
      </w:r>
      <w:r w:rsidRPr="00B1514D" w:rsidR="00A2345D">
        <w:rPr>
          <w:sz w:val="20"/>
        </w:rPr>
        <w:t xml:space="preserve">Staff engineering analysis </w:t>
      </w:r>
      <w:r w:rsidR="00AE0A26">
        <w:rPr>
          <w:sz w:val="20"/>
        </w:rPr>
        <w:t>confirms</w:t>
      </w:r>
      <w:r w:rsidRPr="00B1514D" w:rsidR="00AE0A26">
        <w:rPr>
          <w:sz w:val="20"/>
        </w:rPr>
        <w:t xml:space="preserve"> </w:t>
      </w:r>
      <w:r w:rsidRPr="00B1514D" w:rsidR="00A2345D">
        <w:rPr>
          <w:sz w:val="20"/>
        </w:rPr>
        <w:t xml:space="preserve">that </w:t>
      </w:r>
      <w:r w:rsidRPr="00B1514D" w:rsidR="00B1514D">
        <w:rPr>
          <w:sz w:val="20"/>
        </w:rPr>
        <w:t>all</w:t>
      </w:r>
      <w:r w:rsidRPr="00B1514D" w:rsidR="00A2345D">
        <w:rPr>
          <w:sz w:val="20"/>
        </w:rPr>
        <w:t xml:space="preserve"> </w:t>
      </w:r>
      <w:r w:rsidR="00935179">
        <w:rPr>
          <w:sz w:val="20"/>
        </w:rPr>
        <w:t>of</w:t>
      </w:r>
      <w:r w:rsidR="00935179">
        <w:rPr>
          <w:sz w:val="20"/>
        </w:rPr>
        <w:t xml:space="preserve"> </w:t>
      </w:r>
      <w:r w:rsidRPr="00B1514D" w:rsidR="00A2345D">
        <w:rPr>
          <w:sz w:val="20"/>
        </w:rPr>
        <w:t>the vacant allotments listed in the Appendix meet the</w:t>
      </w:r>
      <w:r w:rsidRPr="00B1514D" w:rsidR="009B3271">
        <w:rPr>
          <w:sz w:val="20"/>
        </w:rPr>
        <w:t xml:space="preserve"> minimum </w:t>
      </w:r>
      <w:r w:rsidRPr="00B1514D" w:rsidR="00AB3A77">
        <w:rPr>
          <w:sz w:val="20"/>
        </w:rPr>
        <w:t>distance separation requirements of 47</w:t>
      </w:r>
      <w:r w:rsidR="00AE0A26">
        <w:rPr>
          <w:sz w:val="20"/>
        </w:rPr>
        <w:t xml:space="preserve"> CFR</w:t>
      </w:r>
      <w:r w:rsidRPr="00B1514D" w:rsidR="00AB3A77">
        <w:rPr>
          <w:sz w:val="20"/>
        </w:rPr>
        <w:t xml:space="preserve"> </w:t>
      </w:r>
      <w:bookmarkStart w:id="1" w:name="_Hlk18420167"/>
      <w:r w:rsidRPr="00B1514D" w:rsidR="00AB3A77">
        <w:rPr>
          <w:sz w:val="20"/>
        </w:rPr>
        <w:t>§</w:t>
      </w:r>
      <w:bookmarkEnd w:id="1"/>
      <w:r w:rsidRPr="00B1514D" w:rsidR="00AB3A77">
        <w:rPr>
          <w:sz w:val="20"/>
        </w:rPr>
        <w:t xml:space="preserve"> 73.207.  However, </w:t>
      </w:r>
      <w:r w:rsidR="00121CF9">
        <w:rPr>
          <w:sz w:val="20"/>
        </w:rPr>
        <w:t>four</w:t>
      </w:r>
      <w:r w:rsidRPr="00B1514D" w:rsidR="00AB3A77">
        <w:rPr>
          <w:sz w:val="20"/>
        </w:rPr>
        <w:t xml:space="preserve"> of the vacant allotments warrant addition</w:t>
      </w:r>
      <w:r w:rsidR="004A4ABA">
        <w:rPr>
          <w:sz w:val="20"/>
        </w:rPr>
        <w:t>al</w:t>
      </w:r>
      <w:r w:rsidRPr="00B1514D" w:rsidR="00AB3A77">
        <w:rPr>
          <w:sz w:val="20"/>
        </w:rPr>
        <w:t xml:space="preserve"> explanation.  </w:t>
      </w:r>
      <w:r w:rsidR="002F692B">
        <w:rPr>
          <w:sz w:val="20"/>
        </w:rPr>
        <w:t xml:space="preserve">Vacant </w:t>
      </w:r>
      <w:r w:rsidR="00A943E0">
        <w:rPr>
          <w:sz w:val="20"/>
        </w:rPr>
        <w:t>Channels</w:t>
      </w:r>
      <w:r w:rsidR="002F692B">
        <w:rPr>
          <w:sz w:val="20"/>
        </w:rPr>
        <w:t xml:space="preserve"> 221A at Hamilton, Alabama</w:t>
      </w:r>
      <w:r w:rsidR="00935179">
        <w:rPr>
          <w:sz w:val="20"/>
        </w:rPr>
        <w:t>,</w:t>
      </w:r>
      <w:r w:rsidR="002F692B">
        <w:rPr>
          <w:sz w:val="20"/>
        </w:rPr>
        <w:t xml:space="preserve"> and 247</w:t>
      </w:r>
      <w:r w:rsidR="00A943E0">
        <w:rPr>
          <w:sz w:val="20"/>
        </w:rPr>
        <w:t>A at Orange, Massachusetts</w:t>
      </w:r>
      <w:r w:rsidR="00935179">
        <w:rPr>
          <w:sz w:val="20"/>
        </w:rPr>
        <w:t>,</w:t>
      </w:r>
      <w:r w:rsidR="00A943E0">
        <w:rPr>
          <w:sz w:val="20"/>
        </w:rPr>
        <w:t xml:space="preserve"> are considered fully spaced allotments notwithstanding the subsequent grant of authorization to several stations that are providing contour protection to these allotments under </w:t>
      </w:r>
      <w:r w:rsidRPr="000824A1" w:rsidR="00A943E0">
        <w:rPr>
          <w:sz w:val="20"/>
        </w:rPr>
        <w:t>§</w:t>
      </w:r>
      <w:r w:rsidR="00A943E0">
        <w:rPr>
          <w:sz w:val="20"/>
        </w:rPr>
        <w:t xml:space="preserve"> 73.215 of the Commission’s </w:t>
      </w:r>
      <w:r w:rsidR="00AE0A26">
        <w:rPr>
          <w:sz w:val="20"/>
        </w:rPr>
        <w:t>r</w:t>
      </w:r>
      <w:r w:rsidR="00A943E0">
        <w:rPr>
          <w:sz w:val="20"/>
        </w:rPr>
        <w:t xml:space="preserve">ules.  </w:t>
      </w:r>
      <w:r w:rsidRPr="00B1514D" w:rsidR="00AB3A77">
        <w:rPr>
          <w:sz w:val="20"/>
        </w:rPr>
        <w:t>Channel 300B at Sacramento, California</w:t>
      </w:r>
      <w:r w:rsidR="00935179">
        <w:rPr>
          <w:sz w:val="20"/>
        </w:rPr>
        <w:t>,</w:t>
      </w:r>
      <w:r w:rsidR="00AB3A77">
        <w:rPr>
          <w:sz w:val="20"/>
        </w:rPr>
        <w:t xml:space="preserve"> is</w:t>
      </w:r>
      <w:r w:rsidRPr="00B1514D" w:rsidR="00AB3A77">
        <w:rPr>
          <w:sz w:val="20"/>
        </w:rPr>
        <w:t xml:space="preserve"> 28 km short</w:t>
      </w:r>
      <w:r w:rsidR="00AE0A26">
        <w:rPr>
          <w:sz w:val="20"/>
        </w:rPr>
        <w:t xml:space="preserve">-spaced </w:t>
      </w:r>
      <w:r w:rsidRPr="00B1514D" w:rsidR="00AB3A77">
        <w:rPr>
          <w:sz w:val="20"/>
        </w:rPr>
        <w:t>to</w:t>
      </w:r>
      <w:r w:rsidR="004A4ABA">
        <w:rPr>
          <w:sz w:val="20"/>
        </w:rPr>
        <w:t xml:space="preserve"> Station KSAN(FM),</w:t>
      </w:r>
      <w:r w:rsidRPr="00B1514D" w:rsidR="00AB3A77">
        <w:rPr>
          <w:sz w:val="20"/>
        </w:rPr>
        <w:t xml:space="preserve"> </w:t>
      </w:r>
      <w:r w:rsidR="004A4ABA">
        <w:rPr>
          <w:sz w:val="20"/>
        </w:rPr>
        <w:t>Channel 299</w:t>
      </w:r>
      <w:r w:rsidRPr="00B1514D" w:rsidR="00AB3A77">
        <w:rPr>
          <w:sz w:val="20"/>
        </w:rPr>
        <w:t>B</w:t>
      </w:r>
      <w:r w:rsidR="004A4ABA">
        <w:rPr>
          <w:sz w:val="20"/>
        </w:rPr>
        <w:t xml:space="preserve">, </w:t>
      </w:r>
      <w:r w:rsidRPr="00B1514D" w:rsidR="00AB3A77">
        <w:rPr>
          <w:sz w:val="20"/>
        </w:rPr>
        <w:t>San Mateo, C</w:t>
      </w:r>
      <w:r w:rsidR="00AB3A77">
        <w:rPr>
          <w:sz w:val="20"/>
        </w:rPr>
        <w:t>alifornia</w:t>
      </w:r>
      <w:r w:rsidRPr="00B1514D" w:rsidR="00AB3A77">
        <w:rPr>
          <w:sz w:val="20"/>
        </w:rPr>
        <w:t xml:space="preserve"> (pre </w:t>
      </w:r>
      <w:r w:rsidR="00AB3A77">
        <w:rPr>
          <w:sz w:val="20"/>
        </w:rPr>
        <w:t>19</w:t>
      </w:r>
      <w:r w:rsidRPr="00B1514D" w:rsidR="00AB3A77">
        <w:rPr>
          <w:sz w:val="20"/>
        </w:rPr>
        <w:t>64 grandfathered short-spacing)</w:t>
      </w:r>
      <w:r w:rsidR="00AB3A77">
        <w:rPr>
          <w:sz w:val="20"/>
        </w:rPr>
        <w:t xml:space="preserve">, and </w:t>
      </w:r>
      <w:r w:rsidRPr="00B1514D" w:rsidR="00AB3A77">
        <w:rPr>
          <w:sz w:val="20"/>
        </w:rPr>
        <w:t>24 km</w:t>
      </w:r>
      <w:r w:rsidR="00626179">
        <w:rPr>
          <w:sz w:val="20"/>
        </w:rPr>
        <w:t xml:space="preserve"> short</w:t>
      </w:r>
      <w:r w:rsidR="00AE0A26">
        <w:rPr>
          <w:sz w:val="20"/>
        </w:rPr>
        <w:t>-spaced</w:t>
      </w:r>
      <w:r w:rsidR="00626179">
        <w:rPr>
          <w:sz w:val="20"/>
        </w:rPr>
        <w:t xml:space="preserve"> to Station KKLC(FM), Channel 300C1, </w:t>
      </w:r>
      <w:r w:rsidRPr="00B1514D" w:rsidR="00AB3A77">
        <w:rPr>
          <w:sz w:val="20"/>
        </w:rPr>
        <w:t>Fall River, C</w:t>
      </w:r>
      <w:r w:rsidR="00626179">
        <w:rPr>
          <w:sz w:val="20"/>
        </w:rPr>
        <w:t>alifornia</w:t>
      </w:r>
      <w:r w:rsidRPr="00B1514D" w:rsidR="00AB3A77">
        <w:rPr>
          <w:sz w:val="20"/>
        </w:rPr>
        <w:t xml:space="preserve"> (KKLC</w:t>
      </w:r>
      <w:r w:rsidR="004A4ABA">
        <w:rPr>
          <w:sz w:val="20"/>
        </w:rPr>
        <w:t>(FM)</w:t>
      </w:r>
      <w:r w:rsidRPr="00B1514D" w:rsidR="00AB3A77">
        <w:rPr>
          <w:sz w:val="20"/>
        </w:rPr>
        <w:t xml:space="preserve"> protects Sacramento </w:t>
      </w:r>
      <w:bookmarkStart w:id="2" w:name="_Hlk18423755"/>
      <w:r w:rsidR="00AE0A26">
        <w:rPr>
          <w:sz w:val="20"/>
        </w:rPr>
        <w:t xml:space="preserve">consistent with the requirements of </w:t>
      </w:r>
      <w:bookmarkStart w:id="3" w:name="_Hlk18590853"/>
      <w:r w:rsidR="00AE0A26">
        <w:rPr>
          <w:sz w:val="20"/>
        </w:rPr>
        <w:t>47 CF</w:t>
      </w:r>
      <w:r w:rsidR="006A4535">
        <w:rPr>
          <w:sz w:val="20"/>
        </w:rPr>
        <w:t>R</w:t>
      </w:r>
      <w:r w:rsidR="00AE0A26">
        <w:rPr>
          <w:sz w:val="20"/>
        </w:rPr>
        <w:t xml:space="preserve"> </w:t>
      </w:r>
      <w:r w:rsidRPr="000824A1" w:rsidR="00AB3A77">
        <w:rPr>
          <w:sz w:val="20"/>
        </w:rPr>
        <w:t>§</w:t>
      </w:r>
      <w:bookmarkEnd w:id="2"/>
      <w:r w:rsidRPr="00B1514D" w:rsidR="00AB3A77">
        <w:rPr>
          <w:sz w:val="20"/>
        </w:rPr>
        <w:t xml:space="preserve"> </w:t>
      </w:r>
      <w:r w:rsidR="00AB3A77">
        <w:rPr>
          <w:sz w:val="20"/>
        </w:rPr>
        <w:t>73.</w:t>
      </w:r>
      <w:r w:rsidRPr="00B1514D" w:rsidR="00AB3A77">
        <w:rPr>
          <w:sz w:val="20"/>
        </w:rPr>
        <w:t>215</w:t>
      </w:r>
      <w:r w:rsidR="00AB3A77">
        <w:rPr>
          <w:sz w:val="20"/>
        </w:rPr>
        <w:t>(</w:t>
      </w:r>
      <w:r w:rsidRPr="00B1514D" w:rsidR="00AB3A77">
        <w:rPr>
          <w:sz w:val="20"/>
        </w:rPr>
        <w:t>e)</w:t>
      </w:r>
      <w:r w:rsidR="00626179">
        <w:rPr>
          <w:sz w:val="20"/>
        </w:rPr>
        <w:t xml:space="preserve">).  </w:t>
      </w:r>
      <w:bookmarkEnd w:id="3"/>
      <w:r w:rsidR="00AB3A77">
        <w:rPr>
          <w:sz w:val="20"/>
        </w:rPr>
        <w:t xml:space="preserve">Additionally, vacant Channel </w:t>
      </w:r>
      <w:r w:rsidR="00B1514D">
        <w:rPr>
          <w:sz w:val="20"/>
        </w:rPr>
        <w:t>299C3 at Bagdad, Arizona</w:t>
      </w:r>
      <w:r w:rsidR="00935179">
        <w:rPr>
          <w:sz w:val="20"/>
        </w:rPr>
        <w:t>,</w:t>
      </w:r>
      <w:r w:rsidR="00B1514D">
        <w:rPr>
          <w:sz w:val="20"/>
        </w:rPr>
        <w:t xml:space="preserve"> is 2 km short</w:t>
      </w:r>
      <w:r w:rsidR="004B550B">
        <w:rPr>
          <w:sz w:val="20"/>
        </w:rPr>
        <w:t>-spaced</w:t>
      </w:r>
      <w:r w:rsidR="00B1514D">
        <w:rPr>
          <w:sz w:val="20"/>
        </w:rPr>
        <w:t xml:space="preserve"> to </w:t>
      </w:r>
      <w:r w:rsidR="00626179">
        <w:rPr>
          <w:sz w:val="20"/>
        </w:rPr>
        <w:t xml:space="preserve">Station </w:t>
      </w:r>
      <w:r w:rsidR="00B1514D">
        <w:rPr>
          <w:sz w:val="20"/>
        </w:rPr>
        <w:t>KVGS</w:t>
      </w:r>
      <w:r w:rsidR="001059EF">
        <w:rPr>
          <w:sz w:val="20"/>
        </w:rPr>
        <w:t>(FM)</w:t>
      </w:r>
      <w:r w:rsidR="00626179">
        <w:rPr>
          <w:sz w:val="20"/>
        </w:rPr>
        <w:t>, Channel 300C</w:t>
      </w:r>
      <w:r w:rsidR="00B1514D">
        <w:rPr>
          <w:sz w:val="20"/>
        </w:rPr>
        <w:t xml:space="preserve">, </w:t>
      </w:r>
      <w:r w:rsidR="00B1514D">
        <w:rPr>
          <w:sz w:val="20"/>
        </w:rPr>
        <w:t>Meadview</w:t>
      </w:r>
      <w:r w:rsidR="00B1514D">
        <w:rPr>
          <w:sz w:val="20"/>
        </w:rPr>
        <w:t>, A</w:t>
      </w:r>
      <w:r w:rsidR="00EC4AB9">
        <w:rPr>
          <w:sz w:val="20"/>
        </w:rPr>
        <w:t xml:space="preserve">rizona </w:t>
      </w:r>
      <w:r w:rsidR="001059EF">
        <w:rPr>
          <w:sz w:val="20"/>
        </w:rPr>
        <w:t xml:space="preserve">(KVGS(FM) </w:t>
      </w:r>
      <w:r w:rsidR="00EC4AB9">
        <w:rPr>
          <w:sz w:val="20"/>
        </w:rPr>
        <w:t xml:space="preserve">protects Bagdad consistent with the requirements of 47 CFR </w:t>
      </w:r>
      <w:r w:rsidRPr="000824A1" w:rsidR="00EC4AB9">
        <w:rPr>
          <w:sz w:val="20"/>
        </w:rPr>
        <w:t>§</w:t>
      </w:r>
      <w:r w:rsidRPr="00B1514D" w:rsidR="00EC4AB9">
        <w:rPr>
          <w:sz w:val="20"/>
        </w:rPr>
        <w:t xml:space="preserve"> </w:t>
      </w:r>
      <w:r w:rsidR="00EC4AB9">
        <w:rPr>
          <w:sz w:val="20"/>
        </w:rPr>
        <w:t>73.</w:t>
      </w:r>
      <w:r w:rsidRPr="00B1514D" w:rsidR="00EC4AB9">
        <w:rPr>
          <w:sz w:val="20"/>
        </w:rPr>
        <w:t>215</w:t>
      </w:r>
      <w:r w:rsidR="00EC4AB9">
        <w:rPr>
          <w:sz w:val="20"/>
        </w:rPr>
        <w:t>(</w:t>
      </w:r>
      <w:r w:rsidRPr="00B1514D" w:rsidR="00EC4AB9">
        <w:rPr>
          <w:sz w:val="20"/>
        </w:rPr>
        <w:t>e)</w:t>
      </w:r>
      <w:r w:rsidR="00EC4AB9">
        <w:rPr>
          <w:sz w:val="20"/>
        </w:rPr>
        <w:t xml:space="preserve">. </w:t>
      </w:r>
    </w:p>
  </w:footnote>
  <w:footnote w:id="7">
    <w:p w:rsidR="001F3284" w:rsidP="00C55B52">
      <w:pPr>
        <w:pStyle w:val="FootnoteText"/>
        <w:tabs>
          <w:tab w:val="left" w:pos="4140"/>
        </w:tabs>
      </w:pPr>
      <w:r>
        <w:rPr>
          <w:rStyle w:val="FootnoteReference"/>
        </w:rPr>
        <w:footnoteRef/>
      </w:r>
      <w:r>
        <w:t xml:space="preserve"> </w:t>
      </w:r>
      <w:r>
        <w:rPr>
          <w:i/>
        </w:rPr>
        <w:t xml:space="preserve">See </w:t>
      </w:r>
      <w:r>
        <w:t xml:space="preserve">5 U.S.C. § 553(b)(B).  </w:t>
      </w:r>
    </w:p>
  </w:footnote>
  <w:footnote w:id="8">
    <w:p w:rsidR="00A943E0" w:rsidP="00EC4AB9">
      <w:pPr>
        <w:pStyle w:val="FootnoteText"/>
        <w:jc w:val="left"/>
      </w:pPr>
      <w:r>
        <w:rPr>
          <w:rStyle w:val="FootnoteReference"/>
        </w:rPr>
        <w:footnoteRef/>
      </w:r>
      <w:r>
        <w:t xml:space="preserve"> This allotment is conditioned </w:t>
      </w:r>
      <w:r w:rsidR="00A85621">
        <w:t xml:space="preserve">on </w:t>
      </w:r>
      <w:r w:rsidR="00F75280">
        <w:t>Entercom</w:t>
      </w:r>
      <w:r w:rsidR="00F75280">
        <w:t xml:space="preserve"> License LLC’s surrender of the license </w:t>
      </w:r>
      <w:r w:rsidR="00747088">
        <w:t xml:space="preserve">for cancellation </w:t>
      </w:r>
      <w:r w:rsidR="00F75280">
        <w:t>for Station KDND(FM)</w:t>
      </w:r>
      <w:r w:rsidR="00747088">
        <w:t>,</w:t>
      </w:r>
      <w:r w:rsidR="00F75280">
        <w:t xml:space="preserve"> and the </w:t>
      </w:r>
      <w:r w:rsidR="00747088">
        <w:t xml:space="preserve">finality of the </w:t>
      </w:r>
      <w:r w:rsidR="00F75280">
        <w:t xml:space="preserve">Commission’s termination of the proceeding designating the </w:t>
      </w:r>
      <w:r w:rsidR="00747088">
        <w:t xml:space="preserve">KDND(FM) </w:t>
      </w:r>
      <w:r w:rsidR="00F75280">
        <w:t xml:space="preserve">renewal application </w:t>
      </w:r>
      <w:r w:rsidR="00747088">
        <w:t>for hearing</w:t>
      </w:r>
      <w:r w:rsidR="00F75280">
        <w:t xml:space="preserve">.  </w:t>
      </w:r>
      <w:r w:rsidR="00F75280">
        <w:rPr>
          <w:i/>
        </w:rPr>
        <w:t xml:space="preserve">See </w:t>
      </w:r>
      <w:r w:rsidR="00F75280">
        <w:rPr>
          <w:i/>
        </w:rPr>
        <w:t>Entercom</w:t>
      </w:r>
      <w:r w:rsidR="00F75280">
        <w:rPr>
          <w:i/>
        </w:rPr>
        <w:t xml:space="preserve"> </w:t>
      </w:r>
      <w:r w:rsidRPr="00F75280" w:rsidR="00F75280">
        <w:rPr>
          <w:i/>
        </w:rPr>
        <w:t>License LLC</w:t>
      </w:r>
      <w:r w:rsidR="00F75280">
        <w:t>, Order, FCC 19-60 (July 8, 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pPr>
      <w:pStyle w:val="Header"/>
      <w:tabs>
        <w:tab w:val="clear" w:pos="4320"/>
        <w:tab w:val="center" w:pos="4680"/>
        <w:tab w:val="clear" w:pos="8640"/>
        <w:tab w:val="right" w:pos="9360"/>
      </w:tabs>
      <w:rPr>
        <w:b/>
      </w:rPr>
    </w:pPr>
    <w:r>
      <w:rPr>
        <w:b/>
      </w:rPr>
      <w:tab/>
      <w:t xml:space="preserve">                                              Federal Communications Commission                                 DA 1</w:t>
    </w:r>
    <w:r w:rsidR="00256770">
      <w:rPr>
        <w:b/>
      </w:rPr>
      <w:t>9-</w:t>
    </w:r>
    <w:r w:rsidR="002956B7">
      <w:rPr>
        <w:b/>
      </w:rPr>
      <w:t>885</w:t>
    </w:r>
  </w:p>
  <w:p w:rsidR="001F3284">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10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F3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pPr>
      <w:pStyle w:val="Header"/>
      <w:tabs>
        <w:tab w:val="clear" w:pos="4320"/>
        <w:tab w:val="center" w:pos="4680"/>
        <w:tab w:val="clear" w:pos="8640"/>
        <w:tab w:val="right" w:pos="9360"/>
      </w:tabs>
      <w:rPr>
        <w:b/>
      </w:rPr>
    </w:pPr>
    <w:r>
      <w:rPr>
        <w:b/>
      </w:rPr>
      <w:tab/>
      <w:t>Federal Communications Commission</w:t>
    </w:r>
    <w:r>
      <w:rPr>
        <w:b/>
      </w:rPr>
      <w:tab/>
      <w:t xml:space="preserve">DA </w:t>
    </w:r>
    <w:r w:rsidR="00256770">
      <w:rPr>
        <w:b/>
      </w:rPr>
      <w:t>19-</w:t>
    </w:r>
    <w:r w:rsidR="002956B7">
      <w:rPr>
        <w:b/>
      </w:rPr>
      <w:t>885</w:t>
    </w:r>
  </w:p>
  <w:p w:rsidR="001F328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4B263714"/>
    <w:multiLevelType w:val="hybridMultilevel"/>
    <w:tmpl w:val="23746978"/>
    <w:lvl w:ilvl="0">
      <w:start w:val="1"/>
      <w:numFmt w:val="lowerLetter"/>
      <w:lvlText w:val="%1)"/>
      <w:lvlJc w:val="left"/>
      <w:pPr>
        <w:tabs>
          <w:tab w:val="num" w:pos="480"/>
        </w:tabs>
        <w:ind w:left="480" w:hanging="360"/>
      </w:pPr>
      <w:rPr>
        <w:rFonts w:ascii="Times New Roman" w:hAnsi="Times New Roman" w:cs="Times New Roman"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5A"/>
    <w:rsid w:val="000172D6"/>
    <w:rsid w:val="000467EF"/>
    <w:rsid w:val="000824A1"/>
    <w:rsid w:val="000B6288"/>
    <w:rsid w:val="000E0EF9"/>
    <w:rsid w:val="001059EF"/>
    <w:rsid w:val="00121CF9"/>
    <w:rsid w:val="001330CD"/>
    <w:rsid w:val="001E7AC7"/>
    <w:rsid w:val="001F3284"/>
    <w:rsid w:val="00232BDC"/>
    <w:rsid w:val="00252048"/>
    <w:rsid w:val="00256770"/>
    <w:rsid w:val="002956B7"/>
    <w:rsid w:val="002F692B"/>
    <w:rsid w:val="003B0E4E"/>
    <w:rsid w:val="003C2D89"/>
    <w:rsid w:val="003E6063"/>
    <w:rsid w:val="00420CEC"/>
    <w:rsid w:val="00441CCD"/>
    <w:rsid w:val="004A4ABA"/>
    <w:rsid w:val="004B550B"/>
    <w:rsid w:val="004E5DD5"/>
    <w:rsid w:val="00516162"/>
    <w:rsid w:val="00520F56"/>
    <w:rsid w:val="005777E8"/>
    <w:rsid w:val="00626179"/>
    <w:rsid w:val="00682E96"/>
    <w:rsid w:val="006A4535"/>
    <w:rsid w:val="006E59A7"/>
    <w:rsid w:val="007223FD"/>
    <w:rsid w:val="00747088"/>
    <w:rsid w:val="00753485"/>
    <w:rsid w:val="007B1D91"/>
    <w:rsid w:val="007B4391"/>
    <w:rsid w:val="007B689C"/>
    <w:rsid w:val="007B7591"/>
    <w:rsid w:val="007F7D83"/>
    <w:rsid w:val="0084425B"/>
    <w:rsid w:val="008608DD"/>
    <w:rsid w:val="008707A7"/>
    <w:rsid w:val="00873140"/>
    <w:rsid w:val="008A76CB"/>
    <w:rsid w:val="00924CC1"/>
    <w:rsid w:val="0093368F"/>
    <w:rsid w:val="00935179"/>
    <w:rsid w:val="00955E41"/>
    <w:rsid w:val="0096149B"/>
    <w:rsid w:val="009B3271"/>
    <w:rsid w:val="00A15F11"/>
    <w:rsid w:val="00A2345D"/>
    <w:rsid w:val="00A77B6C"/>
    <w:rsid w:val="00A85621"/>
    <w:rsid w:val="00A943E0"/>
    <w:rsid w:val="00A94D3E"/>
    <w:rsid w:val="00AA7047"/>
    <w:rsid w:val="00AB3A77"/>
    <w:rsid w:val="00AC229A"/>
    <w:rsid w:val="00AE0A26"/>
    <w:rsid w:val="00AE19FD"/>
    <w:rsid w:val="00B1345A"/>
    <w:rsid w:val="00B1514D"/>
    <w:rsid w:val="00B25E16"/>
    <w:rsid w:val="00B374D8"/>
    <w:rsid w:val="00BD6A66"/>
    <w:rsid w:val="00C109E1"/>
    <w:rsid w:val="00C123E1"/>
    <w:rsid w:val="00C55B52"/>
    <w:rsid w:val="00D070F6"/>
    <w:rsid w:val="00DF1230"/>
    <w:rsid w:val="00E017FA"/>
    <w:rsid w:val="00E70A2A"/>
    <w:rsid w:val="00EC4AB9"/>
    <w:rsid w:val="00F3027F"/>
    <w:rsid w:val="00F752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3C48D57-36F3-4828-820E-2477FBCD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Allocations%20NPRM.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Allocations NPRM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