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rsidRPr="003E4569">
      <w:pPr>
        <w:jc w:val="right"/>
        <w:rPr>
          <w:b/>
          <w:szCs w:val="22"/>
        </w:rPr>
      </w:pPr>
      <w:r w:rsidRPr="003E4569">
        <w:rPr>
          <w:b/>
          <w:szCs w:val="22"/>
        </w:rPr>
        <w:t>DA 1</w:t>
      </w:r>
      <w:r w:rsidRPr="003E4569" w:rsidR="004B6ED4">
        <w:rPr>
          <w:b/>
          <w:szCs w:val="22"/>
        </w:rPr>
        <w:t>9</w:t>
      </w:r>
      <w:r w:rsidRPr="003E4569">
        <w:rPr>
          <w:b/>
          <w:szCs w:val="22"/>
        </w:rPr>
        <w:t>-</w:t>
      </w:r>
      <w:r w:rsidRPr="003E4569" w:rsidR="0021054C">
        <w:rPr>
          <w:b/>
          <w:szCs w:val="22"/>
        </w:rPr>
        <w:t>887</w:t>
      </w:r>
    </w:p>
    <w:p w:rsidR="00C66856" w:rsidRPr="003E4569">
      <w:pPr>
        <w:jc w:val="right"/>
        <w:rPr>
          <w:b/>
          <w:szCs w:val="22"/>
        </w:rPr>
      </w:pPr>
      <w:r w:rsidRPr="003E4569">
        <w:rPr>
          <w:b/>
          <w:szCs w:val="22"/>
        </w:rPr>
        <w:t>Released</w:t>
      </w:r>
      <w:r w:rsidRPr="003E4569" w:rsidR="00561AA8">
        <w:rPr>
          <w:b/>
          <w:szCs w:val="22"/>
        </w:rPr>
        <w:t xml:space="preserve">: </w:t>
      </w:r>
      <w:r w:rsidRPr="003E4569">
        <w:rPr>
          <w:b/>
          <w:szCs w:val="22"/>
        </w:rPr>
        <w:t xml:space="preserve"> </w:t>
      </w:r>
      <w:r w:rsidRPr="003E4569" w:rsidR="00AD71A1">
        <w:rPr>
          <w:b/>
          <w:szCs w:val="22"/>
        </w:rPr>
        <w:t>September</w:t>
      </w:r>
      <w:r w:rsidRPr="003E4569" w:rsidR="0008173F">
        <w:rPr>
          <w:b/>
          <w:szCs w:val="22"/>
        </w:rPr>
        <w:t xml:space="preserve"> </w:t>
      </w:r>
      <w:r w:rsidRPr="003E4569" w:rsidR="0021054C">
        <w:rPr>
          <w:b/>
          <w:szCs w:val="22"/>
        </w:rPr>
        <w:t>6</w:t>
      </w:r>
      <w:r w:rsidRPr="003E4569">
        <w:rPr>
          <w:b/>
          <w:szCs w:val="22"/>
        </w:rPr>
        <w:t>, 201</w:t>
      </w:r>
      <w:r w:rsidRPr="003E4569" w:rsidR="0008173F">
        <w:rPr>
          <w:b/>
          <w:szCs w:val="22"/>
        </w:rPr>
        <w:t>9</w:t>
      </w:r>
    </w:p>
    <w:p w:rsidR="00C66856" w:rsidRPr="003E4569">
      <w:pPr>
        <w:jc w:val="center"/>
        <w:rPr>
          <w:b/>
          <w:szCs w:val="22"/>
        </w:rPr>
      </w:pPr>
      <w:bookmarkStart w:id="0" w:name="_GoBack"/>
      <w:bookmarkEnd w:id="0"/>
    </w:p>
    <w:p w:rsidR="00C66856" w:rsidRPr="003E4569" w:rsidP="00844086">
      <w:pPr>
        <w:tabs>
          <w:tab w:val="center" w:pos="5184"/>
        </w:tabs>
        <w:jc w:val="center"/>
        <w:rPr>
          <w:b/>
          <w:szCs w:val="22"/>
        </w:rPr>
      </w:pPr>
      <w:bookmarkStart w:id="1" w:name="OLE_LINK1"/>
      <w:bookmarkStart w:id="2" w:name="OLE_LINK2"/>
      <w:r w:rsidRPr="003E4569">
        <w:rPr>
          <w:b/>
          <w:szCs w:val="22"/>
        </w:rPr>
        <w:t xml:space="preserve">PUBLIC SAFETY &amp; HOMELAND SECURITY BUREAU </w:t>
      </w:r>
      <w:bookmarkEnd w:id="1"/>
      <w:bookmarkEnd w:id="2"/>
      <w:r w:rsidRPr="003E4569">
        <w:rPr>
          <w:b/>
          <w:szCs w:val="22"/>
        </w:rPr>
        <w:t>ANNOUNCES PARTIAL DEACTIVATION OF THE DISASTER INFORMATION REPORTING SYSTEM FOR HURRICANE</w:t>
      </w:r>
      <w:r w:rsidRPr="003E4569" w:rsidR="0008173F">
        <w:rPr>
          <w:b/>
          <w:szCs w:val="22"/>
        </w:rPr>
        <w:t xml:space="preserve"> DORIAN</w:t>
      </w:r>
    </w:p>
    <w:p w:rsidR="00C66856" w:rsidRPr="003E4569">
      <w:pPr>
        <w:tabs>
          <w:tab w:val="center" w:pos="5184"/>
        </w:tabs>
        <w:jc w:val="center"/>
        <w:rPr>
          <w:szCs w:val="22"/>
        </w:rPr>
      </w:pPr>
    </w:p>
    <w:p w:rsidR="00EE0FFD" w:rsidRPr="003E4569" w:rsidP="00EE0FFD">
      <w:pPr>
        <w:tabs>
          <w:tab w:val="center" w:pos="5184"/>
        </w:tabs>
        <w:jc w:val="center"/>
        <w:rPr>
          <w:b/>
          <w:szCs w:val="22"/>
        </w:rPr>
      </w:pPr>
      <w:r w:rsidRPr="003E4569">
        <w:rPr>
          <w:b/>
          <w:szCs w:val="22"/>
        </w:rPr>
        <w:t xml:space="preserve">DIRS deactivated for all counties </w:t>
      </w:r>
      <w:r w:rsidRPr="003E4569" w:rsidR="00A84845">
        <w:rPr>
          <w:b/>
          <w:szCs w:val="22"/>
        </w:rPr>
        <w:t>Georgia</w:t>
      </w:r>
    </w:p>
    <w:p w:rsidR="00844086" w:rsidRPr="003E4569" w:rsidP="00EE0FFD">
      <w:pPr>
        <w:tabs>
          <w:tab w:val="center" w:pos="5184"/>
        </w:tabs>
        <w:jc w:val="center"/>
        <w:rPr>
          <w:b/>
          <w:szCs w:val="22"/>
        </w:rPr>
      </w:pPr>
      <w:r w:rsidRPr="003E4569">
        <w:rPr>
          <w:b/>
          <w:szCs w:val="22"/>
        </w:rPr>
        <w:t>DIRS remains active in North Carolina and South Carolina</w:t>
      </w:r>
    </w:p>
    <w:p w:rsidR="001848C7" w:rsidRPr="003E4569" w:rsidP="001848C7">
      <w:pPr>
        <w:tabs>
          <w:tab w:val="center" w:pos="5184"/>
        </w:tabs>
        <w:spacing w:after="120"/>
        <w:jc w:val="center"/>
        <w:rPr>
          <w:b/>
          <w:szCs w:val="22"/>
        </w:rPr>
      </w:pPr>
    </w:p>
    <w:p w:rsidR="00844086" w:rsidRPr="00AF7033" w:rsidP="001848C7">
      <w:pPr>
        <w:pStyle w:val="ParaNum0"/>
        <w:numPr>
          <w:ilvl w:val="0"/>
          <w:numId w:val="0"/>
        </w:numPr>
        <w:ind w:firstLine="720"/>
      </w:pPr>
      <w:r w:rsidRPr="00AF7033">
        <w:t xml:space="preserve">At the request of the </w:t>
      </w:r>
      <w:r>
        <w:t>Department of Homeland Security, National Coordinating Center for Communications</w:t>
      </w:r>
      <w:r w:rsidR="00AF74C9">
        <w:t>,</w:t>
      </w:r>
      <w:r>
        <w:t xml:space="preserve"> and the </w:t>
      </w:r>
      <w:r w:rsidRPr="00AF7033">
        <w:t>Federal Emergency Management Agency</w:t>
      </w:r>
      <w:r>
        <w:t xml:space="preserve">, </w:t>
      </w:r>
      <w:r w:rsidRPr="00AF7033">
        <w:t>the Federal Communications Commission (FCC) has deactivated its Disaster Information Reporting System (DIRS)</w:t>
      </w:r>
      <w:r>
        <w:rPr>
          <w:rStyle w:val="FootnoteReference"/>
          <w:bCs/>
          <w:color w:val="000000"/>
          <w:sz w:val="24"/>
          <w:szCs w:val="24"/>
        </w:rPr>
        <w:footnoteReference w:id="2"/>
      </w:r>
      <w:r w:rsidRPr="00AF7033">
        <w:rPr>
          <w:rStyle w:val="FootnoteReference"/>
          <w:bCs/>
          <w:color w:val="000000"/>
          <w:sz w:val="24"/>
          <w:szCs w:val="24"/>
        </w:rPr>
        <w:t xml:space="preserve"> </w:t>
      </w:r>
      <w:r w:rsidRPr="00AF7033">
        <w:t>for the following areas:</w:t>
      </w:r>
    </w:p>
    <w:p w:rsidR="00A84845" w:rsidRPr="00A84845" w:rsidP="001848C7">
      <w:pPr>
        <w:pStyle w:val="ParaNum0"/>
        <w:numPr>
          <w:ilvl w:val="0"/>
          <w:numId w:val="0"/>
        </w:numPr>
        <w:rPr>
          <w:b/>
        </w:rPr>
      </w:pPr>
      <w:r w:rsidRPr="00A84845">
        <w:rPr>
          <w:b/>
        </w:rPr>
        <w:t xml:space="preserve">Georgia:  </w:t>
      </w:r>
      <w:r w:rsidRPr="00A84845">
        <w:t>Appling, Atkinson, Bacon, Brantley, Bryan, Bulloch, Burke, Camden, Candler, Charlton, Chatham, Clinch, Coffee, Echols, Effingham, Emanuel, Evans, Glynn, Jeff Davis, Jenkins, Liberty, Long, Mcintosh, Montgomery, Pierce, Richmond, Screven, Tattnall, Telfair, Toombs, Ware, Wayne and Wheeler</w:t>
      </w:r>
    </w:p>
    <w:p w:rsidR="00844086" w:rsidRPr="0029671B" w:rsidP="001848C7">
      <w:pPr>
        <w:pStyle w:val="ParaNum0"/>
        <w:numPr>
          <w:ilvl w:val="0"/>
          <w:numId w:val="0"/>
        </w:numPr>
        <w:ind w:firstLine="720"/>
        <w:rPr>
          <w:color w:val="000000"/>
        </w:rPr>
      </w:pPr>
      <w:r w:rsidRPr="0029671B">
        <w:rPr>
          <w:b/>
          <w:bCs/>
          <w:color w:val="000000"/>
        </w:rPr>
        <w:t xml:space="preserve">Communications providers do not need to provide any </w:t>
      </w:r>
      <w:r w:rsidRPr="0029671B">
        <w:rPr>
          <w:b/>
        </w:rPr>
        <w:t xml:space="preserve">additional reporting in DIRS for these areas </w:t>
      </w:r>
      <w:r>
        <w:rPr>
          <w:b/>
        </w:rPr>
        <w:t xml:space="preserve">in </w:t>
      </w:r>
      <w:r w:rsidR="001B264B">
        <w:rPr>
          <w:b/>
        </w:rPr>
        <w:t>Georgia</w:t>
      </w:r>
      <w:r>
        <w:rPr>
          <w:b/>
        </w:rPr>
        <w:t xml:space="preserve"> </w:t>
      </w:r>
      <w:r w:rsidRPr="0029671B">
        <w:rPr>
          <w:b/>
        </w:rPr>
        <w:t xml:space="preserve">with respect to Hurricane </w:t>
      </w:r>
      <w:r>
        <w:rPr>
          <w:b/>
        </w:rPr>
        <w:t>Dorian</w:t>
      </w:r>
      <w:r w:rsidRPr="0029671B">
        <w:rPr>
          <w:b/>
        </w:rPr>
        <w:t>.</w:t>
      </w:r>
      <w:r w:rsidRPr="0029671B">
        <w:t xml:space="preserve">  </w:t>
      </w:r>
      <w:r w:rsidRPr="0029671B">
        <w:rPr>
          <w:rFonts w:cs="Calibri"/>
        </w:rPr>
        <w:t>The FCC will, however, continue to monitor the status of communications services and work with providers and government partners in these areas as needed to support remaining restoration efforts.</w:t>
      </w:r>
    </w:p>
    <w:p w:rsidR="00844086" w:rsidRPr="00AF7033" w:rsidP="001848C7">
      <w:pPr>
        <w:spacing w:after="120"/>
        <w:rPr>
          <w:b/>
          <w:sz w:val="24"/>
          <w:szCs w:val="24"/>
        </w:rPr>
      </w:pPr>
      <w:r w:rsidRPr="00AF7033">
        <w:rPr>
          <w:b/>
          <w:sz w:val="24"/>
          <w:szCs w:val="24"/>
        </w:rPr>
        <w:t>DIRS remains activated in the following areas:</w:t>
      </w:r>
    </w:p>
    <w:p w:rsidR="00844086" w:rsidRPr="00A84845" w:rsidP="001848C7">
      <w:pPr>
        <w:pStyle w:val="ParaNum0"/>
        <w:numPr>
          <w:ilvl w:val="0"/>
          <w:numId w:val="0"/>
        </w:numPr>
      </w:pPr>
      <w:r>
        <w:rPr>
          <w:b/>
        </w:rPr>
        <w:t>North Carolina</w:t>
      </w:r>
      <w:r w:rsidRPr="005D11C6">
        <w:rPr>
          <w:b/>
        </w:rPr>
        <w:t xml:space="preserve">: </w:t>
      </w:r>
      <w:r>
        <w:rPr>
          <w:b/>
        </w:rPr>
        <w:t xml:space="preserve"> </w:t>
      </w:r>
      <w:r w:rsidRPr="00A84845">
        <w:t>Beaufort, Bertie, Bladen, Brunswick, Camden, Carteret, Chowan, Columbus, Craven, Cumberland, Currituck, Dare, Duplin, Edgecombe, Gates, Greene, Halifax, Hertford, Hoke, Hyde, Johnston, Jones, Lenoir, Martin, New Hanover, Onslow, Pamlico, Pasquotank, Pender, Perquimans, Pitt, Robeson, Sampson, Scotland, Tyrrell, Washington, Wayne and Wilson</w:t>
      </w:r>
    </w:p>
    <w:p w:rsidR="00844086" w:rsidRPr="00A84845" w:rsidP="001848C7">
      <w:pPr>
        <w:pStyle w:val="ParaNum0"/>
        <w:numPr>
          <w:ilvl w:val="0"/>
          <w:numId w:val="0"/>
        </w:numPr>
      </w:pPr>
      <w:r w:rsidRPr="00A84845">
        <w:rPr>
          <w:b/>
        </w:rPr>
        <w:t>South</w:t>
      </w:r>
      <w:r>
        <w:rPr>
          <w:b/>
        </w:rPr>
        <w:t xml:space="preserve"> </w:t>
      </w:r>
      <w:r w:rsidRPr="00A84845">
        <w:rPr>
          <w:b/>
        </w:rPr>
        <w:t>Carolina</w:t>
      </w:r>
      <w:r w:rsidRPr="005D11C6">
        <w:rPr>
          <w:b/>
        </w:rPr>
        <w:t xml:space="preserve">: </w:t>
      </w:r>
      <w:r>
        <w:rPr>
          <w:b/>
        </w:rPr>
        <w:t xml:space="preserve"> </w:t>
      </w:r>
      <w:r w:rsidRPr="00A84845">
        <w:t>Aiken, Allendale, Bamberg, Barnwell, Beaufort, Berkeley, Calhoun, Charleston, Clarendon, Colleton, Darlington, Dillon, Dorchester, Florence, Georgetown, Hampton, Horry, Jasper, Lee, Lexington, Marion, Marlboro, Orangeburg, Richland, Sumter and Williamsburg</w:t>
      </w:r>
    </w:p>
    <w:p w:rsidR="00844086" w:rsidRPr="0029671B" w:rsidP="001848C7">
      <w:pPr>
        <w:pStyle w:val="ParaNum0"/>
        <w:numPr>
          <w:ilvl w:val="0"/>
          <w:numId w:val="0"/>
        </w:numPr>
        <w:ind w:firstLine="720"/>
      </w:pPr>
      <w:r w:rsidRPr="0029671B">
        <w:t>The FCC appreciates the cooperation of all the communications providers that have voluntarily submitted data to DIRS in</w:t>
      </w:r>
      <w:r>
        <w:t xml:space="preserve"> the aftermath of Hurricane Dorian</w:t>
      </w:r>
      <w:r w:rsidRPr="0029671B">
        <w:t>.  In disaster situations, information on the operational status of communications services provides critical situational awareness and supports effective emergency response and restoration efforts.  The FCC expects to continue to publish daily communications status reports while DIRS remains active for any area i</w:t>
      </w:r>
      <w:r>
        <w:t>n connection with Hurricane Dorian.</w:t>
      </w:r>
    </w:p>
    <w:p w:rsidR="00844086" w:rsidP="001848C7">
      <w:pPr>
        <w:pStyle w:val="ParaNum0"/>
        <w:widowControl/>
        <w:numPr>
          <w:ilvl w:val="0"/>
          <w:numId w:val="0"/>
        </w:numPr>
        <w:ind w:firstLine="720"/>
      </w:pPr>
      <w:r w:rsidRPr="0029671B">
        <w:t xml:space="preserve">All FCC releases in connection with Hurricane </w:t>
      </w:r>
      <w:r>
        <w:t>Dorian</w:t>
      </w:r>
      <w:r w:rsidRPr="0029671B">
        <w:t xml:space="preserve"> may be found</w:t>
      </w:r>
      <w:r>
        <w:t xml:space="preserve"> at </w:t>
      </w:r>
      <w:hyperlink r:id="rId5" w:history="1">
        <w:r w:rsidRPr="00A23C96">
          <w:rPr>
            <w:rStyle w:val="Hyperlink"/>
          </w:rPr>
          <w:t>https://www.fcc.gov/dorian</w:t>
        </w:r>
      </w:hyperlink>
    </w:p>
    <w:p w:rsidR="00844086" w:rsidP="001848C7">
      <w:pPr>
        <w:pStyle w:val="ParaNum0"/>
        <w:numPr>
          <w:ilvl w:val="0"/>
          <w:numId w:val="0"/>
        </w:numPr>
        <w:ind w:firstLine="720"/>
      </w:pPr>
      <w:r w:rsidRPr="0029671B">
        <w:t xml:space="preserve">For further information, please contact John Healy of the Public Safety and Homeland Security Bureau’s Cybersecurity and Communications Reliability Division at (215) 847-8094 or </w:t>
      </w:r>
      <w:hyperlink r:id="rId6" w:history="1">
        <w:r w:rsidRPr="0029671B">
          <w:rPr>
            <w:rStyle w:val="Hyperlink"/>
            <w:sz w:val="24"/>
            <w:szCs w:val="24"/>
          </w:rPr>
          <w:t>John.Healy@fcc.gov</w:t>
        </w:r>
      </w:hyperlink>
      <w:r w:rsidRPr="0029671B">
        <w:t xml:space="preserve">.  </w:t>
      </w:r>
    </w:p>
    <w:p w:rsidR="00844086" w:rsidRPr="003E4569" w:rsidP="00844086">
      <w:pPr>
        <w:rPr>
          <w:szCs w:val="22"/>
        </w:rPr>
      </w:pPr>
    </w:p>
    <w:p w:rsidR="0098702E" w:rsidRPr="003E4569" w:rsidP="001848C7">
      <w:pPr>
        <w:jc w:val="center"/>
        <w:rPr>
          <w:szCs w:val="22"/>
        </w:rPr>
      </w:pPr>
      <w:r w:rsidRPr="003E4569">
        <w:rPr>
          <w:szCs w:val="22"/>
        </w:rPr>
        <w:t xml:space="preserve">- </w:t>
      </w:r>
      <w:r w:rsidRPr="003E4569">
        <w:rPr>
          <w:b/>
          <w:szCs w:val="22"/>
        </w:rPr>
        <w:t>FCC</w:t>
      </w:r>
      <w:r w:rsidRPr="003E4569">
        <w:rPr>
          <w:szCs w:val="22"/>
        </w:rPr>
        <w:t xml:space="preserve"> -</w:t>
      </w:r>
    </w:p>
    <w:sectPr w:rsidSect="001848C7">
      <w:headerReference w:type="default" r:id="rId7"/>
      <w:footerReference w:type="default" r:id="rId8"/>
      <w:headerReference w:type="first" r:id="rId9"/>
      <w:footerReference w:type="first" r:id="rId10"/>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3E456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2E71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569" w:rsidP="003E4569">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7F54">
      <w:r>
        <w:separator/>
      </w:r>
    </w:p>
  </w:footnote>
  <w:footnote w:type="continuationSeparator" w:id="1">
    <w:p w:rsidR="00407F54">
      <w:r>
        <w:continuationSeparator/>
      </w:r>
    </w:p>
  </w:footnote>
  <w:footnote w:id="2">
    <w:p w:rsidR="00844086" w:rsidP="00844086">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C7" w:rsidP="001848C7">
    <w:pPr>
      <w:tabs>
        <w:tab w:val="center" w:pos="4680"/>
        <w:tab w:val="right" w:pos="9360"/>
      </w:tabs>
      <w:rPr>
        <w:snapToGrid/>
      </w:rPr>
    </w:pPr>
    <w:r>
      <w:rPr>
        <w:b/>
      </w:rPr>
      <w:tab/>
      <w:t>Federal Communications Commission</w:t>
    </w:r>
    <w:r>
      <w:rPr>
        <w:b/>
      </w:rPr>
      <w:tab/>
      <w:t>DA 19-887</w:t>
    </w:r>
  </w:p>
  <w:p w:rsidR="001848C7" w:rsidP="001848C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1848C7" w:rsidP="001848C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3E4569">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width:41.75pt;height:41.75pt;margin-top:8.5pt;margin-left:-50.85pt;position:absolute;visibility:visible;z-index:251661312" o:allowincell="f">
          <v:imagedata r:id="rId1" o:title=""/>
          <w10:wrap type="topAndBottom"/>
        </v:shape>
      </w:pict>
    </w:r>
    <w:r w:rsidR="00F904A7">
      <w:t>PUBLIC NOTICE</w:t>
    </w:r>
  </w:p>
  <w:p w:rsidR="001848C7" w:rsidP="003E4569">
    <w:pPr>
      <w:pStyle w:val="Header"/>
      <w:ind w:firstLine="0"/>
    </w:pPr>
    <w:r>
      <w:rPr>
        <w:noProof/>
      </w:rPr>
      <w:pict>
        <v:shapetype id="_x0000_t202" coordsize="21600,21600" o:spt="202" path="m,l,21600r21600,l21600,xe">
          <v:stroke joinstyle="miter"/>
          <v:path gradientshapeok="t" o:connecttype="rect"/>
        </v:shapetype>
        <v:shape id="Text Box 3" o:spid="_x0000_s2051" type="#_x0000_t202" style="width:207.95pt;height:39pt;margin-top:13.05pt;margin-left:267.75pt;position:absolute;visibility:visible;z-index:251660288"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rsidR="00C66856" w:rsidRPr="001848C7" w:rsidP="001848C7">
                <w:pPr>
                  <w:jc w:val="right"/>
                  <w:rPr>
                    <w:rFonts w:ascii="Arial" w:hAnsi="Arial"/>
                    <w:b/>
                    <w:sz w:val="16"/>
                  </w:rPr>
                </w:pPr>
                <w:r>
                  <w:rPr>
                    <w:rFonts w:ascii="Arial" w:hAnsi="Arial"/>
                    <w:b/>
                    <w:sz w:val="16"/>
                  </w:rPr>
                  <w:t>TTY: 1-888-835-5322</w:t>
                </w:r>
              </w:p>
            </w:txbxContent>
          </v:textbox>
        </v:shape>
      </w:pict>
    </w:r>
    <w:r>
      <w:rPr>
        <w:noProof/>
      </w:rPr>
      <w:pict>
        <v:shape id="Text Box 1" o:spid="_x0000_s2052" type="#_x0000_t202" style="width:244.8pt;height:50.4pt;margin-top:5.85pt;margin-left:-3.75pt;position:absolute;visibility:visible;z-index:251658240"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p>
  <w:p w:rsidR="00C66856" w:rsidP="003E4569">
    <w:pPr>
      <w:pStyle w:val="Header"/>
      <w:ind w:firstLine="0"/>
      <w:rPr>
        <w:sz w:val="28"/>
      </w:rPr>
    </w:pPr>
    <w:r>
      <w:rPr>
        <w:noProof/>
      </w:rPr>
      <w:pict>
        <v:line id="Line 2" o:spid="_x0000_s2053" style="position:absolute;visibility:visible;z-index:251659264" from="2.45pt,1.35pt" to="470.45pt,1.3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370A7"/>
    <w:rsid w:val="00042368"/>
    <w:rsid w:val="00076F11"/>
    <w:rsid w:val="0008173F"/>
    <w:rsid w:val="00084A19"/>
    <w:rsid w:val="00157E7D"/>
    <w:rsid w:val="00160CCC"/>
    <w:rsid w:val="001848C7"/>
    <w:rsid w:val="001869BD"/>
    <w:rsid w:val="0019425B"/>
    <w:rsid w:val="001A4D9E"/>
    <w:rsid w:val="001B264B"/>
    <w:rsid w:val="0021054C"/>
    <w:rsid w:val="002526CE"/>
    <w:rsid w:val="0029671B"/>
    <w:rsid w:val="002E7143"/>
    <w:rsid w:val="003E4569"/>
    <w:rsid w:val="00407F54"/>
    <w:rsid w:val="00422BF8"/>
    <w:rsid w:val="004B6ED4"/>
    <w:rsid w:val="00504CE4"/>
    <w:rsid w:val="0054638A"/>
    <w:rsid w:val="00561AA8"/>
    <w:rsid w:val="005A6E08"/>
    <w:rsid w:val="005D11C6"/>
    <w:rsid w:val="00621197"/>
    <w:rsid w:val="00630B6D"/>
    <w:rsid w:val="007067F9"/>
    <w:rsid w:val="0073083E"/>
    <w:rsid w:val="00761840"/>
    <w:rsid w:val="007C331F"/>
    <w:rsid w:val="007E0FB0"/>
    <w:rsid w:val="007F2DB8"/>
    <w:rsid w:val="00812B05"/>
    <w:rsid w:val="00844086"/>
    <w:rsid w:val="008B3972"/>
    <w:rsid w:val="008E4556"/>
    <w:rsid w:val="0098702E"/>
    <w:rsid w:val="009B0810"/>
    <w:rsid w:val="009D09AC"/>
    <w:rsid w:val="009F6F62"/>
    <w:rsid w:val="00A23C96"/>
    <w:rsid w:val="00A351F6"/>
    <w:rsid w:val="00A81330"/>
    <w:rsid w:val="00A84845"/>
    <w:rsid w:val="00A90239"/>
    <w:rsid w:val="00AD71A1"/>
    <w:rsid w:val="00AF7033"/>
    <w:rsid w:val="00AF74C9"/>
    <w:rsid w:val="00B262AF"/>
    <w:rsid w:val="00BD2D0F"/>
    <w:rsid w:val="00C37299"/>
    <w:rsid w:val="00C66856"/>
    <w:rsid w:val="00C72073"/>
    <w:rsid w:val="00CA1E1B"/>
    <w:rsid w:val="00D06356"/>
    <w:rsid w:val="00D610F8"/>
    <w:rsid w:val="00E41B65"/>
    <w:rsid w:val="00E51222"/>
    <w:rsid w:val="00E76079"/>
    <w:rsid w:val="00ED7E35"/>
    <w:rsid w:val="00EE0FFD"/>
    <w:rsid w:val="00F21F7B"/>
    <w:rsid w:val="00F904A7"/>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69"/>
    <w:pPr>
      <w:widowControl w:val="0"/>
    </w:pPr>
    <w:rPr>
      <w:snapToGrid w:val="0"/>
      <w:kern w:val="28"/>
      <w:sz w:val="22"/>
    </w:rPr>
  </w:style>
  <w:style w:type="paragraph" w:styleId="Heading1">
    <w:name w:val="heading 1"/>
    <w:basedOn w:val="Normal"/>
    <w:next w:val="ParaNum0"/>
    <w:qFormat/>
    <w:rsid w:val="003E4569"/>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3E4569"/>
    <w:pPr>
      <w:keepNext/>
      <w:numPr>
        <w:ilvl w:val="1"/>
        <w:numId w:val="22"/>
      </w:numPr>
      <w:spacing w:after="120"/>
      <w:outlineLvl w:val="1"/>
    </w:pPr>
    <w:rPr>
      <w:b/>
    </w:rPr>
  </w:style>
  <w:style w:type="paragraph" w:styleId="Heading3">
    <w:name w:val="heading 3"/>
    <w:basedOn w:val="Normal"/>
    <w:next w:val="ParaNum0"/>
    <w:qFormat/>
    <w:rsid w:val="003E4569"/>
    <w:pPr>
      <w:keepNext/>
      <w:numPr>
        <w:ilvl w:val="2"/>
        <w:numId w:val="22"/>
      </w:numPr>
      <w:tabs>
        <w:tab w:val="left" w:pos="2160"/>
      </w:tabs>
      <w:spacing w:after="120"/>
      <w:outlineLvl w:val="2"/>
    </w:pPr>
    <w:rPr>
      <w:b/>
    </w:rPr>
  </w:style>
  <w:style w:type="paragraph" w:styleId="Heading4">
    <w:name w:val="heading 4"/>
    <w:basedOn w:val="Normal"/>
    <w:next w:val="ParaNum0"/>
    <w:qFormat/>
    <w:rsid w:val="003E4569"/>
    <w:pPr>
      <w:keepNext/>
      <w:numPr>
        <w:ilvl w:val="3"/>
        <w:numId w:val="22"/>
      </w:numPr>
      <w:tabs>
        <w:tab w:val="left" w:pos="2880"/>
      </w:tabs>
      <w:spacing w:after="120"/>
      <w:outlineLvl w:val="3"/>
    </w:pPr>
    <w:rPr>
      <w:b/>
    </w:rPr>
  </w:style>
  <w:style w:type="paragraph" w:styleId="Heading5">
    <w:name w:val="heading 5"/>
    <w:basedOn w:val="Normal"/>
    <w:next w:val="ParaNum0"/>
    <w:qFormat/>
    <w:rsid w:val="003E4569"/>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3E4569"/>
    <w:pPr>
      <w:numPr>
        <w:ilvl w:val="5"/>
        <w:numId w:val="22"/>
      </w:numPr>
      <w:tabs>
        <w:tab w:val="left" w:pos="4320"/>
      </w:tabs>
      <w:spacing w:after="120"/>
      <w:outlineLvl w:val="5"/>
    </w:pPr>
    <w:rPr>
      <w:b/>
    </w:rPr>
  </w:style>
  <w:style w:type="paragraph" w:styleId="Heading7">
    <w:name w:val="heading 7"/>
    <w:basedOn w:val="Normal"/>
    <w:next w:val="ParaNum0"/>
    <w:qFormat/>
    <w:rsid w:val="003E4569"/>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3E4569"/>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3E4569"/>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3E45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E4569"/>
  </w:style>
  <w:style w:type="paragraph" w:styleId="Header">
    <w:name w:val="header"/>
    <w:basedOn w:val="Normal"/>
    <w:autoRedefine/>
    <w:rsid w:val="003E456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E4569"/>
    <w:pPr>
      <w:tabs>
        <w:tab w:val="center" w:pos="4320"/>
        <w:tab w:val="right" w:pos="8640"/>
      </w:tabs>
    </w:pPr>
  </w:style>
  <w:style w:type="character" w:styleId="Hyperlink">
    <w:name w:val="Hyperlink"/>
    <w:rsid w:val="003E4569"/>
    <w:rPr>
      <w:color w:val="0000FF"/>
      <w:u w:val="single"/>
    </w:rPr>
  </w:style>
  <w:style w:type="paragraph" w:styleId="BlockText">
    <w:name w:val="Block Text"/>
    <w:basedOn w:val="Normal"/>
    <w:rsid w:val="003E4569"/>
    <w:pPr>
      <w:spacing w:after="240"/>
      <w:ind w:left="1440" w:right="1440"/>
    </w:pPr>
  </w:style>
  <w:style w:type="paragraph" w:customStyle="1" w:styleId="Bullet">
    <w:name w:val="Bullet"/>
    <w:basedOn w:val="Normal"/>
    <w:rsid w:val="003E4569"/>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3E4569"/>
    <w:rPr>
      <w:rFonts w:ascii="Times New Roman" w:hAnsi="Times New Roman"/>
      <w:dstrike w:val="0"/>
      <w:color w:val="auto"/>
      <w:sz w:val="22"/>
      <w:vertAlign w:val="superscript"/>
    </w:rPr>
  </w:style>
  <w:style w:type="paragraph" w:styleId="FootnoteText">
    <w:name w:val="footnote text"/>
    <w:link w:val="FootnoteTextChar"/>
    <w:semiHidden/>
    <w:rsid w:val="003E4569"/>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3E4569"/>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3E4569"/>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basedOn w:val="DefaultParagraphFont"/>
    <w:link w:val="FootnoteText"/>
    <w:semiHidden/>
    <w:rsid w:val="00844086"/>
  </w:style>
  <w:style w:type="paragraph" w:customStyle="1" w:styleId="ParaNum0">
    <w:name w:val="ParaNum"/>
    <w:basedOn w:val="Normal"/>
    <w:rsid w:val="003E4569"/>
    <w:pPr>
      <w:numPr>
        <w:numId w:val="21"/>
      </w:numPr>
      <w:tabs>
        <w:tab w:val="clear" w:pos="1080"/>
        <w:tab w:val="num" w:pos="1440"/>
      </w:tabs>
      <w:spacing w:after="120"/>
    </w:pPr>
  </w:style>
  <w:style w:type="paragraph" w:styleId="EndnoteText">
    <w:name w:val="endnote text"/>
    <w:basedOn w:val="Normal"/>
    <w:link w:val="EndnoteTextChar"/>
    <w:rsid w:val="003E4569"/>
    <w:rPr>
      <w:sz w:val="20"/>
    </w:rPr>
  </w:style>
  <w:style w:type="character" w:customStyle="1" w:styleId="EndnoteTextChar">
    <w:name w:val="Endnote Text Char"/>
    <w:link w:val="EndnoteText"/>
    <w:rsid w:val="001848C7"/>
    <w:rPr>
      <w:snapToGrid w:val="0"/>
      <w:kern w:val="28"/>
    </w:rPr>
  </w:style>
  <w:style w:type="character" w:styleId="EndnoteReference">
    <w:name w:val="endnote reference"/>
    <w:rsid w:val="003E4569"/>
    <w:rPr>
      <w:vertAlign w:val="superscript"/>
    </w:rPr>
  </w:style>
  <w:style w:type="paragraph" w:styleId="TOC2">
    <w:name w:val="toc 2"/>
    <w:basedOn w:val="Normal"/>
    <w:next w:val="Normal"/>
    <w:rsid w:val="003E4569"/>
    <w:pPr>
      <w:tabs>
        <w:tab w:val="left" w:pos="720"/>
        <w:tab w:val="right" w:leader="dot" w:pos="9360"/>
      </w:tabs>
      <w:suppressAutoHyphens/>
      <w:ind w:left="720" w:right="720" w:hanging="360"/>
    </w:pPr>
    <w:rPr>
      <w:noProof/>
    </w:rPr>
  </w:style>
  <w:style w:type="paragraph" w:styleId="TOC3">
    <w:name w:val="toc 3"/>
    <w:basedOn w:val="Normal"/>
    <w:next w:val="Normal"/>
    <w:rsid w:val="003E456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E456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E456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E4569"/>
    <w:pPr>
      <w:tabs>
        <w:tab w:val="left" w:pos="2160"/>
        <w:tab w:val="right" w:leader="dot" w:pos="9360"/>
      </w:tabs>
      <w:suppressAutoHyphens/>
      <w:ind w:left="2160" w:hanging="360"/>
    </w:pPr>
    <w:rPr>
      <w:noProof/>
    </w:rPr>
  </w:style>
  <w:style w:type="paragraph" w:styleId="TOC7">
    <w:name w:val="toc 7"/>
    <w:basedOn w:val="Normal"/>
    <w:next w:val="Normal"/>
    <w:autoRedefine/>
    <w:rsid w:val="003E4569"/>
    <w:pPr>
      <w:tabs>
        <w:tab w:val="left" w:pos="2520"/>
        <w:tab w:val="right" w:leader="dot" w:pos="9360"/>
      </w:tabs>
      <w:suppressAutoHyphens/>
      <w:ind w:left="2520" w:hanging="360"/>
    </w:pPr>
    <w:rPr>
      <w:noProof/>
    </w:rPr>
  </w:style>
  <w:style w:type="paragraph" w:styleId="TOC8">
    <w:name w:val="toc 8"/>
    <w:basedOn w:val="Normal"/>
    <w:next w:val="Normal"/>
    <w:autoRedefine/>
    <w:rsid w:val="003E4569"/>
    <w:pPr>
      <w:tabs>
        <w:tab w:val="left" w:pos="2880"/>
        <w:tab w:val="right" w:leader="dot" w:pos="9360"/>
      </w:tabs>
      <w:suppressAutoHyphens/>
      <w:ind w:left="2880" w:hanging="360"/>
    </w:pPr>
    <w:rPr>
      <w:noProof/>
    </w:rPr>
  </w:style>
  <w:style w:type="paragraph" w:styleId="TOC9">
    <w:name w:val="toc 9"/>
    <w:basedOn w:val="Normal"/>
    <w:next w:val="Normal"/>
    <w:autoRedefine/>
    <w:rsid w:val="003E4569"/>
    <w:pPr>
      <w:tabs>
        <w:tab w:val="left" w:pos="3240"/>
        <w:tab w:val="right" w:leader="dot" w:pos="9360"/>
      </w:tabs>
      <w:suppressAutoHyphens/>
      <w:ind w:left="3240" w:hanging="360"/>
    </w:pPr>
    <w:rPr>
      <w:noProof/>
    </w:rPr>
  </w:style>
  <w:style w:type="paragraph" w:styleId="TOAHeading">
    <w:name w:val="toa heading"/>
    <w:basedOn w:val="Normal"/>
    <w:next w:val="Normal"/>
    <w:rsid w:val="003E4569"/>
    <w:pPr>
      <w:tabs>
        <w:tab w:val="right" w:pos="9360"/>
      </w:tabs>
      <w:suppressAutoHyphens/>
    </w:pPr>
  </w:style>
  <w:style w:type="character" w:customStyle="1" w:styleId="EquationCaption">
    <w:name w:val="_Equation Caption"/>
    <w:rsid w:val="003E4569"/>
  </w:style>
  <w:style w:type="character" w:styleId="PageNumber">
    <w:name w:val="page number"/>
    <w:basedOn w:val="DefaultParagraphFont"/>
    <w:rsid w:val="003E4569"/>
  </w:style>
  <w:style w:type="paragraph" w:customStyle="1" w:styleId="Paratitle">
    <w:name w:val="Para title"/>
    <w:basedOn w:val="Normal"/>
    <w:rsid w:val="003E4569"/>
    <w:pPr>
      <w:tabs>
        <w:tab w:val="center" w:pos="9270"/>
      </w:tabs>
      <w:spacing w:after="240"/>
    </w:pPr>
    <w:rPr>
      <w:spacing w:val="-2"/>
    </w:rPr>
  </w:style>
  <w:style w:type="paragraph" w:customStyle="1" w:styleId="TableFormat0">
    <w:name w:val="TableFormat"/>
    <w:basedOn w:val="Bullet"/>
    <w:rsid w:val="003E4569"/>
    <w:pPr>
      <w:numPr>
        <w:numId w:val="0"/>
      </w:numPr>
      <w:tabs>
        <w:tab w:val="clear" w:pos="2160"/>
        <w:tab w:val="left" w:pos="5040"/>
      </w:tabs>
      <w:ind w:left="5040" w:hanging="3600"/>
    </w:pPr>
  </w:style>
  <w:style w:type="paragraph" w:customStyle="1" w:styleId="TOCTitle">
    <w:name w:val="TOC Title"/>
    <w:basedOn w:val="Normal"/>
    <w:rsid w:val="003E45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4569"/>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rian" TargetMode="External" /><Relationship Id="rId6" Type="http://schemas.openxmlformats.org/officeDocument/2006/relationships/hyperlink" Target="mailto:John.Heal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