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5DD4511E" w14:textId="77777777">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3538C49D"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5DDB9745" w14:textId="4C41AAE6">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1B7DFE">
        <w:rPr>
          <w:rFonts w:ascii="Times New Roman" w:hAnsi="Times New Roman" w:cs="Times New Roman"/>
          <w:b/>
          <w:sz w:val="24"/>
          <w:szCs w:val="24"/>
        </w:rPr>
        <w:t>1</w:t>
      </w:r>
      <w:r w:rsidR="005A3FF4">
        <w:rPr>
          <w:rFonts w:ascii="Times New Roman" w:hAnsi="Times New Roman" w:cs="Times New Roman"/>
          <w:b/>
          <w:sz w:val="24"/>
          <w:szCs w:val="24"/>
        </w:rPr>
        <w:t>9</w:t>
      </w:r>
      <w:r w:rsidRPr="00511023" w:rsidR="00F4281B">
        <w:rPr>
          <w:rFonts w:ascii="Times New Roman" w:hAnsi="Times New Roman" w:cs="Times New Roman"/>
          <w:b/>
          <w:sz w:val="24"/>
          <w:szCs w:val="24"/>
        </w:rPr>
        <w:t>-</w:t>
      </w:r>
      <w:r w:rsidR="00962787">
        <w:rPr>
          <w:rFonts w:ascii="Times New Roman" w:hAnsi="Times New Roman" w:cs="Times New Roman"/>
          <w:b/>
          <w:sz w:val="24"/>
          <w:szCs w:val="24"/>
        </w:rPr>
        <w:t>88</w:t>
      </w:r>
    </w:p>
    <w:p w:rsidR="006F117F" w:rsidRPr="00511023" w:rsidP="00511023" w14:paraId="4C4722E8" w14:textId="77777777">
      <w:pPr>
        <w:spacing w:after="0"/>
        <w:jc w:val="right"/>
        <w:rPr>
          <w:rFonts w:ascii="Times New Roman" w:hAnsi="Times New Roman" w:cs="Times New Roman"/>
          <w:sz w:val="24"/>
          <w:szCs w:val="24"/>
        </w:rPr>
      </w:pPr>
    </w:p>
    <w:p w:rsidR="000E4E16" w:rsidRPr="00511023" w:rsidP="001B7DFE" w14:paraId="60130D40" w14:textId="77777777">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1B7DFE" w:rsidP="001B7DFE" w14:paraId="55F02A76" w14:textId="77777777">
      <w:pPr>
        <w:widowControl w:val="0"/>
        <w:spacing w:after="0" w:line="240" w:lineRule="auto"/>
        <w:ind w:right="-18"/>
        <w:jc w:val="center"/>
        <w:rPr>
          <w:rFonts w:ascii="Times New Roman" w:eastAsia="Times New Roman" w:hAnsi="Times New Roman" w:cs="Times New Roman"/>
          <w:b/>
          <w:snapToGrid w:val="0"/>
          <w:kern w:val="28"/>
          <w:szCs w:val="20"/>
        </w:rPr>
      </w:pPr>
      <w:r w:rsidRPr="001B7DFE">
        <w:rPr>
          <w:rFonts w:ascii="Times New Roman" w:eastAsia="Times New Roman" w:hAnsi="Times New Roman" w:cs="Times New Roman"/>
          <w:b/>
          <w:snapToGrid w:val="0"/>
          <w:kern w:val="28"/>
          <w:szCs w:val="20"/>
        </w:rPr>
        <w:t>Amendment of Parts 0, 1, 2, 15 and 18 of the Commission’s Rules</w:t>
      </w:r>
    </w:p>
    <w:p w:rsidR="001B7DFE" w:rsidRPr="001B7DFE" w:rsidP="001B7DFE" w14:paraId="7999E561" w14:textId="77777777">
      <w:pPr>
        <w:widowControl w:val="0"/>
        <w:spacing w:after="0" w:line="240" w:lineRule="auto"/>
        <w:ind w:right="-18"/>
        <w:jc w:val="center"/>
        <w:rPr>
          <w:rFonts w:ascii="Times New Roman" w:eastAsia="Times New Roman" w:hAnsi="Times New Roman" w:cs="Times New Roman"/>
          <w:b/>
          <w:snapToGrid w:val="0"/>
          <w:kern w:val="28"/>
        </w:rPr>
      </w:pPr>
      <w:r w:rsidRPr="001B7DFE">
        <w:rPr>
          <w:rFonts w:ascii="Times New Roman" w:eastAsia="Times New Roman" w:hAnsi="Times New Roman" w:cs="Times New Roman"/>
          <w:b/>
          <w:snapToGrid w:val="0"/>
          <w:kern w:val="28"/>
          <w:szCs w:val="20"/>
        </w:rPr>
        <w:t>regarding Authorization of Radiofrequency Equipment</w:t>
      </w:r>
    </w:p>
    <w:p w:rsidR="006F2901" w:rsidRPr="00511023" w:rsidP="001B7DFE" w14:paraId="2001A563" w14:textId="77777777">
      <w:pPr>
        <w:spacing w:after="0"/>
        <w:ind w:hanging="90"/>
        <w:jc w:val="center"/>
        <w:rPr>
          <w:rFonts w:ascii="Times New Roman" w:hAnsi="Times New Roman" w:cs="Times New Roman"/>
          <w:b/>
        </w:rPr>
      </w:pPr>
      <w:r w:rsidRPr="00511023">
        <w:rPr>
          <w:rFonts w:ascii="Times New Roman" w:hAnsi="Times New Roman" w:cs="Times New Roman"/>
          <w:b/>
        </w:rPr>
        <w:t xml:space="preserve">FCC </w:t>
      </w:r>
      <w:r w:rsidR="001B7DFE">
        <w:rPr>
          <w:rFonts w:ascii="Times New Roman" w:hAnsi="Times New Roman" w:cs="Times New Roman"/>
          <w:b/>
        </w:rPr>
        <w:t>17-93</w:t>
      </w:r>
    </w:p>
    <w:p w:rsidR="006F2901" w:rsidRPr="00511023" w:rsidP="001B7DFE" w14:paraId="7A329736" w14:textId="77777777">
      <w:pPr>
        <w:spacing w:after="0"/>
        <w:jc w:val="center"/>
        <w:rPr>
          <w:rFonts w:ascii="Times New Roman" w:hAnsi="Times New Roman" w:cs="Times New Roman"/>
        </w:rPr>
      </w:pPr>
      <w:r w:rsidRPr="001B7DFE">
        <w:rPr>
          <w:rFonts w:ascii="Times New Roman" w:hAnsi="Times New Roman" w:cs="Times New Roman"/>
          <w:b/>
        </w:rPr>
        <w:t>ET</w:t>
      </w:r>
      <w:r w:rsidR="00C37AC8">
        <w:rPr>
          <w:rFonts w:ascii="Times New Roman" w:hAnsi="Times New Roman" w:cs="Times New Roman"/>
          <w:b/>
        </w:rPr>
        <w:t xml:space="preserve"> Docket No. </w:t>
      </w:r>
      <w:r>
        <w:rPr>
          <w:rFonts w:ascii="Times New Roman" w:hAnsi="Times New Roman" w:cs="Times New Roman"/>
          <w:b/>
        </w:rPr>
        <w:t>15-170</w:t>
      </w:r>
    </w:p>
    <w:p w:rsidR="006F2901" w:rsidRPr="00511023" w:rsidP="001B7DFE" w14:paraId="01DFE111" w14:textId="77777777">
      <w:pPr>
        <w:spacing w:after="0"/>
        <w:jc w:val="center"/>
        <w:rPr>
          <w:rFonts w:ascii="Times New Roman" w:hAnsi="Times New Roman" w:cs="Times New Roman"/>
          <w:b/>
        </w:rPr>
      </w:pPr>
      <w:r w:rsidRPr="00511023">
        <w:rPr>
          <w:rFonts w:ascii="Times New Roman" w:hAnsi="Times New Roman" w:cs="Times New Roman"/>
          <w:b/>
        </w:rPr>
        <w:t xml:space="preserve">Released </w:t>
      </w:r>
      <w:r w:rsidR="001B7DFE">
        <w:rPr>
          <w:rFonts w:ascii="Times New Roman" w:hAnsi="Times New Roman" w:cs="Times New Roman"/>
          <w:b/>
        </w:rPr>
        <w:t>July 14, 2017</w:t>
      </w:r>
    </w:p>
    <w:p w:rsidR="000E4E16" w:rsidRPr="00511023" w:rsidP="001B7DFE" w14:paraId="04C9F2C4" w14:textId="77777777">
      <w:pPr>
        <w:spacing w:after="0"/>
        <w:jc w:val="center"/>
        <w:rPr>
          <w:rFonts w:ascii="Times New Roman" w:hAnsi="Times New Roman" w:cs="Times New Roman"/>
        </w:rPr>
      </w:pPr>
    </w:p>
    <w:p w:rsidR="000E4E16" w:rsidRPr="00511023" w:rsidP="000E4E16" w14:paraId="5272F56A" w14:textId="77777777">
      <w:pPr>
        <w:spacing w:after="0"/>
        <w:rPr>
          <w:rFonts w:ascii="Times New Roman" w:hAnsi="Times New Roman" w:cs="Times New Roman"/>
        </w:rPr>
      </w:pPr>
    </w:p>
    <w:p w:rsidR="00FE346F" w:rsidRPr="00511023" w:rsidP="000E4E16" w14:paraId="1F3DB46C" w14:textId="77777777">
      <w:pPr>
        <w:spacing w:after="0"/>
        <w:rPr>
          <w:rFonts w:ascii="Times New Roman" w:hAnsi="Times New Roman" w:cs="Times New Roman"/>
          <w:b/>
        </w:rPr>
      </w:pPr>
    </w:p>
    <w:p w:rsidR="006F2901" w:rsidRPr="00511023" w:rsidP="001B7DFE" w14:paraId="1D3F6462" w14:textId="77777777">
      <w:pPr>
        <w:spacing w:after="0"/>
        <w:ind w:left="108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w:t>
      </w:r>
      <w:bookmarkStart w:id="0" w:name="_GoBack"/>
      <w:bookmarkEnd w:id="0"/>
      <w:r w:rsidRPr="00E2092F">
        <w:rPr>
          <w:rFonts w:ascii="Times New Roman" w:hAnsi="Times New Roman" w:cs="Times New Roman"/>
          <w:b/>
        </w:rPr>
        <w:t xml:space="preserve">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w:t>
      </w:r>
    </w:p>
    <w:p w:rsidR="006F2901" w:rsidRPr="00511023" w:rsidP="001B7DFE" w14:paraId="23FAD294" w14:textId="77777777">
      <w:pPr>
        <w:pStyle w:val="ListParagraph"/>
        <w:ind w:left="1080" w:hanging="1080"/>
        <w:jc w:val="both"/>
        <w:rPr>
          <w:rFonts w:ascii="Times New Roman" w:hAnsi="Times New Roman" w:cs="Times New Roman"/>
          <w:b/>
        </w:rPr>
      </w:pPr>
    </w:p>
    <w:p w:rsidR="006F2901" w:rsidRPr="00511023" w:rsidP="001B7DFE" w14:paraId="686D3C79" w14:textId="77777777">
      <w:pPr>
        <w:pStyle w:val="ListParagraph"/>
        <w:ind w:left="1080"/>
        <w:jc w:val="both"/>
        <w:rPr>
          <w:rFonts w:ascii="Times New Roman" w:hAnsi="Times New Roman" w:cs="Times New Roman"/>
          <w:b/>
        </w:rPr>
      </w:pPr>
      <w:r w:rsidRPr="00E2092F">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ascii="Times New Roman" w:hAnsi="Times New Roman" w:cs="Times New Roman"/>
          <w:b/>
        </w:rPr>
        <w:t>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1B5DD73" w14:textId="77777777">
      <w:pPr>
        <w:pStyle w:val="ListParagraph"/>
        <w:ind w:left="1080"/>
        <w:rPr>
          <w:rFonts w:ascii="Times New Roman" w:hAnsi="Times New Roman" w:cs="Times New Roman"/>
          <w:b/>
        </w:rPr>
      </w:pPr>
    </w:p>
    <w:p w:rsidR="006F2901" w:rsidRPr="00E2092F" w:rsidP="00E2092F" w14:paraId="78FD6967" w14:textId="77777777">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2CC19273" w14:textId="77777777">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191C0D56" w14:textId="77777777">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643861A0" w14:textId="77777777">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A1258A" w:rsidRPr="00CF6976" w:rsidP="00A1258A" w14:paraId="2477C82C" w14:textId="77777777">
      <w:pPr>
        <w:jc w:val="center"/>
        <w:rPr>
          <w:rFonts w:ascii="Times New Roman" w:hAnsi="Times New Roman" w:cs="Times New Roman"/>
          <w:b/>
          <w:u w:val="single"/>
        </w:rPr>
      </w:pPr>
      <w:r w:rsidRPr="00CF6976">
        <w:rPr>
          <w:rFonts w:ascii="Times New Roman" w:hAnsi="Times New Roman" w:cs="Times New Roman"/>
          <w:b/>
          <w:u w:val="single"/>
        </w:rPr>
        <w:t>TABLE OF CONTENTS</w:t>
      </w:r>
    </w:p>
    <w:p w:rsidR="00A1258A" w:rsidRPr="00CF6976" w:rsidP="00A1258A" w14:paraId="224708BF" w14:textId="77777777">
      <w:pPr>
        <w:rPr>
          <w:rFonts w:ascii="Times New Roman" w:hAnsi="Times New Roman" w:cs="Times New Roman"/>
          <w:b/>
        </w:rPr>
      </w:pPr>
    </w:p>
    <w:p w:rsidR="00A1258A" w:rsidRPr="00CF6976" w:rsidP="00A1258A" w14:paraId="1A2739D1" w14:textId="77777777">
      <w:pPr>
        <w:pStyle w:val="TOC1"/>
        <w:rPr>
          <w:rFonts w:ascii="Times New Roman" w:hAnsi="Times New Roman"/>
          <w:b/>
        </w:rPr>
      </w:pPr>
      <w:r w:rsidRPr="00CF6976">
        <w:rPr>
          <w:rFonts w:ascii="Times New Roman" w:hAnsi="Times New Roman"/>
          <w:b/>
        </w:rPr>
        <w:t>I.</w:t>
      </w:r>
      <w:r w:rsidRPr="00CF6976">
        <w:rPr>
          <w:rFonts w:ascii="Times New Roman" w:hAnsi="Times New Roman"/>
          <w:b/>
        </w:rPr>
        <w:tab/>
        <w:t xml:space="preserve">OBJECTIVES OF THE PROCEEDING </w:t>
      </w:r>
      <w:r>
        <w:ptab w:relativeTo="margin" w:alignment="right" w:leader="dot"/>
      </w:r>
      <w:r w:rsidRPr="00CF6976">
        <w:rPr>
          <w:rFonts w:ascii="Times New Roman" w:hAnsi="Times New Roman"/>
          <w:b/>
          <w:bCs/>
        </w:rPr>
        <w:t>1</w:t>
      </w:r>
    </w:p>
    <w:p w:rsidR="00A1258A" w:rsidRPr="00CF6976" w:rsidP="00A1258A" w14:paraId="6DE1C3C4" w14:textId="77777777">
      <w:pPr>
        <w:pStyle w:val="TOC1"/>
        <w:rPr>
          <w:rFonts w:ascii="Times New Roman" w:hAnsi="Times New Roman"/>
          <w:b/>
          <w:bCs/>
        </w:rPr>
      </w:pPr>
      <w:r w:rsidRPr="00CF6976">
        <w:rPr>
          <w:rFonts w:ascii="Times New Roman" w:hAnsi="Times New Roman"/>
          <w:b/>
        </w:rPr>
        <w:t>II.</w:t>
      </w:r>
      <w:r w:rsidRPr="00CF6976">
        <w:rPr>
          <w:rFonts w:ascii="Times New Roman" w:hAnsi="Times New Roman"/>
          <w:b/>
        </w:rPr>
        <w:tab/>
        <w:t xml:space="preserve">COMPLIANCE REQUIREMENTS </w:t>
      </w:r>
      <w:r>
        <w:ptab w:relativeTo="margin" w:alignment="right" w:leader="dot"/>
      </w:r>
      <w:r w:rsidRPr="00CF6976">
        <w:rPr>
          <w:rFonts w:ascii="Times New Roman" w:hAnsi="Times New Roman"/>
          <w:b/>
          <w:bCs/>
        </w:rPr>
        <w:t>1</w:t>
      </w:r>
    </w:p>
    <w:p w:rsidR="00A1258A" w:rsidRPr="00CF6976" w:rsidP="00A1258A" w14:paraId="092022EE" w14:textId="77777777">
      <w:pPr>
        <w:pStyle w:val="TOC1"/>
        <w:rPr>
          <w:rFonts w:ascii="Times New Roman" w:hAnsi="Times New Roman"/>
          <w:b/>
          <w:bCs/>
        </w:rPr>
      </w:pPr>
      <w:r w:rsidRPr="00CF6976">
        <w:rPr>
          <w:rFonts w:ascii="Times New Roman" w:hAnsi="Times New Roman"/>
          <w:b/>
        </w:rPr>
        <w:t>III.</w:t>
      </w:r>
      <w:r w:rsidRPr="00CF6976">
        <w:rPr>
          <w:rFonts w:ascii="Times New Roman" w:hAnsi="Times New Roman"/>
          <w:b/>
        </w:rPr>
        <w:tab/>
        <w:t xml:space="preserve">RECORDKEEPING AND REPORTING REQUIREMENTS </w:t>
      </w:r>
      <w:r>
        <w:ptab w:relativeTo="margin" w:alignment="right" w:leader="dot"/>
      </w:r>
      <w:r w:rsidRPr="00CF6976">
        <w:rPr>
          <w:rFonts w:ascii="Times New Roman" w:hAnsi="Times New Roman"/>
          <w:b/>
        </w:rPr>
        <w:t>3</w:t>
      </w:r>
    </w:p>
    <w:p w:rsidR="00A1258A" w:rsidRPr="00CF6976" w:rsidP="00A1258A" w14:paraId="30E8A727" w14:textId="77777777">
      <w:pPr>
        <w:pStyle w:val="TOC1"/>
        <w:rPr>
          <w:rFonts w:ascii="Times New Roman" w:hAnsi="Times New Roman"/>
          <w:b/>
          <w:bCs/>
        </w:rPr>
      </w:pPr>
      <w:r w:rsidRPr="00CF6976">
        <w:rPr>
          <w:rFonts w:ascii="Times New Roman" w:hAnsi="Times New Roman"/>
          <w:b/>
        </w:rPr>
        <w:t xml:space="preserve">IV.        IMPLEMENTATION DATE </w:t>
      </w:r>
      <w:r>
        <w:ptab w:relativeTo="margin" w:alignment="right" w:leader="dot"/>
      </w:r>
      <w:r w:rsidRPr="00CF6976">
        <w:rPr>
          <w:rFonts w:ascii="Times New Roman" w:hAnsi="Times New Roman"/>
          <w:b/>
          <w:bCs/>
        </w:rPr>
        <w:t>4</w:t>
      </w:r>
    </w:p>
    <w:p w:rsidR="00A1258A" w:rsidRPr="00CF6976" w:rsidP="00A1258A" w14:paraId="686160D4" w14:textId="77777777">
      <w:pPr>
        <w:rPr>
          <w:rFonts w:ascii="Times New Roman" w:hAnsi="Times New Roman" w:cs="Times New Roman"/>
          <w:b/>
          <w:bCs/>
        </w:rPr>
      </w:pPr>
      <w:r w:rsidRPr="00CF6976">
        <w:rPr>
          <w:rFonts w:ascii="Times New Roman" w:hAnsi="Times New Roman" w:cs="Times New Roman"/>
          <w:b/>
        </w:rPr>
        <w:t xml:space="preserve">V.         INTERNET LINKS </w:t>
      </w:r>
      <w:r>
        <w:ptab w:relativeTo="margin" w:alignment="right" w:leader="dot"/>
      </w:r>
      <w:r w:rsidRPr="00CF6976">
        <w:rPr>
          <w:rFonts w:ascii="Times New Roman" w:hAnsi="Times New Roman" w:cs="Times New Roman"/>
          <w:b/>
          <w:bCs/>
        </w:rPr>
        <w:t>4</w:t>
      </w:r>
    </w:p>
    <w:p w:rsidR="008D4AA5" w:rsidP="00074CA4" w14:paraId="6197BDC5" w14:textId="77777777">
      <w:pPr>
        <w:pStyle w:val="ListParagraph"/>
        <w:spacing w:after="0"/>
        <w:ind w:left="0"/>
        <w:rPr>
          <w:rFonts w:ascii="Times New Roman" w:hAnsi="Times New Roman" w:cs="Times New Roman"/>
          <w:b/>
        </w:rPr>
      </w:pPr>
      <w:r w:rsidRPr="00511023">
        <w:rPr>
          <w:rFonts w:ascii="Times New Roman" w:hAnsi="Times New Roman" w:cs="Times New Roman"/>
          <w:b/>
        </w:rPr>
        <w:t xml:space="preserve">                               </w:t>
      </w:r>
    </w:p>
    <w:p w:rsidR="008D4AA5" w:rsidRPr="00074CA4" w:rsidP="00074CA4" w14:paraId="15582BC6" w14:textId="77777777">
      <w:pPr>
        <w:rPr>
          <w:rFonts w:ascii="Times New Roman" w:hAnsi="Times New Roman" w:cs="Times New Roman"/>
          <w:b/>
        </w:rPr>
      </w:pPr>
    </w:p>
    <w:p w:rsidR="00463A2A" w:rsidP="00E97A21" w14:paraId="72941269" w14:textId="77777777">
      <w:pPr>
        <w:rPr>
          <w:rFonts w:ascii="Times New Roman" w:hAnsi="Times New Roman" w:cs="Times New Roman"/>
          <w:b/>
        </w:rPr>
      </w:pPr>
    </w:p>
    <w:p w:rsidR="001743EF" w:rsidP="00E97A21" w14:paraId="35932AED"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69E28569" w14:textId="77777777">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6E5DC1" w:rsidRPr="006E5DC1" w:rsidP="006E5DC1" w14:paraId="3224F9A4" w14:textId="1FC4E6A4">
      <w:pPr>
        <w:tabs>
          <w:tab w:val="left" w:pos="720"/>
        </w:tabs>
        <w:rPr>
          <w:rFonts w:ascii="Times New Roman" w:hAnsi="Times New Roman" w:cs="Times New Roman"/>
        </w:rPr>
      </w:pPr>
      <w:r w:rsidRPr="006E5DC1">
        <w:rPr>
          <w:rFonts w:ascii="Times New Roman" w:hAnsi="Times New Roman" w:cs="Times New Roman"/>
        </w:rPr>
        <w:t xml:space="preserve">The Commission’s Part 2 Equipment Authorization (EA) Program covers nearly all electronic communication devices that are operated and sold in the United States.  The EA program </w:t>
      </w:r>
      <w:r w:rsidR="002076C3">
        <w:rPr>
          <w:rFonts w:ascii="Times New Roman" w:hAnsi="Times New Roman" w:cs="Times New Roman"/>
        </w:rPr>
        <w:t xml:space="preserve">is intended to </w:t>
      </w:r>
      <w:r w:rsidR="006A1DA2">
        <w:rPr>
          <w:rFonts w:ascii="Times New Roman" w:hAnsi="Times New Roman" w:cs="Times New Roman"/>
        </w:rPr>
        <w:t xml:space="preserve">further </w:t>
      </w:r>
      <w:r w:rsidRPr="006E5DC1">
        <w:rPr>
          <w:rFonts w:ascii="Times New Roman" w:hAnsi="Times New Roman" w:cs="Times New Roman"/>
        </w:rPr>
        <w:t>compliance with the Commission’s technical requirements</w:t>
      </w:r>
      <w:r w:rsidR="002076C3">
        <w:rPr>
          <w:rFonts w:ascii="Times New Roman" w:hAnsi="Times New Roman" w:cs="Times New Roman"/>
        </w:rPr>
        <w:t>, thus minimizing</w:t>
      </w:r>
      <w:r w:rsidRPr="006E5DC1" w:rsidR="002076C3">
        <w:rPr>
          <w:rFonts w:ascii="Times New Roman" w:hAnsi="Times New Roman" w:cs="Times New Roman"/>
        </w:rPr>
        <w:t xml:space="preserve"> the potential for harmful interference to radio communications</w:t>
      </w:r>
      <w:r w:rsidR="002076C3">
        <w:rPr>
          <w:rFonts w:ascii="Times New Roman" w:hAnsi="Times New Roman" w:cs="Times New Roman"/>
        </w:rPr>
        <w:t>.</w:t>
      </w:r>
    </w:p>
    <w:p w:rsidR="00AE5A1C" w:rsidP="006E5DC1" w14:paraId="4F89E304" w14:textId="60956F55">
      <w:pPr>
        <w:tabs>
          <w:tab w:val="left" w:pos="720"/>
        </w:tabs>
        <w:rPr>
          <w:rFonts w:ascii="Times New Roman" w:hAnsi="Times New Roman" w:cs="Times New Roman"/>
        </w:rPr>
      </w:pPr>
      <w:r>
        <w:rPr>
          <w:rFonts w:ascii="Times New Roman" w:hAnsi="Times New Roman" w:cs="Times New Roman"/>
        </w:rPr>
        <w:t xml:space="preserve">In the </w:t>
      </w:r>
      <w:r w:rsidRPr="002076C3" w:rsidR="006E5DC1">
        <w:rPr>
          <w:rFonts w:ascii="Times New Roman" w:hAnsi="Times New Roman" w:cs="Times New Roman"/>
          <w:i/>
        </w:rPr>
        <w:t>First Report and Order</w:t>
      </w:r>
      <w:r w:rsidRPr="006E5DC1" w:rsidR="006E5DC1">
        <w:rPr>
          <w:rFonts w:ascii="Times New Roman" w:hAnsi="Times New Roman" w:cs="Times New Roman"/>
        </w:rPr>
        <w:t xml:space="preserve">, </w:t>
      </w:r>
      <w:r>
        <w:rPr>
          <w:rFonts w:ascii="Times New Roman" w:hAnsi="Times New Roman" w:cs="Times New Roman"/>
        </w:rPr>
        <w:t xml:space="preserve">the Commission took actions to </w:t>
      </w:r>
      <w:r w:rsidRPr="006E5DC1">
        <w:rPr>
          <w:rFonts w:ascii="Times New Roman" w:hAnsi="Times New Roman" w:cs="Times New Roman"/>
        </w:rPr>
        <w:t xml:space="preserve">update </w:t>
      </w:r>
      <w:r>
        <w:rPr>
          <w:rFonts w:ascii="Times New Roman" w:hAnsi="Times New Roman" w:cs="Times New Roman"/>
        </w:rPr>
        <w:t xml:space="preserve">various </w:t>
      </w:r>
      <w:r w:rsidRPr="006E5DC1">
        <w:rPr>
          <w:rFonts w:ascii="Times New Roman" w:hAnsi="Times New Roman" w:cs="Times New Roman"/>
        </w:rPr>
        <w:t xml:space="preserve">equipment authorization </w:t>
      </w:r>
      <w:r>
        <w:rPr>
          <w:rFonts w:ascii="Times New Roman" w:hAnsi="Times New Roman" w:cs="Times New Roman"/>
        </w:rPr>
        <w:t>requirements.</w:t>
      </w:r>
      <w:r w:rsidRPr="006E5DC1">
        <w:rPr>
          <w:rFonts w:ascii="Times New Roman" w:hAnsi="Times New Roman" w:cs="Times New Roman"/>
        </w:rPr>
        <w:t xml:space="preserve">  </w:t>
      </w:r>
      <w:r>
        <w:rPr>
          <w:rFonts w:ascii="Times New Roman" w:hAnsi="Times New Roman" w:cs="Times New Roman"/>
        </w:rPr>
        <w:t xml:space="preserve">First, it </w:t>
      </w:r>
      <w:r w:rsidRPr="006E5DC1" w:rsidR="006E5DC1">
        <w:rPr>
          <w:rFonts w:ascii="Times New Roman" w:hAnsi="Times New Roman" w:cs="Times New Roman"/>
        </w:rPr>
        <w:t>combin</w:t>
      </w:r>
      <w:r>
        <w:rPr>
          <w:rFonts w:ascii="Times New Roman" w:hAnsi="Times New Roman" w:cs="Times New Roman"/>
        </w:rPr>
        <w:t xml:space="preserve">ed </w:t>
      </w:r>
      <w:r w:rsidRPr="006E5DC1" w:rsidR="006E5DC1">
        <w:rPr>
          <w:rFonts w:ascii="Times New Roman" w:hAnsi="Times New Roman" w:cs="Times New Roman"/>
        </w:rPr>
        <w:t>the two existing self-approval procedures</w:t>
      </w:r>
      <w:r>
        <w:rPr>
          <w:rFonts w:ascii="Times New Roman" w:hAnsi="Times New Roman" w:cs="Times New Roman"/>
        </w:rPr>
        <w:t xml:space="preserve">, thus </w:t>
      </w:r>
      <w:r w:rsidRPr="006E5DC1" w:rsidR="006E5DC1">
        <w:rPr>
          <w:rFonts w:ascii="Times New Roman" w:hAnsi="Times New Roman" w:cs="Times New Roman"/>
        </w:rPr>
        <w:t xml:space="preserve">simplifying the authorization </w:t>
      </w:r>
      <w:r w:rsidR="005B5A02">
        <w:rPr>
          <w:rFonts w:ascii="Times New Roman" w:hAnsi="Times New Roman" w:cs="Times New Roman"/>
        </w:rPr>
        <w:t>procedures</w:t>
      </w:r>
      <w:r w:rsidRPr="006E5DC1" w:rsidR="005B5A02">
        <w:rPr>
          <w:rFonts w:ascii="Times New Roman" w:hAnsi="Times New Roman" w:cs="Times New Roman"/>
        </w:rPr>
        <w:t xml:space="preserve"> </w:t>
      </w:r>
      <w:r w:rsidRPr="006E5DC1" w:rsidR="006E5DC1">
        <w:rPr>
          <w:rFonts w:ascii="Times New Roman" w:hAnsi="Times New Roman" w:cs="Times New Roman"/>
        </w:rPr>
        <w:t>for many devices</w:t>
      </w:r>
      <w:r w:rsidR="00F26052">
        <w:rPr>
          <w:rFonts w:ascii="Times New Roman" w:hAnsi="Times New Roman" w:cs="Times New Roman"/>
        </w:rPr>
        <w:t>.  It also</w:t>
      </w:r>
      <w:r>
        <w:rPr>
          <w:rFonts w:ascii="Times New Roman" w:hAnsi="Times New Roman" w:cs="Times New Roman"/>
        </w:rPr>
        <w:t xml:space="preserve"> c</w:t>
      </w:r>
      <w:r w:rsidRPr="006E5DC1" w:rsidR="006E5DC1">
        <w:rPr>
          <w:rFonts w:ascii="Times New Roman" w:hAnsi="Times New Roman" w:cs="Times New Roman"/>
        </w:rPr>
        <w:t>odif</w:t>
      </w:r>
      <w:r>
        <w:rPr>
          <w:rFonts w:ascii="Times New Roman" w:hAnsi="Times New Roman" w:cs="Times New Roman"/>
        </w:rPr>
        <w:t>ied</w:t>
      </w:r>
      <w:r w:rsidRPr="006E5DC1" w:rsidR="006E5DC1">
        <w:rPr>
          <w:rFonts w:ascii="Times New Roman" w:hAnsi="Times New Roman" w:cs="Times New Roman"/>
        </w:rPr>
        <w:t xml:space="preserve"> and expand</w:t>
      </w:r>
      <w:r>
        <w:rPr>
          <w:rFonts w:ascii="Times New Roman" w:hAnsi="Times New Roman" w:cs="Times New Roman"/>
        </w:rPr>
        <w:t>ed</w:t>
      </w:r>
      <w:r w:rsidRPr="006E5DC1" w:rsidR="006E5DC1">
        <w:rPr>
          <w:rFonts w:ascii="Times New Roman" w:hAnsi="Times New Roman" w:cs="Times New Roman"/>
        </w:rPr>
        <w:t xml:space="preserve"> guidance permitting electronic labeling</w:t>
      </w:r>
      <w:r>
        <w:rPr>
          <w:rFonts w:ascii="Times New Roman" w:hAnsi="Times New Roman" w:cs="Times New Roman"/>
        </w:rPr>
        <w:t>,</w:t>
      </w:r>
      <w:r w:rsidRPr="006E5DC1" w:rsidR="006E5DC1">
        <w:rPr>
          <w:rFonts w:ascii="Times New Roman" w:hAnsi="Times New Roman" w:cs="Times New Roman"/>
        </w:rPr>
        <w:t xml:space="preserve"> </w:t>
      </w:r>
      <w:r w:rsidR="00FD6BE1">
        <w:rPr>
          <w:rFonts w:ascii="Times New Roman" w:hAnsi="Times New Roman" w:cs="Times New Roman"/>
        </w:rPr>
        <w:t xml:space="preserve">allowing the use of electronic labels in lieu of </w:t>
      </w:r>
      <w:r w:rsidRPr="006E5DC1" w:rsidR="006E5DC1">
        <w:rPr>
          <w:rFonts w:ascii="Times New Roman" w:hAnsi="Times New Roman" w:cs="Times New Roman"/>
        </w:rPr>
        <w:t xml:space="preserve">permanent physical labeling of any FCC-authorized equipment that has display capability except in rare cases.  </w:t>
      </w:r>
      <w:r>
        <w:rPr>
          <w:rFonts w:ascii="Times New Roman" w:hAnsi="Times New Roman" w:cs="Times New Roman"/>
        </w:rPr>
        <w:t xml:space="preserve">Additionally, it </w:t>
      </w:r>
      <w:r w:rsidRPr="006E5DC1" w:rsidR="006E5DC1">
        <w:rPr>
          <w:rFonts w:ascii="Times New Roman" w:hAnsi="Times New Roman" w:cs="Times New Roman"/>
        </w:rPr>
        <w:t>modif</w:t>
      </w:r>
      <w:r>
        <w:rPr>
          <w:rFonts w:ascii="Times New Roman" w:hAnsi="Times New Roman" w:cs="Times New Roman"/>
        </w:rPr>
        <w:t>ied</w:t>
      </w:r>
      <w:r w:rsidRPr="006E5DC1" w:rsidR="006E5DC1">
        <w:rPr>
          <w:rFonts w:ascii="Times New Roman" w:hAnsi="Times New Roman" w:cs="Times New Roman"/>
        </w:rPr>
        <w:t xml:space="preserve"> certain requirements </w:t>
      </w:r>
      <w:r>
        <w:rPr>
          <w:rFonts w:ascii="Times New Roman" w:hAnsi="Times New Roman" w:cs="Times New Roman"/>
        </w:rPr>
        <w:t xml:space="preserve">related </w:t>
      </w:r>
      <w:r w:rsidRPr="006E5DC1" w:rsidR="006E5DC1">
        <w:rPr>
          <w:rFonts w:ascii="Times New Roman" w:hAnsi="Times New Roman" w:cs="Times New Roman"/>
        </w:rPr>
        <w:t>to the compliance of imported devices</w:t>
      </w:r>
      <w:r>
        <w:rPr>
          <w:rFonts w:ascii="Times New Roman" w:hAnsi="Times New Roman" w:cs="Times New Roman"/>
        </w:rPr>
        <w:t xml:space="preserve"> </w:t>
      </w:r>
      <w:r w:rsidRPr="006E5DC1" w:rsidR="006E5DC1">
        <w:rPr>
          <w:rFonts w:ascii="Times New Roman" w:hAnsi="Times New Roman" w:cs="Times New Roman"/>
        </w:rPr>
        <w:t>and discontinu</w:t>
      </w:r>
      <w:r>
        <w:rPr>
          <w:rFonts w:ascii="Times New Roman" w:hAnsi="Times New Roman" w:cs="Times New Roman"/>
        </w:rPr>
        <w:t>ed</w:t>
      </w:r>
      <w:r w:rsidRPr="006E5DC1" w:rsidR="006E5DC1">
        <w:rPr>
          <w:rFonts w:ascii="Times New Roman" w:hAnsi="Times New Roman" w:cs="Times New Roman"/>
        </w:rPr>
        <w:t xml:space="preserve"> the requirement to file </w:t>
      </w:r>
      <w:r w:rsidR="005B5A02">
        <w:rPr>
          <w:rFonts w:ascii="Times New Roman" w:hAnsi="Times New Roman" w:cs="Times New Roman"/>
        </w:rPr>
        <w:t xml:space="preserve">an </w:t>
      </w:r>
      <w:r w:rsidRPr="006E5DC1" w:rsidR="005B5A02">
        <w:rPr>
          <w:rFonts w:ascii="Times New Roman" w:hAnsi="Times New Roman" w:cs="Times New Roman"/>
        </w:rPr>
        <w:t>import</w:t>
      </w:r>
      <w:r w:rsidRPr="006E5DC1" w:rsidR="006E5DC1">
        <w:rPr>
          <w:rFonts w:ascii="Times New Roman" w:hAnsi="Times New Roman" w:cs="Times New Roman"/>
        </w:rPr>
        <w:t xml:space="preserve"> declaration </w:t>
      </w:r>
      <w:r w:rsidR="005B5A02">
        <w:rPr>
          <w:rFonts w:ascii="Times New Roman" w:hAnsi="Times New Roman" w:cs="Times New Roman"/>
        </w:rPr>
        <w:t>and eliminated the information collection requirement associated with it</w:t>
      </w:r>
      <w:r w:rsidRPr="006E5DC1" w:rsidR="006E5DC1">
        <w:rPr>
          <w:rFonts w:ascii="Times New Roman" w:hAnsi="Times New Roman" w:cs="Times New Roman"/>
        </w:rPr>
        <w:t xml:space="preserve">.  Finally, </w:t>
      </w:r>
      <w:r>
        <w:rPr>
          <w:rFonts w:ascii="Times New Roman" w:hAnsi="Times New Roman" w:cs="Times New Roman"/>
        </w:rPr>
        <w:t xml:space="preserve">it also </w:t>
      </w:r>
      <w:r w:rsidRPr="006E5DC1" w:rsidR="006E5DC1">
        <w:rPr>
          <w:rFonts w:ascii="Times New Roman" w:hAnsi="Times New Roman" w:cs="Times New Roman"/>
        </w:rPr>
        <w:t>revis</w:t>
      </w:r>
      <w:r>
        <w:rPr>
          <w:rFonts w:ascii="Times New Roman" w:hAnsi="Times New Roman" w:cs="Times New Roman"/>
        </w:rPr>
        <w:t>ed</w:t>
      </w:r>
      <w:r w:rsidRPr="006E5DC1" w:rsidR="006E5DC1">
        <w:rPr>
          <w:rFonts w:ascii="Times New Roman" w:hAnsi="Times New Roman" w:cs="Times New Roman"/>
        </w:rPr>
        <w:t xml:space="preserve"> </w:t>
      </w:r>
      <w:r w:rsidR="005B5A02">
        <w:rPr>
          <w:rFonts w:ascii="Times New Roman" w:hAnsi="Times New Roman" w:cs="Times New Roman"/>
        </w:rPr>
        <w:t xml:space="preserve">some </w:t>
      </w:r>
      <w:r w:rsidRPr="006E5DC1" w:rsidR="006E5DC1">
        <w:rPr>
          <w:rFonts w:ascii="Times New Roman" w:hAnsi="Times New Roman" w:cs="Times New Roman"/>
        </w:rPr>
        <w:t xml:space="preserve">measurement procedures </w:t>
      </w:r>
      <w:r>
        <w:rPr>
          <w:rFonts w:ascii="Times New Roman" w:hAnsi="Times New Roman" w:cs="Times New Roman"/>
        </w:rPr>
        <w:t xml:space="preserve">by </w:t>
      </w:r>
      <w:r w:rsidRPr="006E5DC1" w:rsidR="006E5DC1">
        <w:rPr>
          <w:rFonts w:ascii="Times New Roman" w:hAnsi="Times New Roman" w:cs="Times New Roman"/>
        </w:rPr>
        <w:t>streamlin</w:t>
      </w:r>
      <w:r>
        <w:rPr>
          <w:rFonts w:ascii="Times New Roman" w:hAnsi="Times New Roman" w:cs="Times New Roman"/>
        </w:rPr>
        <w:t>ing</w:t>
      </w:r>
      <w:r w:rsidRPr="006E5DC1" w:rsidR="006E5DC1">
        <w:rPr>
          <w:rFonts w:ascii="Times New Roman" w:hAnsi="Times New Roman" w:cs="Times New Roman"/>
        </w:rPr>
        <w:t xml:space="preserve"> and consolidat</w:t>
      </w:r>
      <w:r>
        <w:rPr>
          <w:rFonts w:ascii="Times New Roman" w:hAnsi="Times New Roman" w:cs="Times New Roman"/>
        </w:rPr>
        <w:t>ing</w:t>
      </w:r>
      <w:r w:rsidRPr="006E5DC1" w:rsidR="006E5DC1">
        <w:rPr>
          <w:rFonts w:ascii="Times New Roman" w:hAnsi="Times New Roman" w:cs="Times New Roman"/>
        </w:rPr>
        <w:t xml:space="preserve"> requirements for devices used in different services</w:t>
      </w:r>
      <w:r>
        <w:rPr>
          <w:rFonts w:ascii="Times New Roman" w:hAnsi="Times New Roman" w:cs="Times New Roman"/>
        </w:rPr>
        <w:t>.</w:t>
      </w:r>
    </w:p>
    <w:p w:rsidR="006E5DC1" w:rsidP="006E5DC1" w14:paraId="77D6F381" w14:textId="77777777">
      <w:pPr>
        <w:tabs>
          <w:tab w:val="left" w:pos="720"/>
        </w:tabs>
        <w:rPr>
          <w:rFonts w:ascii="Times New Roman" w:hAnsi="Times New Roman" w:cs="Times New Roman"/>
        </w:rPr>
      </w:pPr>
      <w:r w:rsidRPr="006E5DC1">
        <w:rPr>
          <w:rFonts w:ascii="Times New Roman" w:hAnsi="Times New Roman" w:cs="Times New Roman"/>
        </w:rPr>
        <w:t xml:space="preserve">The </w:t>
      </w:r>
      <w:r w:rsidR="00AE5A1C">
        <w:rPr>
          <w:rFonts w:ascii="Times New Roman" w:hAnsi="Times New Roman" w:cs="Times New Roman"/>
        </w:rPr>
        <w:t xml:space="preserve">new rules </w:t>
      </w:r>
      <w:r w:rsidRPr="006E5DC1">
        <w:rPr>
          <w:rFonts w:ascii="Times New Roman" w:hAnsi="Times New Roman" w:cs="Times New Roman"/>
        </w:rPr>
        <w:t xml:space="preserve">better align </w:t>
      </w:r>
      <w:r w:rsidR="00AE5A1C">
        <w:rPr>
          <w:rFonts w:ascii="Times New Roman" w:hAnsi="Times New Roman" w:cs="Times New Roman"/>
        </w:rPr>
        <w:t xml:space="preserve">the </w:t>
      </w:r>
      <w:r w:rsidRPr="006E5DC1">
        <w:rPr>
          <w:rFonts w:ascii="Times New Roman" w:hAnsi="Times New Roman" w:cs="Times New Roman"/>
        </w:rPr>
        <w:t xml:space="preserve">equipment authorization processes with the current state of </w:t>
      </w:r>
      <w:r w:rsidR="00863D2E">
        <w:rPr>
          <w:rFonts w:ascii="Times New Roman" w:hAnsi="Times New Roman" w:cs="Times New Roman"/>
        </w:rPr>
        <w:t>radiofrequency (</w:t>
      </w:r>
      <w:r w:rsidRPr="006E5DC1">
        <w:rPr>
          <w:rFonts w:ascii="Times New Roman" w:hAnsi="Times New Roman" w:cs="Times New Roman"/>
        </w:rPr>
        <w:t>RF</w:t>
      </w:r>
      <w:r w:rsidR="00863D2E">
        <w:rPr>
          <w:rFonts w:ascii="Times New Roman" w:hAnsi="Times New Roman" w:cs="Times New Roman"/>
        </w:rPr>
        <w:t>)</w:t>
      </w:r>
      <w:r w:rsidRPr="006E5DC1">
        <w:rPr>
          <w:rFonts w:ascii="Times New Roman" w:hAnsi="Times New Roman" w:cs="Times New Roman"/>
        </w:rPr>
        <w:t xml:space="preserve"> device technology and the global marketplace</w:t>
      </w:r>
      <w:r w:rsidR="00AE5A1C">
        <w:rPr>
          <w:rFonts w:ascii="Times New Roman" w:hAnsi="Times New Roman" w:cs="Times New Roman"/>
        </w:rPr>
        <w:t xml:space="preserve"> and </w:t>
      </w:r>
      <w:r w:rsidRPr="006E5DC1" w:rsidR="00AE5A1C">
        <w:rPr>
          <w:rFonts w:ascii="Times New Roman" w:hAnsi="Times New Roman" w:cs="Times New Roman"/>
        </w:rPr>
        <w:t xml:space="preserve">increase </w:t>
      </w:r>
      <w:r w:rsidR="00AE5A1C">
        <w:rPr>
          <w:rFonts w:ascii="Times New Roman" w:hAnsi="Times New Roman" w:cs="Times New Roman"/>
        </w:rPr>
        <w:t xml:space="preserve">the Commission’s ability </w:t>
      </w:r>
      <w:r w:rsidRPr="006E5DC1" w:rsidR="00AE5A1C">
        <w:rPr>
          <w:rFonts w:ascii="Times New Roman" w:hAnsi="Times New Roman" w:cs="Times New Roman"/>
        </w:rPr>
        <w:t>to respond to changes in technology</w:t>
      </w:r>
      <w:r w:rsidR="00AE5A1C">
        <w:rPr>
          <w:rFonts w:ascii="Times New Roman" w:hAnsi="Times New Roman" w:cs="Times New Roman"/>
        </w:rPr>
        <w:t xml:space="preserve">.  </w:t>
      </w:r>
      <w:r w:rsidRPr="006E5DC1" w:rsidR="00AE5A1C">
        <w:rPr>
          <w:rFonts w:ascii="Times New Roman" w:hAnsi="Times New Roman" w:cs="Times New Roman"/>
        </w:rPr>
        <w:t xml:space="preserve"> </w:t>
      </w:r>
    </w:p>
    <w:p w:rsidR="00EF4B82" w:rsidRPr="00511023" w:rsidP="00286EA8" w14:paraId="0C48A104" w14:textId="7777777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3F7ADB" w:rsidP="003F7ADB" w14:paraId="5955C163" w14:textId="23841851">
      <w:pPr>
        <w:rPr>
          <w:rFonts w:ascii="Times New Roman" w:hAnsi="Times New Roman" w:cs="Times New Roman"/>
          <w:b/>
          <w:i/>
        </w:rPr>
      </w:pPr>
      <w:r>
        <w:rPr>
          <w:rFonts w:ascii="Times New Roman" w:hAnsi="Times New Roman" w:cs="Times New Roman"/>
          <w:b/>
          <w:i/>
        </w:rPr>
        <w:t xml:space="preserve">Supplier’s Declaration </w:t>
      </w:r>
      <w:r>
        <w:rPr>
          <w:rFonts w:ascii="Times New Roman" w:hAnsi="Times New Roman" w:cs="Times New Roman"/>
          <w:b/>
          <w:i/>
        </w:rPr>
        <w:t xml:space="preserve">of </w:t>
      </w:r>
      <w:r w:rsidRPr="00511023" w:rsidR="00DA673B">
        <w:rPr>
          <w:rFonts w:ascii="Times New Roman" w:hAnsi="Times New Roman" w:cs="Times New Roman"/>
          <w:b/>
          <w:i/>
        </w:rPr>
        <w:t xml:space="preserve"> </w:t>
      </w:r>
      <w:r w:rsidR="005320B6">
        <w:rPr>
          <w:rFonts w:ascii="Times New Roman" w:hAnsi="Times New Roman" w:cs="Times New Roman"/>
          <w:b/>
          <w:i/>
        </w:rPr>
        <w:t>Conformity</w:t>
      </w:r>
      <w:r w:rsidR="005320B6">
        <w:rPr>
          <w:rFonts w:ascii="Times New Roman" w:hAnsi="Times New Roman" w:cs="Times New Roman"/>
          <w:b/>
          <w:i/>
        </w:rPr>
        <w:t xml:space="preserve"> </w:t>
      </w:r>
      <w:r w:rsidRPr="00511023" w:rsidR="00DA673B">
        <w:rPr>
          <w:rFonts w:ascii="Times New Roman" w:hAnsi="Times New Roman" w:cs="Times New Roman"/>
          <w:b/>
          <w:i/>
        </w:rPr>
        <w:t>(47 CFR §</w:t>
      </w:r>
      <w:r>
        <w:rPr>
          <w:rFonts w:ascii="Times New Roman" w:hAnsi="Times New Roman" w:cs="Times New Roman"/>
          <w:b/>
          <w:i/>
        </w:rPr>
        <w:t>§</w:t>
      </w:r>
      <w:r w:rsidRPr="00511023" w:rsidR="00DA673B">
        <w:rPr>
          <w:rFonts w:ascii="Times New Roman" w:hAnsi="Times New Roman" w:cs="Times New Roman"/>
          <w:b/>
          <w:i/>
        </w:rPr>
        <w:t xml:space="preserve"> </w:t>
      </w:r>
      <w:r>
        <w:rPr>
          <w:rFonts w:ascii="Times New Roman" w:hAnsi="Times New Roman" w:cs="Times New Roman"/>
          <w:b/>
          <w:i/>
        </w:rPr>
        <w:t>2.906</w:t>
      </w:r>
      <w:r>
        <w:rPr>
          <w:rFonts w:ascii="Times New Roman" w:hAnsi="Times New Roman" w:cs="Times New Roman"/>
          <w:b/>
        </w:rPr>
        <w:t xml:space="preserve">, </w:t>
      </w:r>
      <w:r>
        <w:rPr>
          <w:rFonts w:ascii="Times New Roman" w:hAnsi="Times New Roman" w:cs="Times New Roman"/>
          <w:b/>
          <w:i/>
        </w:rPr>
        <w:t>2.909</w:t>
      </w:r>
      <w:r>
        <w:rPr>
          <w:rFonts w:ascii="Times New Roman" w:hAnsi="Times New Roman" w:cs="Times New Roman"/>
          <w:b/>
        </w:rPr>
        <w:t xml:space="preserve">, </w:t>
      </w:r>
      <w:r>
        <w:rPr>
          <w:rFonts w:ascii="Times New Roman" w:hAnsi="Times New Roman" w:cs="Times New Roman"/>
          <w:b/>
          <w:i/>
        </w:rPr>
        <w:t xml:space="preserve">2.931, 2.938, 2.1071, 2.1072, 2.1074, and 2.1077) </w:t>
      </w:r>
    </w:p>
    <w:p w:rsidR="003F7ADB" w:rsidRPr="00511023" w:rsidP="003F7ADB" w14:paraId="49E8CFE0" w14:textId="66CB1F18">
      <w:pPr>
        <w:rPr>
          <w:rFonts w:ascii="Times New Roman" w:hAnsi="Times New Roman" w:cs="Times New Roman"/>
        </w:rPr>
      </w:pPr>
      <w:r w:rsidRPr="00511023">
        <w:rPr>
          <w:rFonts w:ascii="Times New Roman" w:hAnsi="Times New Roman" w:cs="Times New Roman"/>
        </w:rPr>
        <w:t xml:space="preserve">The </w:t>
      </w:r>
      <w:r>
        <w:rPr>
          <w:rFonts w:ascii="Times New Roman" w:hAnsi="Times New Roman" w:cs="Times New Roman"/>
          <w:i/>
        </w:rPr>
        <w:t xml:space="preserve">First </w:t>
      </w:r>
      <w:r w:rsidRPr="00511023">
        <w:rPr>
          <w:rFonts w:ascii="Times New Roman" w:hAnsi="Times New Roman" w:cs="Times New Roman"/>
          <w:i/>
        </w:rPr>
        <w:t>Report and Order</w:t>
      </w:r>
      <w:r w:rsidRPr="00511023">
        <w:rPr>
          <w:rFonts w:ascii="Times New Roman" w:hAnsi="Times New Roman" w:cs="Times New Roman"/>
        </w:rPr>
        <w:t xml:space="preserve"> </w:t>
      </w:r>
      <w:r>
        <w:rPr>
          <w:rFonts w:ascii="Times New Roman" w:hAnsi="Times New Roman" w:cs="Times New Roman"/>
        </w:rPr>
        <w:t>set forth a new self-approved equipment authorization process, Supplier’s Declaration of Conformity (</w:t>
      </w:r>
      <w:r>
        <w:rPr>
          <w:rFonts w:ascii="Times New Roman" w:hAnsi="Times New Roman" w:cs="Times New Roman"/>
        </w:rPr>
        <w:t>SDoc</w:t>
      </w:r>
      <w:r>
        <w:rPr>
          <w:rFonts w:ascii="Times New Roman" w:hAnsi="Times New Roman" w:cs="Times New Roman"/>
        </w:rPr>
        <w:t>)</w:t>
      </w:r>
      <w:r w:rsidR="00F10A47">
        <w:rPr>
          <w:rFonts w:ascii="Times New Roman" w:hAnsi="Times New Roman" w:cs="Times New Roman"/>
        </w:rPr>
        <w:t>,</w:t>
      </w:r>
      <w:r>
        <w:rPr>
          <w:rFonts w:ascii="Times New Roman" w:hAnsi="Times New Roman" w:cs="Times New Roman"/>
        </w:rPr>
        <w:t xml:space="preserve"> which replaced the existing verification and Declaration of Conformity (DoC) </w:t>
      </w:r>
      <w:r w:rsidR="005B5A02">
        <w:rPr>
          <w:rFonts w:ascii="Times New Roman" w:hAnsi="Times New Roman" w:cs="Times New Roman"/>
        </w:rPr>
        <w:t>procedures</w:t>
      </w:r>
      <w:r>
        <w:rPr>
          <w:rFonts w:ascii="Times New Roman" w:hAnsi="Times New Roman" w:cs="Times New Roman"/>
        </w:rPr>
        <w:t xml:space="preserve">.  </w:t>
      </w:r>
    </w:p>
    <w:p w:rsidR="001271F1" w:rsidP="001271F1" w14:paraId="037BA736" w14:textId="4DB14164">
      <w:pPr>
        <w:pStyle w:val="ListParagraph"/>
        <w:numPr>
          <w:ilvl w:val="0"/>
          <w:numId w:val="11"/>
        </w:numPr>
        <w:rPr>
          <w:rFonts w:ascii="Times New Roman" w:hAnsi="Times New Roman" w:cs="Times New Roman"/>
        </w:rPr>
      </w:pPr>
      <w:r>
        <w:rPr>
          <w:rFonts w:ascii="Times New Roman" w:hAnsi="Times New Roman" w:cs="Times New Roman"/>
        </w:rPr>
        <w:t xml:space="preserve">Under SDoC, a </w:t>
      </w:r>
      <w:r w:rsidR="006A1DA2">
        <w:rPr>
          <w:rFonts w:ascii="Times New Roman" w:hAnsi="Times New Roman" w:cs="Times New Roman"/>
        </w:rPr>
        <w:t>responsible party determines</w:t>
      </w:r>
      <w:r>
        <w:rPr>
          <w:rFonts w:ascii="Times New Roman" w:hAnsi="Times New Roman" w:cs="Times New Roman"/>
        </w:rPr>
        <w:t xml:space="preserve"> that, based upon the appropriate testing, the RF device complies with all pertinent Commission technical requirements.  Such a device will be uniquely identified and marketed with the appropriate compliance information, including the responsible party’s contact information and any other information required by the Commission’s rules.    </w:t>
      </w:r>
    </w:p>
    <w:p w:rsidR="001271F1" w:rsidRPr="00511023" w:rsidP="001271F1" w14:paraId="39CA6622" w14:textId="77777777">
      <w:pPr>
        <w:pStyle w:val="ListParagraph"/>
        <w:rPr>
          <w:rFonts w:ascii="Times New Roman" w:hAnsi="Times New Roman" w:cs="Times New Roman"/>
        </w:rPr>
      </w:pPr>
      <w:r>
        <w:rPr>
          <w:rFonts w:ascii="Times New Roman" w:hAnsi="Times New Roman" w:cs="Times New Roman"/>
        </w:rPr>
        <w:t xml:space="preserve"> </w:t>
      </w:r>
    </w:p>
    <w:p w:rsidR="00DA673B" w:rsidRPr="00511023" w:rsidP="00511023" w14:paraId="24BD03F0" w14:textId="1A6EAA72">
      <w:pPr>
        <w:pStyle w:val="ListParagraph"/>
        <w:numPr>
          <w:ilvl w:val="0"/>
          <w:numId w:val="11"/>
        </w:numPr>
        <w:rPr>
          <w:rFonts w:ascii="Times New Roman" w:hAnsi="Times New Roman" w:cs="Times New Roman"/>
        </w:rPr>
      </w:pPr>
      <w:r>
        <w:rPr>
          <w:rFonts w:ascii="Times New Roman" w:hAnsi="Times New Roman" w:cs="Times New Roman"/>
        </w:rPr>
        <w:t>The former verification and DoC processes continued to be permissible forms of equipment authorization for e</w:t>
      </w:r>
      <w:r w:rsidR="00F10A47">
        <w:rPr>
          <w:rFonts w:ascii="Times New Roman" w:hAnsi="Times New Roman" w:cs="Times New Roman"/>
        </w:rPr>
        <w:t>ligible RF devices until November 2, 2018</w:t>
      </w:r>
      <w:r>
        <w:rPr>
          <w:rFonts w:ascii="Times New Roman" w:hAnsi="Times New Roman" w:cs="Times New Roman"/>
        </w:rPr>
        <w:t xml:space="preserve">.  </w:t>
      </w:r>
      <w:r w:rsidR="00F10A47">
        <w:rPr>
          <w:rFonts w:ascii="Times New Roman" w:hAnsi="Times New Roman" w:cs="Times New Roman"/>
        </w:rPr>
        <w:t xml:space="preserve"> A</w:t>
      </w:r>
      <w:r>
        <w:rPr>
          <w:rFonts w:ascii="Times New Roman" w:hAnsi="Times New Roman" w:cs="Times New Roman"/>
        </w:rPr>
        <w:t xml:space="preserve">s of </w:t>
      </w:r>
      <w:r w:rsidR="00F10A47">
        <w:rPr>
          <w:rFonts w:ascii="Times New Roman" w:hAnsi="Times New Roman" w:cs="Times New Roman"/>
        </w:rPr>
        <w:t xml:space="preserve">November 2, 2018, </w:t>
      </w:r>
      <w:r w:rsidR="00863D2E">
        <w:rPr>
          <w:rFonts w:ascii="Times New Roman" w:hAnsi="Times New Roman" w:cs="Times New Roman"/>
        </w:rPr>
        <w:t xml:space="preserve">new authorizations under verification and </w:t>
      </w:r>
      <w:r w:rsidR="00863D2E">
        <w:rPr>
          <w:rFonts w:ascii="Times New Roman" w:hAnsi="Times New Roman" w:cs="Times New Roman"/>
        </w:rPr>
        <w:t>DoC</w:t>
      </w:r>
      <w:r w:rsidR="00863D2E">
        <w:rPr>
          <w:rFonts w:ascii="Times New Roman" w:hAnsi="Times New Roman" w:cs="Times New Roman"/>
        </w:rPr>
        <w:t xml:space="preserve"> </w:t>
      </w:r>
      <w:r>
        <w:rPr>
          <w:rFonts w:ascii="Times New Roman" w:hAnsi="Times New Roman" w:cs="Times New Roman"/>
        </w:rPr>
        <w:t xml:space="preserve">are </w:t>
      </w:r>
      <w:r w:rsidR="00863D2E">
        <w:rPr>
          <w:rFonts w:ascii="Times New Roman" w:hAnsi="Times New Roman" w:cs="Times New Roman"/>
        </w:rPr>
        <w:t xml:space="preserve">no longer permitted and </w:t>
      </w:r>
      <w:r w:rsidR="00F10A47">
        <w:rPr>
          <w:rFonts w:ascii="Times New Roman" w:hAnsi="Times New Roman" w:cs="Times New Roman"/>
        </w:rPr>
        <w:t>any changes to RF devices authorized under the previous procedures require</w:t>
      </w:r>
      <w:r>
        <w:rPr>
          <w:rFonts w:ascii="Times New Roman" w:hAnsi="Times New Roman" w:cs="Times New Roman"/>
        </w:rPr>
        <w:t>s</w:t>
      </w:r>
      <w:r w:rsidR="00F10A47">
        <w:rPr>
          <w:rFonts w:ascii="Times New Roman" w:hAnsi="Times New Roman" w:cs="Times New Roman"/>
        </w:rPr>
        <w:t xml:space="preserve"> a new equipment authorization under the SDoC </w:t>
      </w:r>
      <w:r w:rsidR="005B5A02">
        <w:rPr>
          <w:rFonts w:ascii="Times New Roman" w:hAnsi="Times New Roman" w:cs="Times New Roman"/>
        </w:rPr>
        <w:t>procedure</w:t>
      </w:r>
      <w:r w:rsidR="00F10A47">
        <w:rPr>
          <w:rFonts w:ascii="Times New Roman" w:hAnsi="Times New Roman" w:cs="Times New Roman"/>
        </w:rPr>
        <w:t xml:space="preserve">.  </w:t>
      </w:r>
      <w:r w:rsidR="00F10A47">
        <w:rPr>
          <w:rFonts w:ascii="Times New Roman" w:hAnsi="Times New Roman" w:cs="Times New Roman"/>
          <w:b/>
        </w:rPr>
        <w:t>(47 CFR §</w:t>
      </w:r>
      <w:r>
        <w:rPr>
          <w:rFonts w:ascii="Times New Roman" w:hAnsi="Times New Roman" w:cs="Times New Roman"/>
          <w:b/>
        </w:rPr>
        <w:t>§</w:t>
      </w:r>
      <w:r w:rsidR="00F10A47">
        <w:rPr>
          <w:rFonts w:ascii="Times New Roman" w:hAnsi="Times New Roman" w:cs="Times New Roman"/>
          <w:b/>
        </w:rPr>
        <w:t xml:space="preserve"> 2.950(</w:t>
      </w:r>
      <w:r w:rsidR="00F10A47">
        <w:rPr>
          <w:rFonts w:ascii="Times New Roman" w:hAnsi="Times New Roman" w:cs="Times New Roman"/>
          <w:b/>
        </w:rPr>
        <w:t>i</w:t>
      </w:r>
      <w:r w:rsidR="00F10A47">
        <w:rPr>
          <w:rFonts w:ascii="Times New Roman" w:hAnsi="Times New Roman" w:cs="Times New Roman"/>
          <w:b/>
        </w:rPr>
        <w:t xml:space="preserve">) and (j)).   </w:t>
      </w:r>
    </w:p>
    <w:p w:rsidR="003D226E" w:rsidP="00511023" w14:paraId="024CE303" w14:textId="77777777">
      <w:pPr>
        <w:pStyle w:val="ListParagraph"/>
        <w:rPr>
          <w:rFonts w:ascii="Times New Roman" w:hAnsi="Times New Roman" w:cs="Times New Roman"/>
        </w:rPr>
      </w:pPr>
    </w:p>
    <w:p w:rsidR="001271F1" w:rsidP="00DA673B" w14:paraId="5AAD8EE1" w14:textId="77777777">
      <w:pPr>
        <w:rPr>
          <w:rFonts w:ascii="Times New Roman" w:hAnsi="Times New Roman" w:cs="Times New Roman"/>
          <w:b/>
          <w:i/>
          <w:spacing w:val="-2"/>
        </w:rPr>
      </w:pPr>
      <w:r>
        <w:rPr>
          <w:rFonts w:ascii="Times New Roman" w:hAnsi="Times New Roman" w:cs="Times New Roman"/>
          <w:b/>
          <w:i/>
          <w:spacing w:val="-2"/>
        </w:rPr>
        <w:t xml:space="preserve">Electronic Labeling </w:t>
      </w:r>
      <w:r w:rsidR="007A34FD">
        <w:rPr>
          <w:rFonts w:ascii="Times New Roman" w:hAnsi="Times New Roman" w:cs="Times New Roman"/>
          <w:b/>
          <w:i/>
          <w:spacing w:val="-2"/>
        </w:rPr>
        <w:t xml:space="preserve">(e-labeling) </w:t>
      </w:r>
      <w:r>
        <w:rPr>
          <w:rFonts w:ascii="Times New Roman" w:hAnsi="Times New Roman" w:cs="Times New Roman"/>
          <w:b/>
          <w:i/>
          <w:spacing w:val="-2"/>
        </w:rPr>
        <w:t>of radiofrequency devices</w:t>
      </w:r>
      <w:r w:rsidR="007A34FD">
        <w:rPr>
          <w:rFonts w:ascii="Times New Roman" w:hAnsi="Times New Roman" w:cs="Times New Roman"/>
          <w:b/>
          <w:i/>
          <w:spacing w:val="-2"/>
        </w:rPr>
        <w:t xml:space="preserve"> </w:t>
      </w:r>
      <w:r>
        <w:rPr>
          <w:rFonts w:ascii="Times New Roman" w:hAnsi="Times New Roman" w:cs="Times New Roman"/>
          <w:b/>
          <w:i/>
          <w:spacing w:val="-2"/>
        </w:rPr>
        <w:t>(47 CFR 2.935)</w:t>
      </w:r>
    </w:p>
    <w:p w:rsidR="007A34FD" w:rsidP="007A34FD" w14:paraId="4F4F2EB2" w14:textId="77777777">
      <w:pPr>
        <w:spacing w:after="0"/>
        <w:ind w:left="720" w:hanging="720"/>
        <w:rPr>
          <w:rFonts w:ascii="Times New Roman" w:hAnsi="Times New Roman" w:cs="Times New Roman"/>
          <w:spacing w:val="-2"/>
        </w:rPr>
      </w:pPr>
      <w:r>
        <w:rPr>
          <w:rFonts w:ascii="Times New Roman" w:hAnsi="Times New Roman" w:cs="Times New Roman"/>
        </w:rPr>
        <w:t xml:space="preserve">The </w:t>
      </w:r>
      <w:r>
        <w:rPr>
          <w:rFonts w:ascii="Times New Roman" w:hAnsi="Times New Roman" w:cs="Times New Roman"/>
          <w:i/>
        </w:rPr>
        <w:t>First Report and Order</w:t>
      </w:r>
      <w:r>
        <w:rPr>
          <w:rFonts w:ascii="Times New Roman" w:hAnsi="Times New Roman" w:cs="Times New Roman"/>
        </w:rPr>
        <w:t xml:space="preserve"> amended the Commission’s rules to provide for </w:t>
      </w:r>
      <w:r w:rsidRPr="007A34FD">
        <w:rPr>
          <w:rFonts w:ascii="Times New Roman" w:hAnsi="Times New Roman" w:cs="Times New Roman"/>
          <w:spacing w:val="-2"/>
        </w:rPr>
        <w:t xml:space="preserve">the </w:t>
      </w:r>
      <w:r>
        <w:rPr>
          <w:rFonts w:ascii="Times New Roman" w:hAnsi="Times New Roman" w:cs="Times New Roman"/>
          <w:spacing w:val="-2"/>
        </w:rPr>
        <w:t xml:space="preserve">voluntary </w:t>
      </w:r>
      <w:r w:rsidRPr="007A34FD">
        <w:rPr>
          <w:rFonts w:ascii="Times New Roman" w:hAnsi="Times New Roman" w:cs="Times New Roman"/>
          <w:spacing w:val="-2"/>
        </w:rPr>
        <w:t xml:space="preserve">electronic </w:t>
      </w:r>
    </w:p>
    <w:p w:rsidR="007A34FD" w:rsidP="007A34FD" w14:paraId="2BBF5528" w14:textId="77777777">
      <w:pPr>
        <w:spacing w:after="0"/>
        <w:ind w:left="720" w:hanging="720"/>
        <w:rPr>
          <w:rFonts w:ascii="Times New Roman" w:hAnsi="Times New Roman" w:cs="Times New Roman"/>
          <w:spacing w:val="-2"/>
        </w:rPr>
      </w:pPr>
      <w:r w:rsidRPr="007A34FD">
        <w:rPr>
          <w:rFonts w:ascii="Times New Roman" w:hAnsi="Times New Roman" w:cs="Times New Roman"/>
          <w:spacing w:val="-2"/>
        </w:rPr>
        <w:t xml:space="preserve">display </w:t>
      </w:r>
      <w:r>
        <w:rPr>
          <w:rFonts w:ascii="Times New Roman" w:hAnsi="Times New Roman" w:cs="Times New Roman"/>
          <w:spacing w:val="-2"/>
        </w:rPr>
        <w:t xml:space="preserve">of </w:t>
      </w:r>
      <w:r w:rsidRPr="007A34FD">
        <w:rPr>
          <w:rFonts w:ascii="Times New Roman" w:hAnsi="Times New Roman" w:cs="Times New Roman"/>
          <w:spacing w:val="-2"/>
        </w:rPr>
        <w:t>the FCC Identifier, a</w:t>
      </w:r>
      <w:r>
        <w:rPr>
          <w:rFonts w:ascii="Times New Roman" w:hAnsi="Times New Roman" w:cs="Times New Roman"/>
          <w:spacing w:val="-2"/>
        </w:rPr>
        <w:t xml:space="preserve">ny warning statements, or other </w:t>
      </w:r>
      <w:r w:rsidRPr="007A34FD">
        <w:rPr>
          <w:rFonts w:ascii="Times New Roman" w:hAnsi="Times New Roman" w:cs="Times New Roman"/>
          <w:spacing w:val="-2"/>
        </w:rPr>
        <w:t>information that the Com</w:t>
      </w:r>
      <w:r>
        <w:rPr>
          <w:rFonts w:ascii="Times New Roman" w:hAnsi="Times New Roman" w:cs="Times New Roman"/>
          <w:spacing w:val="-2"/>
        </w:rPr>
        <w:t>mission's rules</w:t>
      </w:r>
    </w:p>
    <w:p w:rsidR="007A34FD" w:rsidP="007A34FD" w14:paraId="6632A7FC" w14:textId="77777777">
      <w:pPr>
        <w:spacing w:after="0"/>
        <w:ind w:left="720" w:hanging="720"/>
        <w:rPr>
          <w:rFonts w:ascii="Times New Roman" w:hAnsi="Times New Roman" w:cs="Times New Roman"/>
        </w:rPr>
      </w:pPr>
      <w:r>
        <w:rPr>
          <w:rFonts w:ascii="Times New Roman" w:hAnsi="Times New Roman" w:cs="Times New Roman"/>
          <w:spacing w:val="-2"/>
        </w:rPr>
        <w:t xml:space="preserve">would otherwise </w:t>
      </w:r>
      <w:r w:rsidRPr="007A34FD">
        <w:rPr>
          <w:rFonts w:ascii="Times New Roman" w:hAnsi="Times New Roman" w:cs="Times New Roman"/>
          <w:spacing w:val="-2"/>
        </w:rPr>
        <w:t>require to be shown on a physical label attached to the device</w:t>
      </w:r>
      <w:r>
        <w:rPr>
          <w:rFonts w:ascii="Times New Roman" w:hAnsi="Times New Roman" w:cs="Times New Roman"/>
          <w:spacing w:val="-2"/>
        </w:rPr>
        <w:t>.</w:t>
      </w:r>
      <w:r>
        <w:rPr>
          <w:rFonts w:ascii="Times New Roman" w:hAnsi="Times New Roman" w:cs="Times New Roman"/>
        </w:rPr>
        <w:t xml:space="preserve">  </w:t>
      </w:r>
      <w:r w:rsidRPr="007A34FD">
        <w:rPr>
          <w:rFonts w:ascii="Times New Roman" w:hAnsi="Times New Roman" w:cs="Times New Roman"/>
        </w:rPr>
        <w:t xml:space="preserve">The option for e-labeling  </w:t>
      </w:r>
    </w:p>
    <w:p w:rsidR="007A34FD" w:rsidP="007A34FD" w14:paraId="40636130" w14:textId="77777777">
      <w:pPr>
        <w:spacing w:after="0"/>
        <w:ind w:left="720" w:hanging="720"/>
        <w:rPr>
          <w:rFonts w:ascii="Times New Roman" w:hAnsi="Times New Roman" w:cs="Times New Roman"/>
        </w:rPr>
      </w:pPr>
      <w:r w:rsidRPr="007A34FD">
        <w:rPr>
          <w:rFonts w:ascii="Times New Roman" w:hAnsi="Times New Roman" w:cs="Times New Roman"/>
        </w:rPr>
        <w:t xml:space="preserve">is available for any RF device that is: (1) equipped with an integrated electronic display screen, or (2) </w:t>
      </w:r>
    </w:p>
    <w:p w:rsidR="007A34FD" w:rsidP="007A34FD" w14:paraId="3F9444D5" w14:textId="77777777">
      <w:pPr>
        <w:spacing w:after="0"/>
        <w:ind w:left="720" w:hanging="720"/>
        <w:rPr>
          <w:rFonts w:ascii="Times New Roman" w:hAnsi="Times New Roman" w:cs="Times New Roman"/>
        </w:rPr>
      </w:pPr>
      <w:r w:rsidRPr="007A34FD">
        <w:rPr>
          <w:rFonts w:ascii="Times New Roman" w:hAnsi="Times New Roman" w:cs="Times New Roman"/>
        </w:rPr>
        <w:t>without an integrated screen that can only operate in conjunction with a device that has an electronic</w:t>
      </w:r>
    </w:p>
    <w:p w:rsidR="00047CCA" w:rsidRPr="007A34FD" w:rsidP="007A34FD" w14:paraId="3621636A" w14:textId="77777777">
      <w:pPr>
        <w:spacing w:after="0"/>
        <w:ind w:left="720" w:hanging="720"/>
        <w:rPr>
          <w:rFonts w:ascii="Times New Roman" w:hAnsi="Times New Roman" w:cs="Times New Roman"/>
        </w:rPr>
      </w:pPr>
      <w:r w:rsidRPr="007A34FD">
        <w:rPr>
          <w:rFonts w:ascii="Times New Roman" w:hAnsi="Times New Roman" w:cs="Times New Roman"/>
        </w:rPr>
        <w:t xml:space="preserve">display screen.   </w:t>
      </w:r>
      <w:r w:rsidR="00160E04">
        <w:rPr>
          <w:rFonts w:ascii="Times New Roman" w:hAnsi="Times New Roman" w:cs="Times New Roman"/>
        </w:rPr>
        <w:t xml:space="preserve">If </w:t>
      </w:r>
      <w:r w:rsidR="00017203">
        <w:rPr>
          <w:rFonts w:ascii="Times New Roman" w:hAnsi="Times New Roman" w:cs="Times New Roman"/>
        </w:rPr>
        <w:t xml:space="preserve">e-labeling </w:t>
      </w:r>
      <w:r w:rsidR="00160E04">
        <w:rPr>
          <w:rFonts w:ascii="Times New Roman" w:hAnsi="Times New Roman" w:cs="Times New Roman"/>
        </w:rPr>
        <w:t>is</w:t>
      </w:r>
      <w:r w:rsidR="00017203">
        <w:rPr>
          <w:rFonts w:ascii="Times New Roman" w:hAnsi="Times New Roman" w:cs="Times New Roman"/>
        </w:rPr>
        <w:t xml:space="preserve"> u</w:t>
      </w:r>
      <w:r w:rsidR="00863D2E">
        <w:rPr>
          <w:rFonts w:ascii="Times New Roman" w:hAnsi="Times New Roman" w:cs="Times New Roman"/>
        </w:rPr>
        <w:t>sed</w:t>
      </w:r>
      <w:r w:rsidR="00017203">
        <w:rPr>
          <w:rFonts w:ascii="Times New Roman" w:hAnsi="Times New Roman" w:cs="Times New Roman"/>
        </w:rPr>
        <w:t xml:space="preserve">, the following </w:t>
      </w:r>
      <w:r w:rsidR="00160E04">
        <w:rPr>
          <w:rFonts w:ascii="Times New Roman" w:hAnsi="Times New Roman" w:cs="Times New Roman"/>
        </w:rPr>
        <w:t xml:space="preserve">requirements </w:t>
      </w:r>
      <w:r w:rsidR="00017203">
        <w:rPr>
          <w:rFonts w:ascii="Times New Roman" w:hAnsi="Times New Roman" w:cs="Times New Roman"/>
        </w:rPr>
        <w:t xml:space="preserve">must be </w:t>
      </w:r>
      <w:r w:rsidR="00160E04">
        <w:rPr>
          <w:rFonts w:ascii="Times New Roman" w:hAnsi="Times New Roman" w:cs="Times New Roman"/>
        </w:rPr>
        <w:t>met</w:t>
      </w:r>
      <w:r w:rsidR="00017203">
        <w:rPr>
          <w:rFonts w:ascii="Times New Roman" w:hAnsi="Times New Roman" w:cs="Times New Roman"/>
        </w:rPr>
        <w:t>:</w:t>
      </w:r>
    </w:p>
    <w:p w:rsidR="00047CCA" w:rsidRPr="00047CCA" w:rsidP="00047CCA" w14:paraId="39EFB0A6" w14:textId="77777777">
      <w:pPr>
        <w:spacing w:after="0"/>
        <w:rPr>
          <w:rFonts w:ascii="Times New Roman" w:hAnsi="Times New Roman" w:cs="Times New Roman"/>
          <w:b/>
        </w:rPr>
      </w:pPr>
    </w:p>
    <w:p w:rsidR="009F5A93" w:rsidRPr="00160E04" w:rsidP="009F5A93" w14:paraId="3B58B3A9" w14:textId="77777777">
      <w:pPr>
        <w:pStyle w:val="ListParagraph"/>
        <w:numPr>
          <w:ilvl w:val="0"/>
          <w:numId w:val="10"/>
        </w:numPr>
        <w:spacing w:after="0"/>
        <w:rPr>
          <w:rFonts w:ascii="Times New Roman" w:hAnsi="Times New Roman" w:cs="Times New Roman"/>
        </w:rPr>
      </w:pPr>
      <w:r w:rsidRPr="00160E04">
        <w:rPr>
          <w:rFonts w:ascii="Times New Roman" w:hAnsi="Times New Roman" w:cs="Times New Roman"/>
        </w:rPr>
        <w:t xml:space="preserve">Users </w:t>
      </w:r>
      <w:r w:rsidR="00863D2E">
        <w:rPr>
          <w:rFonts w:ascii="Times New Roman" w:hAnsi="Times New Roman" w:cs="Times New Roman"/>
        </w:rPr>
        <w:t xml:space="preserve">of the device </w:t>
      </w:r>
      <w:r w:rsidRPr="00160E04">
        <w:rPr>
          <w:rFonts w:ascii="Times New Roman" w:hAnsi="Times New Roman" w:cs="Times New Roman"/>
        </w:rPr>
        <w:t>must be provided with prominent instructions on how to access the information in the operating instructions, inserts in packaging material, or other easily accessible format at the time of purchase.</w:t>
      </w:r>
      <w:r w:rsidR="00160E04">
        <w:rPr>
          <w:rFonts w:ascii="Times New Roman" w:hAnsi="Times New Roman" w:cs="Times New Roman"/>
        </w:rPr>
        <w:t xml:space="preserve"> </w:t>
      </w:r>
      <w:r w:rsidRPr="00160E04">
        <w:rPr>
          <w:rFonts w:ascii="Times New Roman" w:hAnsi="Times New Roman" w:cs="Times New Roman"/>
        </w:rPr>
        <w:t xml:space="preserve"> The access instructions may also be provided via the product-related Web site, if such a Web site exists; the packaging material must provide specific instructions on how to </w:t>
      </w:r>
      <w:r w:rsidRPr="00160E04" w:rsidR="00160E04">
        <w:rPr>
          <w:rFonts w:ascii="Times New Roman" w:hAnsi="Times New Roman" w:cs="Times New Roman"/>
        </w:rPr>
        <w:t xml:space="preserve">locate the Web site information. </w:t>
      </w:r>
      <w:r w:rsidRPr="00160E04">
        <w:rPr>
          <w:rFonts w:ascii="Times New Roman" w:hAnsi="Times New Roman" w:cs="Times New Roman"/>
        </w:rPr>
        <w:t xml:space="preserve"> </w:t>
      </w:r>
    </w:p>
    <w:p w:rsidR="009F5A93" w:rsidP="00160E04" w14:paraId="54F12EB0" w14:textId="77777777">
      <w:pPr>
        <w:pStyle w:val="ListParagraph"/>
        <w:spacing w:after="0"/>
        <w:rPr>
          <w:rFonts w:ascii="Times New Roman" w:hAnsi="Times New Roman" w:cs="Times New Roman"/>
        </w:rPr>
      </w:pPr>
    </w:p>
    <w:p w:rsidR="009F5A93" w:rsidP="009F5A93" w14:paraId="4398FD0A" w14:textId="77777777">
      <w:pPr>
        <w:pStyle w:val="ListParagraph"/>
        <w:numPr>
          <w:ilvl w:val="0"/>
          <w:numId w:val="10"/>
        </w:numPr>
        <w:spacing w:after="0"/>
        <w:rPr>
          <w:rFonts w:ascii="Times New Roman" w:hAnsi="Times New Roman" w:cs="Times New Roman"/>
        </w:rPr>
      </w:pPr>
      <w:r>
        <w:rPr>
          <w:rFonts w:ascii="Times New Roman" w:hAnsi="Times New Roman" w:cs="Times New Roman"/>
        </w:rPr>
        <w:t>Electronically</w:t>
      </w:r>
      <w:r w:rsidR="00863D2E">
        <w:rPr>
          <w:rFonts w:ascii="Times New Roman" w:hAnsi="Times New Roman" w:cs="Times New Roman"/>
        </w:rPr>
        <w:t xml:space="preserve"> </w:t>
      </w:r>
      <w:r>
        <w:rPr>
          <w:rFonts w:ascii="Times New Roman" w:hAnsi="Times New Roman" w:cs="Times New Roman"/>
        </w:rPr>
        <w:t xml:space="preserve">provided </w:t>
      </w:r>
      <w:r w:rsidRPr="009F5A93">
        <w:rPr>
          <w:rFonts w:ascii="Times New Roman" w:hAnsi="Times New Roman" w:cs="Times New Roman"/>
        </w:rPr>
        <w:t xml:space="preserve">information </w:t>
      </w:r>
      <w:r>
        <w:rPr>
          <w:rFonts w:ascii="Times New Roman" w:hAnsi="Times New Roman" w:cs="Times New Roman"/>
        </w:rPr>
        <w:t xml:space="preserve">must be accessible </w:t>
      </w:r>
      <w:r w:rsidRPr="009F5A93">
        <w:rPr>
          <w:rFonts w:ascii="Times New Roman" w:hAnsi="Times New Roman" w:cs="Times New Roman"/>
        </w:rPr>
        <w:t>without special codes, accessories or permissions and the access to this information must not require more than three steps from the device setting menu.</w:t>
      </w:r>
      <w:r w:rsidR="00F26052">
        <w:rPr>
          <w:rFonts w:ascii="Times New Roman" w:hAnsi="Times New Roman" w:cs="Times New Roman"/>
        </w:rPr>
        <w:t xml:space="preserve">  </w:t>
      </w:r>
    </w:p>
    <w:p w:rsidR="009F5A93" w:rsidP="00160E04" w14:paraId="5F304013" w14:textId="77777777">
      <w:pPr>
        <w:pStyle w:val="ListParagraph"/>
        <w:spacing w:after="0"/>
        <w:rPr>
          <w:rFonts w:ascii="Times New Roman" w:hAnsi="Times New Roman" w:cs="Times New Roman"/>
        </w:rPr>
      </w:pPr>
    </w:p>
    <w:p w:rsidR="009F5A93" w:rsidP="009F5A93" w14:paraId="5916F1C4" w14:textId="77777777">
      <w:pPr>
        <w:pStyle w:val="ListParagraph"/>
        <w:numPr>
          <w:ilvl w:val="0"/>
          <w:numId w:val="10"/>
        </w:numPr>
        <w:spacing w:after="0"/>
        <w:rPr>
          <w:rFonts w:ascii="Times New Roman" w:hAnsi="Times New Roman" w:cs="Times New Roman"/>
        </w:rPr>
      </w:pPr>
      <w:r w:rsidRPr="009F5A93">
        <w:rPr>
          <w:rFonts w:ascii="Times New Roman" w:hAnsi="Times New Roman" w:cs="Times New Roman"/>
        </w:rPr>
        <w:t>The electronically displayed information must be displayed in a manner that is clearly legible wi</w:t>
      </w:r>
      <w:r w:rsidR="00160E04">
        <w:rPr>
          <w:rFonts w:ascii="Times New Roman" w:hAnsi="Times New Roman" w:cs="Times New Roman"/>
        </w:rPr>
        <w:t>thout the aid of magnification.</w:t>
      </w:r>
    </w:p>
    <w:p w:rsidR="009F5A93" w:rsidP="00160E04" w14:paraId="6045D660" w14:textId="77777777">
      <w:pPr>
        <w:pStyle w:val="ListParagraph"/>
        <w:spacing w:after="0"/>
        <w:rPr>
          <w:rFonts w:ascii="Times New Roman" w:hAnsi="Times New Roman" w:cs="Times New Roman"/>
        </w:rPr>
      </w:pPr>
    </w:p>
    <w:p w:rsidR="009F5A93" w:rsidP="009F5A93" w14:paraId="723E0979" w14:textId="77777777">
      <w:pPr>
        <w:pStyle w:val="ListParagraph"/>
        <w:numPr>
          <w:ilvl w:val="0"/>
          <w:numId w:val="10"/>
        </w:numPr>
        <w:spacing w:after="0"/>
        <w:rPr>
          <w:rFonts w:ascii="Times New Roman" w:hAnsi="Times New Roman" w:cs="Times New Roman"/>
        </w:rPr>
      </w:pPr>
      <w:r w:rsidRPr="009F5A93">
        <w:rPr>
          <w:rFonts w:ascii="Times New Roman" w:hAnsi="Times New Roman" w:cs="Times New Roman"/>
        </w:rPr>
        <w:t xml:space="preserve">The necessary label information must be programmed by the responsible party and must be secured in such a manner that third-parties cannot modify it.  </w:t>
      </w:r>
    </w:p>
    <w:p w:rsidR="009F5A93" w:rsidP="00160E04" w14:paraId="50FE56AD" w14:textId="77777777">
      <w:pPr>
        <w:pStyle w:val="ListParagraph"/>
        <w:spacing w:after="0"/>
        <w:rPr>
          <w:rFonts w:ascii="Times New Roman" w:hAnsi="Times New Roman" w:cs="Times New Roman"/>
        </w:rPr>
      </w:pPr>
    </w:p>
    <w:p w:rsidR="001271F1" w:rsidRPr="009F5A93" w:rsidP="009F5A93" w14:paraId="484FFE18" w14:textId="59295B49">
      <w:pPr>
        <w:pStyle w:val="ListParagraph"/>
        <w:numPr>
          <w:ilvl w:val="0"/>
          <w:numId w:val="10"/>
        </w:numPr>
        <w:spacing w:after="0"/>
        <w:rPr>
          <w:rFonts w:ascii="Times New Roman" w:hAnsi="Times New Roman" w:cs="Times New Roman"/>
        </w:rPr>
      </w:pPr>
      <w:bookmarkStart w:id="1" w:name="_Hlk510684597"/>
      <w:r w:rsidRPr="009F5A93">
        <w:rPr>
          <w:rFonts w:ascii="Times New Roman" w:hAnsi="Times New Roman" w:cs="Times New Roman"/>
        </w:rPr>
        <w:t xml:space="preserve">Devices displaying the FCC Identifier, warning statements, or other information electronically must also be labeled, either on the device or its packaging, with the FCC Identifier or other information (such as a model number and identification of a Web page that hosts the relevant regulatory information) that permits the devices to be identified at the time of importation, marketing, and sales as complying with the FCC's equipment authorization requirements. </w:t>
      </w:r>
      <w:r w:rsidR="00F26052">
        <w:rPr>
          <w:rFonts w:ascii="Times New Roman" w:hAnsi="Times New Roman" w:cs="Times New Roman"/>
        </w:rPr>
        <w:t xml:space="preserve"> </w:t>
      </w:r>
      <w:r w:rsidR="006A1DA2">
        <w:rPr>
          <w:rFonts w:ascii="Times New Roman" w:hAnsi="Times New Roman" w:cs="Times New Roman"/>
        </w:rPr>
        <w:t>Such labeling may be provided in a temporary manner.  For example, d</w:t>
      </w:r>
      <w:r w:rsidRPr="009F5A93">
        <w:rPr>
          <w:rFonts w:ascii="Times New Roman" w:hAnsi="Times New Roman" w:cs="Times New Roman"/>
        </w:rPr>
        <w:t>evices can be labeled with a stick-on label, printing on the packaging, a label on a protective bag, or by similar means.</w:t>
      </w:r>
      <w:r w:rsidR="00160E04">
        <w:rPr>
          <w:rFonts w:ascii="Times New Roman" w:hAnsi="Times New Roman" w:cs="Times New Roman"/>
        </w:rPr>
        <w:t xml:space="preserve">  </w:t>
      </w:r>
      <w:r w:rsidRPr="009F5A93">
        <w:rPr>
          <w:rFonts w:ascii="Times New Roman" w:hAnsi="Times New Roman" w:cs="Times New Roman"/>
        </w:rPr>
        <w:t>Any removable label shall be of a type intended to survive normal shipping and handling and must only be removed by the customer after purchase</w:t>
      </w:r>
      <w:bookmarkEnd w:id="1"/>
      <w:r w:rsidRPr="009F5A93">
        <w:rPr>
          <w:rFonts w:ascii="Times New Roman" w:hAnsi="Times New Roman" w:cs="Times New Roman"/>
        </w:rPr>
        <w:t>.</w:t>
      </w:r>
    </w:p>
    <w:p w:rsidR="009F5A93" w:rsidP="001271F1" w14:paraId="3FD3B0FE" w14:textId="77777777">
      <w:pPr>
        <w:spacing w:after="0"/>
        <w:rPr>
          <w:rFonts w:ascii="Times New Roman" w:hAnsi="Times New Roman" w:cs="Times New Roman"/>
          <w:b/>
        </w:rPr>
      </w:pPr>
    </w:p>
    <w:p w:rsidR="003733F4" w:rsidP="003733F4" w14:paraId="3739C4AF" w14:textId="77777777">
      <w:pPr>
        <w:spacing w:after="0"/>
        <w:rPr>
          <w:rFonts w:ascii="Times New Roman" w:hAnsi="Times New Roman" w:cs="Times New Roman"/>
          <w:b/>
          <w:i/>
        </w:rPr>
      </w:pPr>
      <w:r>
        <w:rPr>
          <w:rFonts w:ascii="Times New Roman" w:hAnsi="Times New Roman" w:cs="Times New Roman"/>
          <w:b/>
          <w:i/>
        </w:rPr>
        <w:t>Importation of Devices Capable of Causing Harmful Interference (47 CFR Part 2, Subpart K)</w:t>
      </w:r>
    </w:p>
    <w:p w:rsidR="008F6784" w:rsidP="003733F4" w14:paraId="3E3B4132" w14:textId="77777777">
      <w:pPr>
        <w:spacing w:after="0"/>
        <w:rPr>
          <w:rFonts w:ascii="Times New Roman" w:hAnsi="Times New Roman" w:cs="Times New Roman"/>
          <w:b/>
          <w:i/>
        </w:rPr>
      </w:pPr>
    </w:p>
    <w:p w:rsidR="00D8674C" w:rsidP="00D8674C" w14:paraId="0240E9EB" w14:textId="77777777">
      <w:pPr>
        <w:pStyle w:val="ListParagraph"/>
        <w:numPr>
          <w:ilvl w:val="0"/>
          <w:numId w:val="14"/>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First Report and Order </w:t>
      </w:r>
      <w:r>
        <w:rPr>
          <w:rFonts w:ascii="Times New Roman" w:hAnsi="Times New Roman" w:cs="Times New Roman"/>
        </w:rPr>
        <w:t xml:space="preserve">eliminated the requirement (47 CFR § 2.1205) to file a declaration of compliance </w:t>
      </w:r>
      <w:r w:rsidR="00863D2E">
        <w:rPr>
          <w:rFonts w:ascii="Times New Roman" w:hAnsi="Times New Roman" w:cs="Times New Roman"/>
        </w:rPr>
        <w:t xml:space="preserve">(FCC Form 740) </w:t>
      </w:r>
      <w:r>
        <w:rPr>
          <w:rFonts w:ascii="Times New Roman" w:hAnsi="Times New Roman" w:cs="Times New Roman"/>
        </w:rPr>
        <w:t xml:space="preserve">when importing RF devices into the United States. </w:t>
      </w:r>
    </w:p>
    <w:p w:rsidR="00D8674C" w:rsidP="00D8674C" w14:paraId="0F5A8C2E" w14:textId="77777777">
      <w:pPr>
        <w:pStyle w:val="ListParagraph"/>
        <w:spacing w:after="0"/>
        <w:rPr>
          <w:rFonts w:ascii="Times New Roman" w:hAnsi="Times New Roman" w:cs="Times New Roman"/>
        </w:rPr>
      </w:pPr>
    </w:p>
    <w:p w:rsidR="00D8674C" w:rsidP="00D8674C" w14:paraId="1FC06FD8" w14:textId="77777777">
      <w:pPr>
        <w:pStyle w:val="ListParagraph"/>
        <w:numPr>
          <w:ilvl w:val="0"/>
          <w:numId w:val="14"/>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First Report and Order </w:t>
      </w:r>
      <w:r>
        <w:rPr>
          <w:rFonts w:ascii="Times New Roman" w:hAnsi="Times New Roman" w:cs="Times New Roman"/>
        </w:rPr>
        <w:t xml:space="preserve">increased the number of RF devices that </w:t>
      </w:r>
      <w:r w:rsidR="00863D2E">
        <w:rPr>
          <w:rFonts w:ascii="Times New Roman" w:hAnsi="Times New Roman" w:cs="Times New Roman"/>
        </w:rPr>
        <w:t xml:space="preserve">may </w:t>
      </w:r>
      <w:r>
        <w:rPr>
          <w:rFonts w:ascii="Times New Roman" w:hAnsi="Times New Roman" w:cs="Times New Roman"/>
        </w:rPr>
        <w:t>be imported for the sole purpose of demonstration at trade shows from 200 to 400.  (47 CFR § 2.1204(a)(4)</w:t>
      </w:r>
      <w:r w:rsidR="001B4646">
        <w:rPr>
          <w:rFonts w:ascii="Times New Roman" w:hAnsi="Times New Roman" w:cs="Times New Roman"/>
        </w:rPr>
        <w:t>)</w:t>
      </w:r>
      <w:r>
        <w:rPr>
          <w:rFonts w:ascii="Times New Roman" w:hAnsi="Times New Roman" w:cs="Times New Roman"/>
        </w:rPr>
        <w:t>.</w:t>
      </w:r>
    </w:p>
    <w:p w:rsidR="00D8674C" w:rsidP="00D8674C" w14:paraId="348F859D" w14:textId="77777777">
      <w:pPr>
        <w:pStyle w:val="ListParagraph"/>
        <w:spacing w:after="0"/>
        <w:rPr>
          <w:rFonts w:ascii="Times New Roman" w:hAnsi="Times New Roman" w:cs="Times New Roman"/>
        </w:rPr>
      </w:pPr>
    </w:p>
    <w:p w:rsidR="00D8674C" w:rsidP="00D8674C" w14:paraId="0105B134" w14:textId="77777777">
      <w:pPr>
        <w:pStyle w:val="ListParagraph"/>
        <w:numPr>
          <w:ilvl w:val="0"/>
          <w:numId w:val="14"/>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First Report and Order </w:t>
      </w:r>
      <w:r>
        <w:rPr>
          <w:rFonts w:ascii="Times New Roman" w:hAnsi="Times New Roman" w:cs="Times New Roman"/>
        </w:rPr>
        <w:t xml:space="preserve">clarified the criteria by which certain unintentional radiators are excluded from compliance with </w:t>
      </w:r>
      <w:r w:rsidR="00863D2E">
        <w:rPr>
          <w:rFonts w:ascii="Times New Roman" w:hAnsi="Times New Roman" w:cs="Times New Roman"/>
        </w:rPr>
        <w:t xml:space="preserve">the Commission’s </w:t>
      </w:r>
      <w:r>
        <w:rPr>
          <w:rFonts w:ascii="Times New Roman" w:hAnsi="Times New Roman" w:cs="Times New Roman"/>
        </w:rPr>
        <w:t>importation conditions.</w:t>
      </w:r>
      <w:r w:rsidR="00F26052">
        <w:rPr>
          <w:rFonts w:ascii="Times New Roman" w:hAnsi="Times New Roman" w:cs="Times New Roman"/>
        </w:rPr>
        <w:t xml:space="preserve"> </w:t>
      </w:r>
      <w:r>
        <w:rPr>
          <w:rFonts w:ascii="Times New Roman" w:hAnsi="Times New Roman" w:cs="Times New Roman"/>
        </w:rPr>
        <w:t xml:space="preserve"> (47 CFR § 2.1202(a)). </w:t>
      </w:r>
    </w:p>
    <w:p w:rsidR="00D8674C" w:rsidP="00D8674C" w14:paraId="526BD136" w14:textId="77777777">
      <w:pPr>
        <w:pStyle w:val="ListParagraph"/>
        <w:spacing w:after="0"/>
        <w:rPr>
          <w:rFonts w:ascii="Times New Roman" w:hAnsi="Times New Roman" w:cs="Times New Roman"/>
        </w:rPr>
      </w:pPr>
    </w:p>
    <w:p w:rsidR="008F6784" w:rsidP="00D8674C" w14:paraId="0D45DCBD" w14:textId="27BFDC62">
      <w:pPr>
        <w:pStyle w:val="ListParagraph"/>
        <w:numPr>
          <w:ilvl w:val="0"/>
          <w:numId w:val="14"/>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First Report and Order </w:t>
      </w:r>
      <w:r w:rsidR="005A3FF4">
        <w:rPr>
          <w:rFonts w:ascii="Times New Roman" w:hAnsi="Times New Roman" w:cs="Times New Roman"/>
        </w:rPr>
        <w:t xml:space="preserve">updated </w:t>
      </w:r>
      <w:r>
        <w:rPr>
          <w:rFonts w:ascii="Times New Roman" w:hAnsi="Times New Roman" w:cs="Times New Roman"/>
        </w:rPr>
        <w:t xml:space="preserve">the criteria applicable </w:t>
      </w:r>
      <w:r w:rsidR="007C09D1">
        <w:rPr>
          <w:rFonts w:ascii="Times New Roman" w:hAnsi="Times New Roman" w:cs="Times New Roman"/>
        </w:rPr>
        <w:t xml:space="preserve">when individuals </w:t>
      </w:r>
      <w:r w:rsidR="005A3FF4">
        <w:rPr>
          <w:rFonts w:ascii="Times New Roman" w:hAnsi="Times New Roman" w:cs="Times New Roman"/>
        </w:rPr>
        <w:t xml:space="preserve">wish to import up to three </w:t>
      </w:r>
      <w:r>
        <w:rPr>
          <w:rFonts w:ascii="Times New Roman" w:hAnsi="Times New Roman" w:cs="Times New Roman"/>
        </w:rPr>
        <w:t>devices  solely</w:t>
      </w:r>
      <w:r>
        <w:rPr>
          <w:rFonts w:ascii="Times New Roman" w:hAnsi="Times New Roman" w:cs="Times New Roman"/>
        </w:rPr>
        <w:t xml:space="preserve"> for </w:t>
      </w:r>
      <w:r w:rsidR="005A3FF4">
        <w:rPr>
          <w:rFonts w:ascii="Times New Roman" w:hAnsi="Times New Roman" w:cs="Times New Roman"/>
        </w:rPr>
        <w:t xml:space="preserve">their own </w:t>
      </w:r>
      <w:r>
        <w:rPr>
          <w:rFonts w:ascii="Times New Roman" w:hAnsi="Times New Roman" w:cs="Times New Roman"/>
        </w:rPr>
        <w:t>personal use.  (47 CFR § 2.1204(a)(7)).</w:t>
      </w:r>
    </w:p>
    <w:p w:rsidR="001B4646" w:rsidP="001B4646" w14:paraId="4C31EE9D" w14:textId="77777777">
      <w:pPr>
        <w:spacing w:after="0"/>
        <w:rPr>
          <w:rFonts w:ascii="Times New Roman" w:hAnsi="Times New Roman" w:cs="Times New Roman"/>
        </w:rPr>
      </w:pPr>
    </w:p>
    <w:p w:rsidR="001B4646" w:rsidRPr="001B4646" w:rsidP="001B4646" w14:paraId="329BE077" w14:textId="77777777">
      <w:pPr>
        <w:spacing w:after="0"/>
        <w:rPr>
          <w:rFonts w:ascii="Times New Roman" w:hAnsi="Times New Roman" w:cs="Times New Roman"/>
          <w:b/>
          <w:i/>
        </w:rPr>
      </w:pPr>
      <w:r w:rsidRPr="001B4646">
        <w:rPr>
          <w:rFonts w:ascii="Times New Roman" w:hAnsi="Times New Roman" w:cs="Times New Roman"/>
          <w:b/>
          <w:i/>
        </w:rPr>
        <w:t>Measurement Procedures</w:t>
      </w:r>
    </w:p>
    <w:p w:rsidR="001B4646" w:rsidP="001B4646" w14:paraId="20FF107F" w14:textId="77777777">
      <w:pPr>
        <w:spacing w:after="0"/>
        <w:ind w:firstLine="720"/>
        <w:jc w:val="both"/>
        <w:rPr>
          <w:rFonts w:ascii="Times New Roman" w:hAnsi="Times New Roman" w:cs="Times New Roman"/>
        </w:rPr>
      </w:pPr>
    </w:p>
    <w:p w:rsidR="00141FDE" w:rsidP="001B4646" w14:paraId="742894C0" w14:textId="72385090">
      <w:pPr>
        <w:spacing w:after="0"/>
        <w:ind w:firstLine="720"/>
        <w:jc w:val="both"/>
        <w:rPr>
          <w:rFonts w:ascii="Times New Roman" w:hAnsi="Times New Roman" w:cs="Times New Roman"/>
        </w:rPr>
      </w:pPr>
      <w:r w:rsidRPr="00511023">
        <w:rPr>
          <w:rFonts w:ascii="Times New Roman" w:hAnsi="Times New Roman" w:cs="Times New Roman"/>
        </w:rPr>
        <w:t xml:space="preserve">In the </w:t>
      </w:r>
      <w:r w:rsidR="001B4646">
        <w:rPr>
          <w:rFonts w:ascii="Times New Roman" w:hAnsi="Times New Roman" w:cs="Times New Roman"/>
          <w:i/>
        </w:rPr>
        <w:t xml:space="preserve">First </w:t>
      </w:r>
      <w:r w:rsidRPr="00511023">
        <w:rPr>
          <w:rFonts w:ascii="Times New Roman" w:hAnsi="Times New Roman" w:cs="Times New Roman"/>
          <w:i/>
        </w:rPr>
        <w:t>Report and</w:t>
      </w:r>
      <w:r w:rsidRPr="00511023">
        <w:rPr>
          <w:rFonts w:ascii="Times New Roman" w:hAnsi="Times New Roman" w:cs="Times New Roman"/>
        </w:rPr>
        <w:t xml:space="preserve"> </w:t>
      </w:r>
      <w:r w:rsidRPr="00511023">
        <w:rPr>
          <w:rFonts w:ascii="Times New Roman" w:hAnsi="Times New Roman" w:cs="Times New Roman"/>
          <w:i/>
        </w:rPr>
        <w:t>Order</w:t>
      </w:r>
      <w:r>
        <w:rPr>
          <w:rFonts w:ascii="Times New Roman" w:hAnsi="Times New Roman" w:cs="Times New Roman"/>
          <w:i/>
        </w:rPr>
        <w:t xml:space="preserve">, </w:t>
      </w:r>
      <w:r w:rsidRPr="001B4646" w:rsidR="001B4646">
        <w:rPr>
          <w:rFonts w:ascii="Times New Roman" w:hAnsi="Times New Roman" w:cs="Times New Roman"/>
        </w:rPr>
        <w:t>the Commission to</w:t>
      </w:r>
      <w:r>
        <w:rPr>
          <w:rFonts w:ascii="Times New Roman" w:hAnsi="Times New Roman" w:cs="Times New Roman"/>
        </w:rPr>
        <w:t>ok several steps to k</w:t>
      </w:r>
      <w:r w:rsidRPr="001B4646" w:rsidR="001B4646">
        <w:rPr>
          <w:rFonts w:ascii="Times New Roman" w:hAnsi="Times New Roman" w:cs="Times New Roman"/>
        </w:rPr>
        <w:t xml:space="preserve">eep up with changes in technology and in </w:t>
      </w:r>
      <w:r w:rsidR="004B5A98">
        <w:rPr>
          <w:rFonts w:ascii="Times New Roman" w:hAnsi="Times New Roman" w:cs="Times New Roman"/>
        </w:rPr>
        <w:t>device</w:t>
      </w:r>
      <w:r w:rsidRPr="001B4646" w:rsidR="004B5A98">
        <w:rPr>
          <w:rFonts w:ascii="Times New Roman" w:hAnsi="Times New Roman" w:cs="Times New Roman"/>
        </w:rPr>
        <w:t xml:space="preserve"> </w:t>
      </w:r>
      <w:r w:rsidRPr="001B4646" w:rsidR="001B4646">
        <w:rPr>
          <w:rFonts w:ascii="Times New Roman" w:hAnsi="Times New Roman" w:cs="Times New Roman"/>
        </w:rPr>
        <w:t>measurement standards</w:t>
      </w:r>
      <w:r>
        <w:rPr>
          <w:rFonts w:ascii="Times New Roman" w:hAnsi="Times New Roman" w:cs="Times New Roman"/>
        </w:rPr>
        <w:t>.</w:t>
      </w:r>
      <w:r w:rsidR="001E387E">
        <w:rPr>
          <w:rFonts w:ascii="Times New Roman" w:hAnsi="Times New Roman" w:cs="Times New Roman"/>
        </w:rPr>
        <w:t xml:space="preserve"> </w:t>
      </w:r>
      <w:r>
        <w:rPr>
          <w:rFonts w:ascii="Times New Roman" w:hAnsi="Times New Roman" w:cs="Times New Roman"/>
        </w:rPr>
        <w:t xml:space="preserve"> </w:t>
      </w:r>
      <w:r w:rsidRPr="00141FDE">
        <w:rPr>
          <w:rFonts w:ascii="Times New Roman" w:hAnsi="Times New Roman" w:cs="Times New Roman"/>
        </w:rPr>
        <w:t>Collectively, these modifications ma</w:t>
      </w:r>
      <w:r w:rsidR="00F26052">
        <w:rPr>
          <w:rFonts w:ascii="Times New Roman" w:hAnsi="Times New Roman" w:cs="Times New Roman"/>
        </w:rPr>
        <w:t>d</w:t>
      </w:r>
      <w:r w:rsidRPr="00141FDE">
        <w:rPr>
          <w:rFonts w:ascii="Times New Roman" w:hAnsi="Times New Roman" w:cs="Times New Roman"/>
        </w:rPr>
        <w:t xml:space="preserve">e it easier to ensure that the devices subject to </w:t>
      </w:r>
      <w:r w:rsidR="00863D2E">
        <w:rPr>
          <w:rFonts w:ascii="Times New Roman" w:hAnsi="Times New Roman" w:cs="Times New Roman"/>
        </w:rPr>
        <w:t>the Commission’s</w:t>
      </w:r>
      <w:r w:rsidRPr="00141FDE">
        <w:rPr>
          <w:rFonts w:ascii="Times New Roman" w:hAnsi="Times New Roman" w:cs="Times New Roman"/>
        </w:rPr>
        <w:t xml:space="preserve"> rules are tested properly and address the evolution of how new technologies are adopted in the latest generation of devices.  </w:t>
      </w:r>
      <w:r>
        <w:rPr>
          <w:rFonts w:ascii="Times New Roman" w:hAnsi="Times New Roman" w:cs="Times New Roman"/>
        </w:rPr>
        <w:t xml:space="preserve"> </w:t>
      </w:r>
    </w:p>
    <w:p w:rsidR="00141FDE" w:rsidP="001B4646" w14:paraId="53DF87EE" w14:textId="77777777">
      <w:pPr>
        <w:spacing w:after="0"/>
        <w:ind w:firstLine="720"/>
        <w:jc w:val="both"/>
        <w:rPr>
          <w:rFonts w:ascii="Times New Roman" w:hAnsi="Times New Roman" w:cs="Times New Roman"/>
        </w:rPr>
      </w:pPr>
    </w:p>
    <w:p w:rsidR="00141FDE" w:rsidRPr="001E387E" w:rsidP="00141FDE" w14:paraId="416E8ACE" w14:textId="77777777">
      <w:pPr>
        <w:pStyle w:val="ListParagraph"/>
        <w:numPr>
          <w:ilvl w:val="0"/>
          <w:numId w:val="15"/>
        </w:numPr>
        <w:spacing w:after="0"/>
        <w:jc w:val="both"/>
        <w:rPr>
          <w:rFonts w:ascii="Times New Roman" w:hAnsi="Times New Roman" w:cs="Times New Roman"/>
        </w:rPr>
      </w:pPr>
      <w:r w:rsidRPr="001E387E">
        <w:rPr>
          <w:rFonts w:ascii="Times New Roman" w:hAnsi="Times New Roman" w:cs="Times New Roman"/>
        </w:rPr>
        <w:t>Provide</w:t>
      </w:r>
      <w:r w:rsidR="00301F59">
        <w:rPr>
          <w:rFonts w:ascii="Times New Roman" w:hAnsi="Times New Roman" w:cs="Times New Roman"/>
        </w:rPr>
        <w:t>d</w:t>
      </w:r>
      <w:r w:rsidRPr="001E387E">
        <w:rPr>
          <w:rFonts w:ascii="Times New Roman" w:hAnsi="Times New Roman" w:cs="Times New Roman"/>
        </w:rPr>
        <w:t xml:space="preserve"> direct reference</w:t>
      </w:r>
      <w:r w:rsidRPr="001E387E" w:rsidR="001E387E">
        <w:rPr>
          <w:rFonts w:ascii="Times New Roman" w:hAnsi="Times New Roman" w:cs="Times New Roman"/>
        </w:rPr>
        <w:t>s</w:t>
      </w:r>
      <w:r w:rsidRPr="001E387E">
        <w:rPr>
          <w:rFonts w:ascii="Times New Roman" w:hAnsi="Times New Roman" w:cs="Times New Roman"/>
        </w:rPr>
        <w:t xml:space="preserve"> in the rules (47 CFR §</w:t>
      </w:r>
      <w:r w:rsidRPr="001E387E" w:rsidR="001E387E">
        <w:rPr>
          <w:rFonts w:ascii="Times New Roman" w:hAnsi="Times New Roman" w:cs="Times New Roman"/>
        </w:rPr>
        <w:t>§</w:t>
      </w:r>
      <w:r w:rsidRPr="001E387E">
        <w:rPr>
          <w:rFonts w:ascii="Times New Roman" w:hAnsi="Times New Roman" w:cs="Times New Roman"/>
        </w:rPr>
        <w:t xml:space="preserve"> 2.947 (a)(3)</w:t>
      </w:r>
      <w:r w:rsidRPr="001E387E" w:rsidR="001E387E">
        <w:rPr>
          <w:rFonts w:ascii="Times New Roman" w:hAnsi="Times New Roman" w:cs="Times New Roman"/>
        </w:rPr>
        <w:t>, 15.32, and 18.311</w:t>
      </w:r>
      <w:r w:rsidRPr="001E387E">
        <w:rPr>
          <w:rFonts w:ascii="Times New Roman" w:hAnsi="Times New Roman" w:cs="Times New Roman"/>
        </w:rPr>
        <w:t>) to the OET Laboratory’s</w:t>
      </w:r>
      <w:r w:rsidR="001E387E">
        <w:rPr>
          <w:rFonts w:ascii="Times New Roman" w:hAnsi="Times New Roman" w:cs="Times New Roman"/>
        </w:rPr>
        <w:t xml:space="preserve"> </w:t>
      </w:r>
      <w:r w:rsidRPr="001E387E" w:rsidR="001B4646">
        <w:rPr>
          <w:rFonts w:ascii="Times New Roman" w:hAnsi="Times New Roman" w:cs="Times New Roman"/>
        </w:rPr>
        <w:t>Knowledge Database (KDB)</w:t>
      </w:r>
      <w:r w:rsidRPr="001E387E">
        <w:rPr>
          <w:rFonts w:ascii="Times New Roman" w:hAnsi="Times New Roman" w:cs="Times New Roman"/>
        </w:rPr>
        <w:t>,</w:t>
      </w:r>
      <w:r w:rsidRPr="001E387E" w:rsidR="001B4646">
        <w:rPr>
          <w:rFonts w:ascii="Times New Roman" w:hAnsi="Times New Roman" w:cs="Times New Roman"/>
        </w:rPr>
        <w:t xml:space="preserve"> which provides current guidance on practice</w:t>
      </w:r>
      <w:r w:rsidRPr="001E387E">
        <w:rPr>
          <w:rFonts w:ascii="Times New Roman" w:hAnsi="Times New Roman" w:cs="Times New Roman"/>
        </w:rPr>
        <w:t>s</w:t>
      </w:r>
      <w:r w:rsidR="00863D2E">
        <w:rPr>
          <w:rFonts w:ascii="Times New Roman" w:hAnsi="Times New Roman" w:cs="Times New Roman"/>
        </w:rPr>
        <w:t xml:space="preserve"> accepted under the Commission’s </w:t>
      </w:r>
      <w:r w:rsidR="000C73B3">
        <w:rPr>
          <w:rFonts w:ascii="Times New Roman" w:hAnsi="Times New Roman" w:cs="Times New Roman"/>
        </w:rPr>
        <w:t>rules</w:t>
      </w:r>
      <w:r w:rsidRPr="001E387E">
        <w:rPr>
          <w:rFonts w:ascii="Times New Roman" w:hAnsi="Times New Roman" w:cs="Times New Roman"/>
        </w:rPr>
        <w:t>.</w:t>
      </w:r>
      <w:r w:rsidR="001E387E">
        <w:rPr>
          <w:rFonts w:ascii="Times New Roman" w:hAnsi="Times New Roman" w:cs="Times New Roman"/>
        </w:rPr>
        <w:t xml:space="preserve">  Additionally</w:t>
      </w:r>
      <w:r w:rsidR="00D02561">
        <w:rPr>
          <w:rFonts w:ascii="Times New Roman" w:hAnsi="Times New Roman" w:cs="Times New Roman"/>
        </w:rPr>
        <w:t>,</w:t>
      </w:r>
      <w:r w:rsidR="001E387E">
        <w:rPr>
          <w:rFonts w:ascii="Times New Roman" w:hAnsi="Times New Roman" w:cs="Times New Roman"/>
        </w:rPr>
        <w:t xml:space="preserve"> the Commission made some revisions to how certain ANSI ASC C63 measurement procedures are referenced in our Part 15 rules (47 CFR §§ 15.33 and 15.35).</w:t>
      </w:r>
    </w:p>
    <w:p w:rsidR="00141FDE" w:rsidP="00141FDE" w14:paraId="48CFD667" w14:textId="77777777">
      <w:pPr>
        <w:pStyle w:val="ListParagraph"/>
        <w:spacing w:after="0"/>
        <w:ind w:left="780"/>
        <w:jc w:val="both"/>
        <w:rPr>
          <w:rFonts w:ascii="Times New Roman" w:hAnsi="Times New Roman" w:cs="Times New Roman"/>
        </w:rPr>
      </w:pPr>
    </w:p>
    <w:p w:rsidR="00141FDE" w:rsidP="00141FDE" w14:paraId="686117E4" w14:textId="77777777">
      <w:pPr>
        <w:pStyle w:val="ListParagraph"/>
        <w:numPr>
          <w:ilvl w:val="0"/>
          <w:numId w:val="15"/>
        </w:numPr>
        <w:spacing w:after="0"/>
        <w:jc w:val="both"/>
        <w:rPr>
          <w:rFonts w:ascii="Times New Roman" w:hAnsi="Times New Roman" w:cs="Times New Roman"/>
        </w:rPr>
      </w:pPr>
      <w:r>
        <w:rPr>
          <w:rFonts w:ascii="Times New Roman" w:hAnsi="Times New Roman" w:cs="Times New Roman"/>
        </w:rPr>
        <w:t>Incorporate</w:t>
      </w:r>
      <w:r w:rsidR="00301F59">
        <w:rPr>
          <w:rFonts w:ascii="Times New Roman" w:hAnsi="Times New Roman" w:cs="Times New Roman"/>
        </w:rPr>
        <w:t>d</w:t>
      </w:r>
      <w:r>
        <w:rPr>
          <w:rFonts w:ascii="Times New Roman" w:hAnsi="Times New Roman" w:cs="Times New Roman"/>
        </w:rPr>
        <w:t xml:space="preserve"> </w:t>
      </w:r>
      <w:r w:rsidR="000C73B3">
        <w:rPr>
          <w:rFonts w:ascii="Times New Roman" w:hAnsi="Times New Roman" w:cs="Times New Roman"/>
        </w:rPr>
        <w:t xml:space="preserve">into the rules </w:t>
      </w:r>
      <w:r>
        <w:rPr>
          <w:rFonts w:ascii="Times New Roman" w:hAnsi="Times New Roman" w:cs="Times New Roman"/>
        </w:rPr>
        <w:t xml:space="preserve">a reference to </w:t>
      </w:r>
      <w:r w:rsidRPr="00141FDE" w:rsidR="001B4646">
        <w:rPr>
          <w:rFonts w:ascii="Times New Roman" w:hAnsi="Times New Roman" w:cs="Times New Roman"/>
        </w:rPr>
        <w:t xml:space="preserve">measurement procedures </w:t>
      </w:r>
      <w:r>
        <w:rPr>
          <w:rFonts w:ascii="Times New Roman" w:hAnsi="Times New Roman" w:cs="Times New Roman"/>
        </w:rPr>
        <w:t xml:space="preserve">recently adopted </w:t>
      </w:r>
      <w:r w:rsidRPr="00141FDE" w:rsidR="001B4646">
        <w:rPr>
          <w:rFonts w:ascii="Times New Roman" w:hAnsi="Times New Roman" w:cs="Times New Roman"/>
        </w:rPr>
        <w:t xml:space="preserve">by ANSI ASC C63, </w:t>
      </w:r>
      <w:r>
        <w:rPr>
          <w:rFonts w:ascii="Times New Roman" w:hAnsi="Times New Roman" w:cs="Times New Roman"/>
        </w:rPr>
        <w:t>“ANSI C63.26, “Compliance Testing for Licensed Radio Services,” t</w:t>
      </w:r>
      <w:r w:rsidRPr="00141FDE" w:rsidR="001B4646">
        <w:rPr>
          <w:rFonts w:ascii="Times New Roman" w:hAnsi="Times New Roman" w:cs="Times New Roman"/>
        </w:rPr>
        <w:t xml:space="preserve">hat will streamline </w:t>
      </w:r>
      <w:r>
        <w:rPr>
          <w:rFonts w:ascii="Times New Roman" w:hAnsi="Times New Roman" w:cs="Times New Roman"/>
        </w:rPr>
        <w:t xml:space="preserve">the </w:t>
      </w:r>
      <w:r w:rsidRPr="00141FDE" w:rsidR="001B4646">
        <w:rPr>
          <w:rFonts w:ascii="Times New Roman" w:hAnsi="Times New Roman" w:cs="Times New Roman"/>
        </w:rPr>
        <w:t xml:space="preserve">test procedures manufacturers </w:t>
      </w:r>
      <w:r>
        <w:rPr>
          <w:rFonts w:ascii="Times New Roman" w:hAnsi="Times New Roman" w:cs="Times New Roman"/>
        </w:rPr>
        <w:t xml:space="preserve">use </w:t>
      </w:r>
      <w:r w:rsidRPr="00141FDE" w:rsidR="001B4646">
        <w:rPr>
          <w:rFonts w:ascii="Times New Roman" w:hAnsi="Times New Roman" w:cs="Times New Roman"/>
        </w:rPr>
        <w:t>to show compliance with our technical requirements</w:t>
      </w:r>
      <w:r w:rsidR="000C73B3">
        <w:rPr>
          <w:rFonts w:ascii="Times New Roman" w:hAnsi="Times New Roman" w:cs="Times New Roman"/>
        </w:rPr>
        <w:t xml:space="preserve"> (47 CFR §</w:t>
      </w:r>
      <w:r w:rsidR="005A67EE">
        <w:rPr>
          <w:rFonts w:ascii="Times New Roman" w:hAnsi="Times New Roman" w:cs="Times New Roman"/>
        </w:rPr>
        <w:t>§</w:t>
      </w:r>
      <w:r w:rsidR="000C73B3">
        <w:rPr>
          <w:rFonts w:ascii="Times New Roman" w:hAnsi="Times New Roman" w:cs="Times New Roman"/>
        </w:rPr>
        <w:t xml:space="preserve"> 2.910</w:t>
      </w:r>
      <w:r w:rsidR="005A67EE">
        <w:rPr>
          <w:rFonts w:ascii="Times New Roman" w:hAnsi="Times New Roman" w:cs="Times New Roman"/>
        </w:rPr>
        <w:t xml:space="preserve"> and 2.1041</w:t>
      </w:r>
      <w:r w:rsidR="000C73B3">
        <w:rPr>
          <w:rFonts w:ascii="Times New Roman" w:hAnsi="Times New Roman" w:cs="Times New Roman"/>
        </w:rPr>
        <w:t>)</w:t>
      </w:r>
      <w:r>
        <w:rPr>
          <w:rFonts w:ascii="Times New Roman" w:hAnsi="Times New Roman" w:cs="Times New Roman"/>
        </w:rPr>
        <w:t>.</w:t>
      </w:r>
      <w:r w:rsidRPr="00141FDE" w:rsidR="001B4646">
        <w:rPr>
          <w:rFonts w:ascii="Times New Roman" w:hAnsi="Times New Roman" w:cs="Times New Roman"/>
        </w:rPr>
        <w:t xml:space="preserve"> </w:t>
      </w:r>
    </w:p>
    <w:p w:rsidR="001E387E" w:rsidP="001E387E" w14:paraId="6FDE63EF" w14:textId="77777777">
      <w:pPr>
        <w:pStyle w:val="ListParagraph"/>
        <w:spacing w:after="0"/>
        <w:ind w:left="780"/>
        <w:jc w:val="both"/>
        <w:rPr>
          <w:rFonts w:ascii="Times New Roman" w:hAnsi="Times New Roman" w:cs="Times New Roman"/>
        </w:rPr>
      </w:pPr>
    </w:p>
    <w:p w:rsidR="003D226E" w:rsidRPr="00141FDE" w:rsidP="00141FDE" w14:paraId="41ACCD6C" w14:textId="77777777">
      <w:pPr>
        <w:pStyle w:val="ListParagraph"/>
        <w:numPr>
          <w:ilvl w:val="0"/>
          <w:numId w:val="15"/>
        </w:numPr>
        <w:spacing w:after="0"/>
        <w:jc w:val="both"/>
        <w:rPr>
          <w:rFonts w:ascii="Times New Roman" w:hAnsi="Times New Roman" w:cs="Times New Roman"/>
        </w:rPr>
      </w:pPr>
      <w:r>
        <w:rPr>
          <w:rFonts w:ascii="Times New Roman" w:hAnsi="Times New Roman" w:cs="Times New Roman"/>
        </w:rPr>
        <w:t>M</w:t>
      </w:r>
      <w:r w:rsidRPr="00141FDE" w:rsidR="001B4646">
        <w:rPr>
          <w:rFonts w:ascii="Times New Roman" w:hAnsi="Times New Roman" w:cs="Times New Roman"/>
        </w:rPr>
        <w:t>ove</w:t>
      </w:r>
      <w:r>
        <w:rPr>
          <w:rFonts w:ascii="Times New Roman" w:hAnsi="Times New Roman" w:cs="Times New Roman"/>
        </w:rPr>
        <w:t>d</w:t>
      </w:r>
      <w:r w:rsidRPr="00141FDE" w:rsidR="001B4646">
        <w:rPr>
          <w:rFonts w:ascii="Times New Roman" w:hAnsi="Times New Roman" w:cs="Times New Roman"/>
        </w:rPr>
        <w:t xml:space="preserve"> the rules regarding measurements for composite systems </w:t>
      </w:r>
      <w:r>
        <w:rPr>
          <w:rFonts w:ascii="Times New Roman" w:hAnsi="Times New Roman" w:cs="Times New Roman"/>
        </w:rPr>
        <w:t>(those that operate under multiple rule sections with distinct authorization requir</w:t>
      </w:r>
      <w:r w:rsidR="00E9365C">
        <w:rPr>
          <w:rFonts w:ascii="Times New Roman" w:hAnsi="Times New Roman" w:cs="Times New Roman"/>
        </w:rPr>
        <w:t>e</w:t>
      </w:r>
      <w:r>
        <w:rPr>
          <w:rFonts w:ascii="Times New Roman" w:hAnsi="Times New Roman" w:cs="Times New Roman"/>
        </w:rPr>
        <w:t xml:space="preserve">ments) </w:t>
      </w:r>
      <w:r w:rsidRPr="00141FDE" w:rsidR="001B4646">
        <w:rPr>
          <w:rFonts w:ascii="Times New Roman" w:hAnsi="Times New Roman" w:cs="Times New Roman"/>
        </w:rPr>
        <w:t xml:space="preserve">from Part 15 to Part 2 of </w:t>
      </w:r>
      <w:r w:rsidR="000C73B3">
        <w:rPr>
          <w:rFonts w:ascii="Times New Roman" w:hAnsi="Times New Roman" w:cs="Times New Roman"/>
        </w:rPr>
        <w:t xml:space="preserve">the </w:t>
      </w:r>
      <w:r w:rsidRPr="00141FDE" w:rsidR="001B4646">
        <w:rPr>
          <w:rFonts w:ascii="Times New Roman" w:hAnsi="Times New Roman" w:cs="Times New Roman"/>
        </w:rPr>
        <w:t xml:space="preserve">rules to better indicate their more general applicability.  </w:t>
      </w:r>
      <w:r w:rsidR="005A67EE">
        <w:rPr>
          <w:rFonts w:ascii="Times New Roman" w:hAnsi="Times New Roman" w:cs="Times New Roman"/>
        </w:rPr>
        <w:t>(47 CFR § 2.947).</w:t>
      </w:r>
    </w:p>
    <w:p w:rsidR="00141FDE" w:rsidP="003D226E" w14:paraId="1D517CFB" w14:textId="77777777">
      <w:pPr>
        <w:pStyle w:val="ParaNum"/>
        <w:numPr>
          <w:ilvl w:val="0"/>
          <w:numId w:val="0"/>
        </w:numPr>
        <w:ind w:firstLine="720"/>
        <w:jc w:val="both"/>
      </w:pPr>
    </w:p>
    <w:p w:rsidR="009A61EC" w:rsidP="005275C1" w14:paraId="5A346D5E" w14:textId="77777777">
      <w:pPr>
        <w:pStyle w:val="ParaNum"/>
        <w:numPr>
          <w:ilvl w:val="0"/>
          <w:numId w:val="0"/>
        </w:numPr>
        <w:spacing w:after="0"/>
        <w:ind w:firstLine="720"/>
        <w:jc w:val="both"/>
      </w:pPr>
    </w:p>
    <w:p w:rsidR="00DE567B" w:rsidRPr="00511023" w:rsidP="00286EA8" w14:paraId="2854943A" w14:textId="77777777">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4749A4" w:rsidP="00511023" w14:paraId="4FC7502F" w14:textId="77777777">
      <w:pPr>
        <w:spacing w:after="0"/>
        <w:rPr>
          <w:rFonts w:ascii="Times New Roman" w:hAnsi="Times New Roman" w:cs="Times New Roman"/>
          <w:color w:val="010101"/>
        </w:rPr>
      </w:pPr>
    </w:p>
    <w:p w:rsidR="001961AA" w:rsidRPr="00511023" w:rsidP="00511023" w14:paraId="2C5BF01F" w14:textId="77777777">
      <w:pPr>
        <w:spacing w:after="0"/>
        <w:rPr>
          <w:rFonts w:ascii="Times New Roman" w:hAnsi="Times New Roman" w:cs="Times New Roman"/>
          <w:color w:val="010101"/>
        </w:rPr>
      </w:pPr>
      <w:r>
        <w:rPr>
          <w:rFonts w:ascii="Times New Roman" w:hAnsi="Times New Roman" w:cs="Times New Roman"/>
          <w:color w:val="010101"/>
        </w:rPr>
        <w:t xml:space="preserve">The records retention requirements for Supplier’s Declaration of Conformity are identical to those of the former verification and Declaration of Conformity processes. </w:t>
      </w:r>
      <w:r w:rsidR="00F24738">
        <w:rPr>
          <w:rFonts w:ascii="Times New Roman" w:hAnsi="Times New Roman" w:cs="Times New Roman"/>
          <w:color w:val="010101"/>
        </w:rPr>
        <w:t xml:space="preserve"> While the FCC Form 740 filing requirement was eliminated, we did retain the existing requirement to retain records related to the importation of RF devices.  </w:t>
      </w:r>
      <w:r>
        <w:rPr>
          <w:rFonts w:ascii="Times New Roman" w:hAnsi="Times New Roman" w:cs="Times New Roman"/>
          <w:color w:val="010101"/>
        </w:rPr>
        <w:t>Accordingly, t</w:t>
      </w:r>
      <w:r w:rsidRPr="00511023">
        <w:rPr>
          <w:rFonts w:ascii="Times New Roman" w:hAnsi="Times New Roman" w:cs="Times New Roman"/>
          <w:color w:val="010101"/>
        </w:rPr>
        <w:t xml:space="preserve">he Commission’s actions in the </w:t>
      </w:r>
      <w:r>
        <w:rPr>
          <w:rFonts w:ascii="Times New Roman" w:hAnsi="Times New Roman" w:cs="Times New Roman"/>
          <w:i/>
          <w:color w:val="010101"/>
        </w:rPr>
        <w:t xml:space="preserve">First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066CB4" w:rsidP="007F0A80" w14:paraId="5E178EF4" w14:textId="77777777">
      <w:pPr>
        <w:spacing w:after="0"/>
        <w:rPr>
          <w:rFonts w:ascii="Times New Roman" w:hAnsi="Times New Roman" w:cs="Times New Roman"/>
          <w:b/>
        </w:rPr>
      </w:pPr>
    </w:p>
    <w:p w:rsidR="00066CB4" w:rsidRPr="00511023" w:rsidP="00286EA8" w14:paraId="48D42199" w14:textId="77777777">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0D19C732" w14:textId="77777777">
      <w:pPr>
        <w:spacing w:after="0"/>
        <w:rPr>
          <w:rFonts w:ascii="Times New Roman" w:hAnsi="Times New Roman" w:cs="Times New Roman"/>
          <w:b/>
        </w:rPr>
      </w:pPr>
    </w:p>
    <w:p w:rsidR="00491F77" w:rsidP="00343C26" w14:paraId="30FB901F" w14:textId="77777777">
      <w:pPr>
        <w:pStyle w:val="ParaNum"/>
        <w:numPr>
          <w:ilvl w:val="0"/>
          <w:numId w:val="0"/>
        </w:numPr>
      </w:pPr>
      <w:r w:rsidRPr="00511023">
        <w:t>T</w:t>
      </w:r>
      <w:r>
        <w:t xml:space="preserve">he rules in the </w:t>
      </w:r>
      <w:r w:rsidR="00343C26">
        <w:rPr>
          <w:i/>
        </w:rPr>
        <w:t xml:space="preserve">First </w:t>
      </w:r>
      <w:r w:rsidRPr="00511023">
        <w:rPr>
          <w:i/>
        </w:rPr>
        <w:t>Report and Order</w:t>
      </w:r>
      <w:r>
        <w:t xml:space="preserve"> </w:t>
      </w:r>
      <w:r w:rsidR="00A02044">
        <w:t xml:space="preserve">became </w:t>
      </w:r>
      <w:r w:rsidRPr="0084392B">
        <w:t xml:space="preserve">effective </w:t>
      </w:r>
      <w:r w:rsidR="00343C26">
        <w:t>November 2, 2017</w:t>
      </w:r>
      <w:r w:rsidR="001338B0">
        <w:t>.</w:t>
      </w:r>
    </w:p>
    <w:p w:rsidR="00AB1D1E" w:rsidRPr="00511023" w:rsidP="00972776" w14:paraId="3DD4CFA0" w14:textId="77777777">
      <w:pPr>
        <w:spacing w:after="0"/>
        <w:rPr>
          <w:rFonts w:ascii="Times New Roman" w:hAnsi="Times New Roman" w:cs="Times New Roman"/>
          <w:b/>
        </w:rPr>
      </w:pPr>
    </w:p>
    <w:p w:rsidR="00C5062A" w:rsidRPr="00511023" w:rsidP="00286EA8" w14:paraId="282E0937" w14:textId="77777777">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09243F87" w14:textId="77777777">
      <w:pPr>
        <w:spacing w:after="0"/>
        <w:rPr>
          <w:rFonts w:ascii="Times New Roman" w:hAnsi="Times New Roman" w:cs="Times New Roman"/>
          <w:b/>
        </w:rPr>
      </w:pPr>
    </w:p>
    <w:p w:rsidR="00C5062A" w:rsidP="00C5062A" w14:paraId="4EA5C887" w14:textId="77777777">
      <w:pPr>
        <w:spacing w:after="0"/>
        <w:rPr>
          <w:rFonts w:ascii="Times New Roman" w:hAnsi="Times New Roman" w:cs="Times New Roman"/>
          <w:b/>
        </w:rPr>
      </w:pPr>
      <w:r>
        <w:rPr>
          <w:rFonts w:ascii="Times New Roman" w:hAnsi="Times New Roman" w:cs="Times New Roman"/>
          <w:b/>
        </w:rPr>
        <w:t>A</w:t>
      </w:r>
      <w:r w:rsidRPr="00511023">
        <w:rPr>
          <w:rFonts w:ascii="Times New Roman" w:hAnsi="Times New Roman" w:cs="Times New Roman"/>
          <w:b/>
        </w:rPr>
        <w:t xml:space="preserve"> copy of the </w:t>
      </w:r>
      <w:r>
        <w:rPr>
          <w:rFonts w:ascii="Times New Roman" w:hAnsi="Times New Roman" w:cs="Times New Roman"/>
          <w:b/>
          <w:i/>
        </w:rPr>
        <w:t xml:space="preserve">First Report and </w:t>
      </w:r>
      <w:r w:rsidRPr="00511023">
        <w:rPr>
          <w:rFonts w:ascii="Times New Roman" w:hAnsi="Times New Roman" w:cs="Times New Roman"/>
          <w:b/>
          <w:i/>
        </w:rPr>
        <w:t>Order</w:t>
      </w:r>
      <w:r w:rsidRPr="00511023">
        <w:rPr>
          <w:rFonts w:ascii="Times New Roman" w:hAnsi="Times New Roman" w:cs="Times New Roman"/>
          <w:b/>
        </w:rPr>
        <w:t xml:space="preserve"> is available at: </w:t>
      </w:r>
      <w:bookmarkStart w:id="2" w:name="_Hlk182161"/>
      <w:r w:rsidRPr="00876BEC">
        <w:rPr>
          <w:rStyle w:val="Hyperlink"/>
          <w:rFonts w:ascii="Times New Roman" w:hAnsi="Times New Roman" w:cs="Times New Roman"/>
        </w:rPr>
        <w:t>https://apps.fcc.gov/edocs_public/attachmatch/FCC-17-93A1.pdf</w:t>
      </w:r>
      <w:bookmarkEnd w:id="2"/>
    </w:p>
    <w:p w:rsidR="002973BD" w:rsidRPr="00511023" w:rsidP="00C5062A" w14:paraId="490ABC82" w14:textId="77777777">
      <w:pPr>
        <w:spacing w:after="0"/>
        <w:rPr>
          <w:rFonts w:ascii="Times New Roman" w:hAnsi="Times New Roman" w:cs="Times New Roman"/>
          <w:b/>
        </w:rPr>
      </w:pPr>
    </w:p>
    <w:p w:rsidR="00C5062A" w:rsidRPr="00511023" w:rsidP="00C5062A" w14:paraId="3BEE9C6C" w14:textId="77777777">
      <w:pPr>
        <w:spacing w:after="0"/>
        <w:rPr>
          <w:rFonts w:ascii="Times New Roman" w:hAnsi="Times New Roman" w:cs="Times New Roman"/>
          <w:b/>
        </w:rPr>
      </w:pPr>
      <w:r w:rsidRPr="00511023">
        <w:rPr>
          <w:rFonts w:ascii="Times New Roman" w:hAnsi="Times New Roman" w:cs="Times New Roman"/>
          <w:b/>
        </w:rPr>
        <w:t xml:space="preserve">A copy of the Federal Register Summary of the </w:t>
      </w:r>
      <w:r w:rsidR="00A1443D">
        <w:rPr>
          <w:rFonts w:ascii="Times New Roman" w:hAnsi="Times New Roman" w:cs="Times New Roman"/>
          <w:b/>
          <w:i/>
        </w:rPr>
        <w:t xml:space="preserve">First Report and </w:t>
      </w:r>
      <w:r w:rsidRPr="00511023">
        <w:rPr>
          <w:rFonts w:ascii="Times New Roman" w:hAnsi="Times New Roman" w:cs="Times New Roman"/>
          <w:b/>
          <w:i/>
        </w:rPr>
        <w:t>Order</w:t>
      </w:r>
      <w:r w:rsidRPr="00511023">
        <w:rPr>
          <w:rFonts w:ascii="Times New Roman" w:hAnsi="Times New Roman" w:cs="Times New Roman"/>
          <w:b/>
        </w:rPr>
        <w:t xml:space="preserve"> is available at: </w:t>
      </w:r>
    </w:p>
    <w:p w:rsidR="008F02BA" w:rsidP="00C5062A" w14:paraId="4BF3A2DE" w14:textId="77777777">
      <w:pPr>
        <w:spacing w:after="0"/>
        <w:rPr>
          <w:rFonts w:ascii="Times New Roman" w:hAnsi="Times New Roman" w:cs="Times New Roman"/>
          <w:b/>
        </w:rPr>
      </w:pPr>
      <w:hyperlink r:id="rId7" w:history="1">
        <w:r w:rsidRPr="001D4972" w:rsidR="00876BEC">
          <w:rPr>
            <w:rStyle w:val="Hyperlink"/>
            <w:rFonts w:ascii="Times New Roman" w:hAnsi="Times New Roman" w:cs="Times New Roman"/>
          </w:rPr>
          <w:t>https://www.gpo.gov/fdsys/pkg/FR-2017-11-02/pdf/2017-23217.pdf</w:t>
        </w:r>
      </w:hyperlink>
    </w:p>
    <w:p w:rsidR="00876BEC" w:rsidRPr="00511023" w:rsidP="00C5062A" w14:paraId="5CBBEB00" w14:textId="77777777">
      <w:pPr>
        <w:spacing w:after="0"/>
        <w:rPr>
          <w:rFonts w:ascii="Times New Roman" w:hAnsi="Times New Roman" w:cs="Times New Roman"/>
          <w:b/>
        </w:rPr>
      </w:pPr>
    </w:p>
    <w:p w:rsidR="00876BEC" w:rsidRPr="00511023" w:rsidP="00C5062A" w14:paraId="30333C5D" w14:textId="77777777">
      <w:pPr>
        <w:spacing w:after="0"/>
        <w:rPr>
          <w:rFonts w:ascii="Times New Roman" w:hAnsi="Times New Roman" w:cs="Times New Roman"/>
          <w:b/>
        </w:rPr>
      </w:pPr>
    </w:p>
    <w:p w:rsidR="004008B8" w:rsidRPr="00511023" w:rsidP="00972776" w14:paraId="389F7BB3" w14:textId="77777777">
      <w:pPr>
        <w:spacing w:after="0"/>
        <w:rPr>
          <w:rFonts w:ascii="Times New Roman" w:hAnsi="Times New Roman" w:cs="Times New Roman"/>
          <w:b/>
        </w:rPr>
      </w:pPr>
    </w:p>
    <w:sectPr w:rsidSect="001743EF">
      <w:headerReference w:type="default" r:id="rId8"/>
      <w:footerReference w:type="default" r:id="rId9"/>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646" w:rsidRPr="00511023" w14:paraId="07F4B4C7" w14:textId="77777777">
    <w:pPr>
      <w:pStyle w:val="Footer"/>
      <w:jc w:val="center"/>
      <w:rPr>
        <w:rFonts w:ascii="Times New Roman" w:hAnsi="Times New Roman" w:cs="Times New Roman"/>
      </w:rPr>
    </w:pPr>
  </w:p>
  <w:p w:rsidR="001B4646" w14:paraId="51C7E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646" w14:paraId="2B11FEC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646" w:rsidP="00121A4A" w14:paraId="368C9FF6"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1724883" r:id="rId2"/>
      </w:pict>
    </w:r>
    <w:r>
      <w:rPr>
        <w:rFonts w:ascii="CG Times (W1)" w:hAnsi="CG Times (W1)"/>
        <w:sz w:val="28"/>
      </w:rPr>
      <w:t>Federal Communications Commission</w:t>
    </w:r>
  </w:p>
  <w:p w:rsidR="001B4646" w:rsidP="00121A4A" w14:paraId="4BE16DB1" w14:textId="77777777">
    <w:pPr>
      <w:jc w:val="center"/>
      <w:rPr>
        <w:rFonts w:ascii="CG Times (W1)" w:hAnsi="CG Times (W1)"/>
        <w:sz w:val="28"/>
      </w:rPr>
    </w:pPr>
    <w:r>
      <w:rPr>
        <w:rFonts w:ascii="CG Times (W1)" w:hAnsi="CG Times (W1)"/>
        <w:sz w:val="28"/>
      </w:rPr>
      <w:t>Washington, D.C. 20554</w:t>
    </w:r>
  </w:p>
  <w:p w:rsidR="001B4646" w:rsidRPr="003172B5" w:rsidP="00511023" w14:paraId="223A0A86" w14:textId="5F3602EC">
    <w:pPr>
      <w:jc w:val="center"/>
      <w:rPr>
        <w:sz w:val="24"/>
        <w:szCs w:val="24"/>
      </w:rPr>
    </w:pPr>
    <w:r>
      <w:rPr>
        <w:rFonts w:ascii="CG Times (W1)" w:hAnsi="CG Times (W1)"/>
        <w:sz w:val="24"/>
        <w:szCs w:val="24"/>
      </w:rPr>
      <w:t xml:space="preserve">February </w:t>
    </w:r>
    <w:r w:rsidR="00962787">
      <w:rPr>
        <w:rFonts w:ascii="CG Times (W1)" w:hAnsi="CG Times (W1)"/>
        <w:sz w:val="24"/>
        <w:szCs w:val="24"/>
      </w:rPr>
      <w:t>15</w:t>
    </w:r>
    <w:r>
      <w:rPr>
        <w:rFonts w:ascii="CG Times (W1)" w:hAnsi="CG Times (W1)"/>
        <w:sz w:val="24"/>
        <w:szCs w:val="24"/>
      </w:rPr>
      <w:t>, 201</w:t>
    </w:r>
    <w:r>
      <w:rPr>
        <w:rFonts w:ascii="CG Times (W1)" w:hAnsi="CG Times (W1)"/>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646" w:rsidP="00511023" w14:paraId="3722ADA1"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646" w:rsidP="00511023" w14:paraId="68CE2F42"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557D0E"/>
    <w:multiLevelType w:val="hybridMultilevel"/>
    <w:tmpl w:val="A58EA85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51D2211"/>
    <w:multiLevelType w:val="hybridMultilevel"/>
    <w:tmpl w:val="3D76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2"/>
  </w:num>
  <w:num w:numId="5">
    <w:abstractNumId w:val="12"/>
  </w:num>
  <w:num w:numId="6">
    <w:abstractNumId w:val="4"/>
  </w:num>
  <w:num w:numId="7">
    <w:abstractNumId w:val="0"/>
  </w:num>
  <w:num w:numId="8">
    <w:abstractNumId w:val="10"/>
  </w:num>
  <w:num w:numId="9">
    <w:abstractNumId w:val="6"/>
  </w:num>
  <w:num w:numId="10">
    <w:abstractNumId w:val="1"/>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2287"/>
    <w:rsid w:val="0000705E"/>
    <w:rsid w:val="00013982"/>
    <w:rsid w:val="0001453A"/>
    <w:rsid w:val="00017203"/>
    <w:rsid w:val="00025AB0"/>
    <w:rsid w:val="000320CC"/>
    <w:rsid w:val="00034878"/>
    <w:rsid w:val="00047CCA"/>
    <w:rsid w:val="000601FD"/>
    <w:rsid w:val="00066CB4"/>
    <w:rsid w:val="00071FBC"/>
    <w:rsid w:val="00074CA4"/>
    <w:rsid w:val="00075B6E"/>
    <w:rsid w:val="00087BBD"/>
    <w:rsid w:val="0009430B"/>
    <w:rsid w:val="000B7E9D"/>
    <w:rsid w:val="000C1FA6"/>
    <w:rsid w:val="000C73B3"/>
    <w:rsid w:val="000D2F0F"/>
    <w:rsid w:val="000D790A"/>
    <w:rsid w:val="000E4E16"/>
    <w:rsid w:val="000F616D"/>
    <w:rsid w:val="000F7BE7"/>
    <w:rsid w:val="00115515"/>
    <w:rsid w:val="00121A4A"/>
    <w:rsid w:val="001271F1"/>
    <w:rsid w:val="00131CCC"/>
    <w:rsid w:val="001338B0"/>
    <w:rsid w:val="00133D08"/>
    <w:rsid w:val="00136746"/>
    <w:rsid w:val="00141FDE"/>
    <w:rsid w:val="00152909"/>
    <w:rsid w:val="001544BD"/>
    <w:rsid w:val="00160E04"/>
    <w:rsid w:val="00173AB8"/>
    <w:rsid w:val="001743EF"/>
    <w:rsid w:val="001961AA"/>
    <w:rsid w:val="001A1EAC"/>
    <w:rsid w:val="001B4646"/>
    <w:rsid w:val="001B7DFE"/>
    <w:rsid w:val="001D4972"/>
    <w:rsid w:val="001D6690"/>
    <w:rsid w:val="001E387E"/>
    <w:rsid w:val="00201E4E"/>
    <w:rsid w:val="002076C3"/>
    <w:rsid w:val="00230205"/>
    <w:rsid w:val="00233B90"/>
    <w:rsid w:val="00243CE9"/>
    <w:rsid w:val="00245E0E"/>
    <w:rsid w:val="00247E1B"/>
    <w:rsid w:val="00280540"/>
    <w:rsid w:val="00282849"/>
    <w:rsid w:val="00286EA8"/>
    <w:rsid w:val="00290716"/>
    <w:rsid w:val="00292357"/>
    <w:rsid w:val="002973BD"/>
    <w:rsid w:val="002A57BD"/>
    <w:rsid w:val="002A73FE"/>
    <w:rsid w:val="002B11B3"/>
    <w:rsid w:val="002B6FD0"/>
    <w:rsid w:val="002C1EA9"/>
    <w:rsid w:val="002D0DED"/>
    <w:rsid w:val="002F683E"/>
    <w:rsid w:val="002F7376"/>
    <w:rsid w:val="003017A1"/>
    <w:rsid w:val="00301F59"/>
    <w:rsid w:val="00302259"/>
    <w:rsid w:val="003149AB"/>
    <w:rsid w:val="003172B5"/>
    <w:rsid w:val="00320D58"/>
    <w:rsid w:val="00330480"/>
    <w:rsid w:val="003322AF"/>
    <w:rsid w:val="00334EB4"/>
    <w:rsid w:val="003423E5"/>
    <w:rsid w:val="00343C26"/>
    <w:rsid w:val="003464A6"/>
    <w:rsid w:val="0034659A"/>
    <w:rsid w:val="00364D35"/>
    <w:rsid w:val="00367858"/>
    <w:rsid w:val="003733F4"/>
    <w:rsid w:val="003837F4"/>
    <w:rsid w:val="003B6AE9"/>
    <w:rsid w:val="003D1B5B"/>
    <w:rsid w:val="003D226E"/>
    <w:rsid w:val="003E344A"/>
    <w:rsid w:val="003F1DFC"/>
    <w:rsid w:val="003F5CB7"/>
    <w:rsid w:val="003F7ADB"/>
    <w:rsid w:val="004008B8"/>
    <w:rsid w:val="0040311E"/>
    <w:rsid w:val="004126D5"/>
    <w:rsid w:val="004421D7"/>
    <w:rsid w:val="00463A2A"/>
    <w:rsid w:val="004740BF"/>
    <w:rsid w:val="004749A4"/>
    <w:rsid w:val="00485B77"/>
    <w:rsid w:val="00491D54"/>
    <w:rsid w:val="00491F77"/>
    <w:rsid w:val="004B5A98"/>
    <w:rsid w:val="004B5EC1"/>
    <w:rsid w:val="004B6491"/>
    <w:rsid w:val="004B7242"/>
    <w:rsid w:val="004F3108"/>
    <w:rsid w:val="004F68F6"/>
    <w:rsid w:val="005008FB"/>
    <w:rsid w:val="0050544C"/>
    <w:rsid w:val="00511023"/>
    <w:rsid w:val="00514667"/>
    <w:rsid w:val="005267CB"/>
    <w:rsid w:val="005275C1"/>
    <w:rsid w:val="00527F85"/>
    <w:rsid w:val="005320B6"/>
    <w:rsid w:val="0054499F"/>
    <w:rsid w:val="005449FD"/>
    <w:rsid w:val="005717FB"/>
    <w:rsid w:val="005869BB"/>
    <w:rsid w:val="005973FE"/>
    <w:rsid w:val="005A3FF4"/>
    <w:rsid w:val="005A67EE"/>
    <w:rsid w:val="005B2293"/>
    <w:rsid w:val="005B3852"/>
    <w:rsid w:val="005B5A02"/>
    <w:rsid w:val="005C1817"/>
    <w:rsid w:val="005E70B7"/>
    <w:rsid w:val="00610B56"/>
    <w:rsid w:val="00616F89"/>
    <w:rsid w:val="006175DB"/>
    <w:rsid w:val="00637613"/>
    <w:rsid w:val="00657EA8"/>
    <w:rsid w:val="00677244"/>
    <w:rsid w:val="00683C2E"/>
    <w:rsid w:val="006A0193"/>
    <w:rsid w:val="006A1DA2"/>
    <w:rsid w:val="006B4F31"/>
    <w:rsid w:val="006C2CCA"/>
    <w:rsid w:val="006E50A3"/>
    <w:rsid w:val="006E542F"/>
    <w:rsid w:val="006E5DC1"/>
    <w:rsid w:val="006F117F"/>
    <w:rsid w:val="006F2901"/>
    <w:rsid w:val="006F411B"/>
    <w:rsid w:val="00701319"/>
    <w:rsid w:val="00702F27"/>
    <w:rsid w:val="00716724"/>
    <w:rsid w:val="00734B5A"/>
    <w:rsid w:val="00735330"/>
    <w:rsid w:val="00740ED6"/>
    <w:rsid w:val="007601B5"/>
    <w:rsid w:val="00765ABD"/>
    <w:rsid w:val="00791348"/>
    <w:rsid w:val="007A34FD"/>
    <w:rsid w:val="007C09D1"/>
    <w:rsid w:val="007E64DB"/>
    <w:rsid w:val="007F0A80"/>
    <w:rsid w:val="008104E2"/>
    <w:rsid w:val="00816CB0"/>
    <w:rsid w:val="008178D8"/>
    <w:rsid w:val="00821520"/>
    <w:rsid w:val="00831688"/>
    <w:rsid w:val="0084392B"/>
    <w:rsid w:val="00863D2E"/>
    <w:rsid w:val="00864203"/>
    <w:rsid w:val="00876BEC"/>
    <w:rsid w:val="008C3B06"/>
    <w:rsid w:val="008D4AA5"/>
    <w:rsid w:val="008E2841"/>
    <w:rsid w:val="008F02BA"/>
    <w:rsid w:val="008F6784"/>
    <w:rsid w:val="009464B8"/>
    <w:rsid w:val="0095028B"/>
    <w:rsid w:val="0095132F"/>
    <w:rsid w:val="00951C24"/>
    <w:rsid w:val="00962787"/>
    <w:rsid w:val="00972776"/>
    <w:rsid w:val="00972B46"/>
    <w:rsid w:val="009827ED"/>
    <w:rsid w:val="00996590"/>
    <w:rsid w:val="009A61EC"/>
    <w:rsid w:val="009B3815"/>
    <w:rsid w:val="009B41FC"/>
    <w:rsid w:val="009B700F"/>
    <w:rsid w:val="009C5AF7"/>
    <w:rsid w:val="009C7F6E"/>
    <w:rsid w:val="009D6152"/>
    <w:rsid w:val="009F5A93"/>
    <w:rsid w:val="00A02044"/>
    <w:rsid w:val="00A1258A"/>
    <w:rsid w:val="00A1443D"/>
    <w:rsid w:val="00A422B6"/>
    <w:rsid w:val="00AA34B7"/>
    <w:rsid w:val="00AA7D23"/>
    <w:rsid w:val="00AB1D1E"/>
    <w:rsid w:val="00AB1E95"/>
    <w:rsid w:val="00AC1A95"/>
    <w:rsid w:val="00AC5039"/>
    <w:rsid w:val="00AC6478"/>
    <w:rsid w:val="00AD0BD0"/>
    <w:rsid w:val="00AD7A25"/>
    <w:rsid w:val="00AE5A1C"/>
    <w:rsid w:val="00B0585E"/>
    <w:rsid w:val="00B06D94"/>
    <w:rsid w:val="00B12C82"/>
    <w:rsid w:val="00B15ED8"/>
    <w:rsid w:val="00B47D0B"/>
    <w:rsid w:val="00B629FE"/>
    <w:rsid w:val="00B71AFF"/>
    <w:rsid w:val="00B7401E"/>
    <w:rsid w:val="00B8024D"/>
    <w:rsid w:val="00B81F96"/>
    <w:rsid w:val="00B849ED"/>
    <w:rsid w:val="00BA1697"/>
    <w:rsid w:val="00BB1633"/>
    <w:rsid w:val="00BF51F0"/>
    <w:rsid w:val="00C235FA"/>
    <w:rsid w:val="00C37AC8"/>
    <w:rsid w:val="00C47CEF"/>
    <w:rsid w:val="00C5062A"/>
    <w:rsid w:val="00C67CA7"/>
    <w:rsid w:val="00C75C1B"/>
    <w:rsid w:val="00CC1EC9"/>
    <w:rsid w:val="00CC7874"/>
    <w:rsid w:val="00CD59E5"/>
    <w:rsid w:val="00CF6976"/>
    <w:rsid w:val="00D02561"/>
    <w:rsid w:val="00D22F19"/>
    <w:rsid w:val="00D3573A"/>
    <w:rsid w:val="00D426F3"/>
    <w:rsid w:val="00D4618C"/>
    <w:rsid w:val="00D47DB5"/>
    <w:rsid w:val="00D8674C"/>
    <w:rsid w:val="00DA51FF"/>
    <w:rsid w:val="00DA673B"/>
    <w:rsid w:val="00DA6B99"/>
    <w:rsid w:val="00DB4D1A"/>
    <w:rsid w:val="00DB66A4"/>
    <w:rsid w:val="00DB784D"/>
    <w:rsid w:val="00DB7BED"/>
    <w:rsid w:val="00DC5B9C"/>
    <w:rsid w:val="00DD2774"/>
    <w:rsid w:val="00DE567B"/>
    <w:rsid w:val="00DE653F"/>
    <w:rsid w:val="00E154FC"/>
    <w:rsid w:val="00E2092F"/>
    <w:rsid w:val="00E446F0"/>
    <w:rsid w:val="00E47D90"/>
    <w:rsid w:val="00E56A46"/>
    <w:rsid w:val="00E9365C"/>
    <w:rsid w:val="00E97A21"/>
    <w:rsid w:val="00EA4DD4"/>
    <w:rsid w:val="00EB64E6"/>
    <w:rsid w:val="00EC30F1"/>
    <w:rsid w:val="00EC723E"/>
    <w:rsid w:val="00ED5EC2"/>
    <w:rsid w:val="00ED7745"/>
    <w:rsid w:val="00EF4B82"/>
    <w:rsid w:val="00F0469C"/>
    <w:rsid w:val="00F10A47"/>
    <w:rsid w:val="00F1379B"/>
    <w:rsid w:val="00F24738"/>
    <w:rsid w:val="00F25963"/>
    <w:rsid w:val="00F26052"/>
    <w:rsid w:val="00F41273"/>
    <w:rsid w:val="00F426F6"/>
    <w:rsid w:val="00F4281B"/>
    <w:rsid w:val="00F445A1"/>
    <w:rsid w:val="00F4551F"/>
    <w:rsid w:val="00F75BD2"/>
    <w:rsid w:val="00FD6BE1"/>
    <w:rsid w:val="00FE30EB"/>
    <w:rsid w:val="00FE346F"/>
    <w:rsid w:val="00FF5B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876BEC"/>
    <w:rPr>
      <w:color w:val="808080"/>
      <w:shd w:val="clear" w:color="auto" w:fill="E6E6E6"/>
    </w:rPr>
  </w:style>
  <w:style w:type="character" w:styleId="FollowedHyperlink">
    <w:name w:val="FollowedHyperlink"/>
    <w:basedOn w:val="DefaultParagraphFont"/>
    <w:uiPriority w:val="99"/>
    <w:semiHidden/>
    <w:unhideWhenUsed/>
    <w:rsid w:val="00876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www.gpo.gov/fdsys/pkg/FR-2017-11-02/pdf/2017-23217.pdf" TargetMode="External" /><Relationship Id="rId8" Type="http://schemas.openxmlformats.org/officeDocument/2006/relationships/header" Target="header3.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