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37C7" w:rsidRPr="004371FB" w:rsidP="003837C7">
      <w:pPr>
        <w:tabs>
          <w:tab w:val="left" w:pos="8100"/>
        </w:tabs>
        <w:jc w:val="center"/>
        <w:rPr>
          <w:b/>
          <w:color w:val="000000"/>
        </w:rPr>
      </w:pPr>
      <w:r w:rsidRPr="004371FB">
        <w:rPr>
          <w:b/>
          <w:color w:val="000000"/>
        </w:rPr>
        <w:t>Before the</w:t>
      </w:r>
    </w:p>
    <w:p w:rsidR="003837C7" w:rsidRPr="004371FB" w:rsidP="003837C7">
      <w:pPr>
        <w:pStyle w:val="StyleBoldCentered"/>
        <w:rPr>
          <w:rFonts w:ascii="Times New Roman" w:hAnsi="Times New Roman"/>
          <w:color w:val="000000"/>
        </w:rPr>
      </w:pPr>
      <w:r w:rsidRPr="004371FB">
        <w:rPr>
          <w:rFonts w:ascii="Times New Roman" w:hAnsi="Times New Roman"/>
          <w:color w:val="000000"/>
        </w:rPr>
        <w:t>F</w:t>
      </w:r>
      <w:r w:rsidRPr="004371FB">
        <w:rPr>
          <w:rFonts w:ascii="Times New Roman" w:hAnsi="Times New Roman"/>
          <w:caps w:val="0"/>
          <w:color w:val="000000"/>
        </w:rPr>
        <w:t>ederal Communications Commission</w:t>
      </w:r>
    </w:p>
    <w:p w:rsidR="003837C7" w:rsidRPr="004371FB" w:rsidP="003837C7">
      <w:pPr>
        <w:jc w:val="center"/>
        <w:rPr>
          <w:b/>
          <w:color w:val="000000"/>
        </w:rPr>
      </w:pPr>
      <w:r w:rsidRPr="004371FB">
        <w:rPr>
          <w:b/>
          <w:color w:val="000000"/>
        </w:rPr>
        <w:t xml:space="preserve">Washington, DC 20554 </w:t>
      </w:r>
    </w:p>
    <w:tbl>
      <w:tblPr>
        <w:tblW w:w="0" w:type="auto"/>
        <w:tblLayout w:type="fixed"/>
        <w:tblLook w:val="0000"/>
      </w:tblPr>
      <w:tblGrid>
        <w:gridCol w:w="4518"/>
        <w:gridCol w:w="630"/>
        <w:gridCol w:w="4248"/>
      </w:tblGrid>
      <w:tr w:rsidTr="000A295D">
        <w:tblPrEx>
          <w:tblW w:w="0" w:type="auto"/>
          <w:tblLayout w:type="fixed"/>
          <w:tblLook w:val="0000"/>
        </w:tblPrEx>
        <w:tc>
          <w:tcPr>
            <w:tcW w:w="4518" w:type="dxa"/>
          </w:tcPr>
          <w:p w:rsidR="003837C7" w:rsidRPr="004371FB" w:rsidP="000A295D">
            <w:pPr>
              <w:tabs>
                <w:tab w:val="center" w:pos="4680"/>
              </w:tabs>
              <w:suppressAutoHyphens/>
              <w:rPr>
                <w:color w:val="000000"/>
                <w:spacing w:val="-2"/>
              </w:rPr>
            </w:pPr>
          </w:p>
          <w:p w:rsidR="003837C7" w:rsidRPr="004371FB" w:rsidP="000A295D">
            <w:pPr>
              <w:tabs>
                <w:tab w:val="center" w:pos="4680"/>
              </w:tabs>
              <w:suppressAutoHyphens/>
              <w:rPr>
                <w:color w:val="000000"/>
                <w:spacing w:val="-2"/>
              </w:rPr>
            </w:pPr>
            <w:r w:rsidRPr="004371FB">
              <w:rPr>
                <w:color w:val="000000"/>
                <w:spacing w:val="-2"/>
              </w:rPr>
              <w:t>In the Matter of</w:t>
            </w:r>
          </w:p>
          <w:p w:rsidR="003837C7" w:rsidRPr="004371FB" w:rsidP="000A295D">
            <w:pPr>
              <w:tabs>
                <w:tab w:val="center" w:pos="4680"/>
              </w:tabs>
              <w:suppressAutoHyphens/>
              <w:rPr>
                <w:color w:val="000000"/>
                <w:spacing w:val="-2"/>
              </w:rPr>
            </w:pPr>
          </w:p>
          <w:p w:rsidR="003837C7" w:rsidRPr="004371FB" w:rsidP="000A295D">
            <w:pPr>
              <w:tabs>
                <w:tab w:val="center" w:pos="4680"/>
              </w:tabs>
              <w:suppressAutoHyphens/>
              <w:rPr>
                <w:color w:val="000000"/>
                <w:spacing w:val="-2"/>
              </w:rPr>
            </w:pPr>
            <w:r w:rsidRPr="004371FB">
              <w:rPr>
                <w:color w:val="000000"/>
                <w:spacing w:val="-2"/>
              </w:rPr>
              <w:t>Shelley Broadcasting Co</w:t>
            </w:r>
            <w:r>
              <w:rPr>
                <w:color w:val="000000"/>
                <w:spacing w:val="-2"/>
              </w:rPr>
              <w:t>mpany</w:t>
            </w:r>
            <w:r w:rsidRPr="004371FB">
              <w:rPr>
                <w:color w:val="000000"/>
                <w:spacing w:val="-2"/>
              </w:rPr>
              <w:t>, Inc.</w:t>
            </w:r>
          </w:p>
          <w:p w:rsidR="003837C7" w:rsidRPr="004371FB" w:rsidP="000A295D">
            <w:pPr>
              <w:tabs>
                <w:tab w:val="center" w:pos="4680"/>
              </w:tabs>
              <w:suppressAutoHyphens/>
              <w:rPr>
                <w:color w:val="000000"/>
                <w:spacing w:val="-2"/>
              </w:rPr>
            </w:pPr>
            <w:r w:rsidRPr="004371FB">
              <w:rPr>
                <w:color w:val="000000"/>
                <w:spacing w:val="-2"/>
              </w:rPr>
              <w:t>Licensee of WGEA(AM), Geneva, Alabama</w:t>
            </w:r>
          </w:p>
          <w:p w:rsidR="003837C7" w:rsidRPr="004371FB" w:rsidP="000A295D">
            <w:pPr>
              <w:tabs>
                <w:tab w:val="center" w:pos="4680"/>
              </w:tabs>
              <w:suppressAutoHyphens/>
              <w:rPr>
                <w:color w:val="000000"/>
                <w:spacing w:val="-2"/>
              </w:rPr>
            </w:pPr>
          </w:p>
        </w:tc>
        <w:tc>
          <w:tcPr>
            <w:tcW w:w="630" w:type="dxa"/>
          </w:tcPr>
          <w:p w:rsidR="003837C7" w:rsidRPr="004371FB" w:rsidP="000A295D">
            <w:pPr>
              <w:tabs>
                <w:tab w:val="center" w:pos="4680"/>
              </w:tabs>
              <w:suppressAutoHyphens/>
              <w:rPr>
                <w:b/>
                <w:color w:val="000000"/>
                <w:spacing w:val="-2"/>
              </w:rPr>
            </w:pPr>
          </w:p>
          <w:p w:rsidR="003837C7" w:rsidRPr="004371FB" w:rsidP="000A295D">
            <w:pPr>
              <w:tabs>
                <w:tab w:val="center" w:pos="4680"/>
              </w:tabs>
              <w:suppressAutoHyphens/>
              <w:rPr>
                <w:b/>
                <w:color w:val="000000"/>
                <w:spacing w:val="-2"/>
              </w:rPr>
            </w:pPr>
            <w:r w:rsidRPr="004371FB">
              <w:rPr>
                <w:b/>
                <w:color w:val="000000"/>
                <w:spacing w:val="-2"/>
              </w:rPr>
              <w:t xml:space="preserve">  )</w:t>
            </w:r>
          </w:p>
          <w:p w:rsidR="003837C7" w:rsidRPr="004371FB" w:rsidP="000A295D">
            <w:pPr>
              <w:tabs>
                <w:tab w:val="center" w:pos="4680"/>
              </w:tabs>
              <w:suppressAutoHyphens/>
              <w:rPr>
                <w:b/>
                <w:color w:val="000000"/>
                <w:spacing w:val="-2"/>
              </w:rPr>
            </w:pPr>
            <w:r w:rsidRPr="004371FB">
              <w:rPr>
                <w:b/>
                <w:color w:val="000000"/>
                <w:spacing w:val="-2"/>
              </w:rPr>
              <w:t xml:space="preserve">  )</w:t>
            </w:r>
          </w:p>
          <w:p w:rsidR="003837C7" w:rsidRPr="004371FB" w:rsidP="000A295D">
            <w:pPr>
              <w:tabs>
                <w:tab w:val="center" w:pos="4680"/>
              </w:tabs>
              <w:suppressAutoHyphens/>
              <w:rPr>
                <w:b/>
                <w:color w:val="000000"/>
                <w:spacing w:val="-2"/>
              </w:rPr>
            </w:pPr>
            <w:r w:rsidRPr="004371FB">
              <w:rPr>
                <w:b/>
                <w:color w:val="000000"/>
                <w:spacing w:val="-2"/>
              </w:rPr>
              <w:t xml:space="preserve">  )</w:t>
            </w:r>
          </w:p>
          <w:p w:rsidR="003837C7" w:rsidP="000A295D">
            <w:pPr>
              <w:tabs>
                <w:tab w:val="center" w:pos="4680"/>
              </w:tabs>
              <w:suppressAutoHyphens/>
              <w:rPr>
                <w:b/>
                <w:color w:val="000000"/>
                <w:spacing w:val="-2"/>
              </w:rPr>
            </w:pPr>
            <w:r w:rsidRPr="004371FB">
              <w:rPr>
                <w:b/>
                <w:color w:val="000000"/>
                <w:spacing w:val="-2"/>
              </w:rPr>
              <w:t xml:space="preserve">  )</w:t>
            </w:r>
          </w:p>
          <w:p w:rsidR="003837C7" w:rsidRPr="004371FB" w:rsidP="000A295D">
            <w:pPr>
              <w:tabs>
                <w:tab w:val="center" w:pos="4680"/>
              </w:tabs>
              <w:suppressAutoHyphens/>
              <w:rPr>
                <w:b/>
                <w:color w:val="000000"/>
                <w:spacing w:val="-2"/>
              </w:rPr>
            </w:pPr>
            <w:r>
              <w:rPr>
                <w:b/>
                <w:color w:val="000000"/>
                <w:spacing w:val="-2"/>
              </w:rPr>
              <w:t xml:space="preserve">  )</w:t>
            </w:r>
          </w:p>
          <w:p w:rsidR="003837C7" w:rsidRPr="004371FB" w:rsidP="000A295D">
            <w:pPr>
              <w:tabs>
                <w:tab w:val="center" w:pos="4680"/>
              </w:tabs>
              <w:suppressAutoHyphens/>
              <w:rPr>
                <w:b/>
                <w:color w:val="000000"/>
                <w:spacing w:val="-2"/>
              </w:rPr>
            </w:pPr>
            <w:r w:rsidRPr="004371FB">
              <w:rPr>
                <w:b/>
                <w:color w:val="000000"/>
                <w:spacing w:val="-2"/>
              </w:rPr>
              <w:t xml:space="preserve"> </w:t>
            </w:r>
          </w:p>
        </w:tc>
        <w:tc>
          <w:tcPr>
            <w:tcW w:w="4248" w:type="dxa"/>
          </w:tcPr>
          <w:p w:rsidR="003837C7" w:rsidRPr="004371FB" w:rsidP="000A295D">
            <w:pPr>
              <w:tabs>
                <w:tab w:val="center" w:pos="4680"/>
              </w:tabs>
              <w:suppressAutoHyphens/>
              <w:rPr>
                <w:color w:val="000000"/>
                <w:spacing w:val="-2"/>
              </w:rPr>
            </w:pPr>
          </w:p>
          <w:p w:rsidR="003837C7" w:rsidRPr="004371FB" w:rsidP="000A295D">
            <w:pPr>
              <w:rPr>
                <w:color w:val="000000"/>
                <w:spacing w:val="-2"/>
              </w:rPr>
            </w:pPr>
            <w:r w:rsidRPr="004371FB">
              <w:rPr>
                <w:color w:val="000000"/>
                <w:spacing w:val="-2"/>
              </w:rPr>
              <w:t xml:space="preserve">                </w:t>
            </w:r>
          </w:p>
          <w:p w:rsidR="003837C7" w:rsidRPr="004371FB" w:rsidP="000A295D">
            <w:pPr>
              <w:ind w:left="612"/>
              <w:rPr>
                <w:color w:val="000000"/>
                <w:spacing w:val="-2"/>
              </w:rPr>
            </w:pPr>
          </w:p>
          <w:p w:rsidR="003837C7" w:rsidRPr="004371FB" w:rsidP="000A295D">
            <w:pPr>
              <w:ind w:left="612"/>
              <w:rPr>
                <w:color w:val="000000"/>
                <w:spacing w:val="-2"/>
              </w:rPr>
            </w:pPr>
            <w:r w:rsidRPr="004371FB">
              <w:rPr>
                <w:color w:val="000000"/>
                <w:spacing w:val="-2"/>
              </w:rPr>
              <w:t>FRN:  0003756806</w:t>
            </w:r>
          </w:p>
          <w:p w:rsidR="003837C7" w:rsidP="000A295D">
            <w:pPr>
              <w:ind w:left="612"/>
              <w:rPr>
                <w:snapToGrid/>
                <w:kern w:val="0"/>
                <w:szCs w:val="22"/>
              </w:rPr>
            </w:pPr>
            <w:r w:rsidRPr="00337499">
              <w:rPr>
                <w:snapToGrid/>
                <w:kern w:val="0"/>
                <w:szCs w:val="22"/>
              </w:rPr>
              <w:t xml:space="preserve">File Nos. BL-4950, </w:t>
            </w:r>
          </w:p>
          <w:p w:rsidR="003837C7" w:rsidRPr="00364E1A" w:rsidP="000A295D">
            <w:pPr>
              <w:ind w:left="612"/>
              <w:rPr>
                <w:color w:val="000000"/>
                <w:spacing w:val="-2"/>
                <w:szCs w:val="22"/>
              </w:rPr>
            </w:pPr>
            <w:r w:rsidRPr="00337499">
              <w:rPr>
                <w:szCs w:val="22"/>
              </w:rPr>
              <w:t>BR-20111212AHG</w:t>
            </w:r>
            <w:r w:rsidRPr="004371FB">
              <w:rPr>
                <w:color w:val="000000"/>
                <w:spacing w:val="-2"/>
              </w:rPr>
              <w:t xml:space="preserve">             </w:t>
            </w:r>
          </w:p>
        </w:tc>
      </w:tr>
    </w:tbl>
    <w:p w:rsidR="003837C7" w:rsidRPr="004371FB" w:rsidP="003837C7">
      <w:pPr>
        <w:pStyle w:val="StyleBoldCentered"/>
        <w:rPr>
          <w:rFonts w:ascii="Times New Roman" w:hAnsi="Times New Roman"/>
          <w:color w:val="000000"/>
        </w:rPr>
      </w:pPr>
      <w:r>
        <w:rPr>
          <w:rFonts w:ascii="Times New Roman" w:hAnsi="Times New Roman"/>
          <w:color w:val="000000"/>
        </w:rPr>
        <w:t>REVOCATION ORDER</w:t>
      </w:r>
      <w:r w:rsidRPr="004371FB">
        <w:rPr>
          <w:rFonts w:ascii="Times New Roman" w:hAnsi="Times New Roman"/>
          <w:color w:val="000000"/>
        </w:rPr>
        <w:t xml:space="preserve"> </w:t>
      </w:r>
    </w:p>
    <w:p w:rsidR="003837C7" w:rsidRPr="004371FB" w:rsidP="003837C7">
      <w:pPr>
        <w:pStyle w:val="BodyText"/>
        <w:tabs>
          <w:tab w:val="left" w:pos="4680"/>
        </w:tabs>
        <w:jc w:val="center"/>
        <w:rPr>
          <w:color w:val="000000"/>
          <w:sz w:val="22"/>
          <w:u w:val="none"/>
        </w:rPr>
      </w:pPr>
    </w:p>
    <w:p w:rsidR="003837C7" w:rsidRPr="004371FB" w:rsidP="003837C7">
      <w:pPr>
        <w:tabs>
          <w:tab w:val="left" w:pos="720"/>
          <w:tab w:val="right" w:pos="9360"/>
        </w:tabs>
        <w:suppressAutoHyphens/>
        <w:spacing w:line="227" w:lineRule="auto"/>
        <w:rPr>
          <w:spacing w:val="-2"/>
        </w:rPr>
      </w:pPr>
      <w:r w:rsidRPr="004371FB">
        <w:rPr>
          <w:b/>
          <w:spacing w:val="-2"/>
        </w:rPr>
        <w:t xml:space="preserve">Adopted:  </w:t>
      </w:r>
      <w:r>
        <w:rPr>
          <w:b/>
          <w:spacing w:val="-2"/>
        </w:rPr>
        <w:t>September 9</w:t>
      </w:r>
      <w:r w:rsidRPr="004371FB">
        <w:rPr>
          <w:b/>
          <w:spacing w:val="-2"/>
        </w:rPr>
        <w:t>, 201</w:t>
      </w:r>
      <w:r>
        <w:rPr>
          <w:b/>
          <w:spacing w:val="-2"/>
        </w:rPr>
        <w:t>9</w:t>
      </w:r>
      <w:r w:rsidRPr="004371FB">
        <w:rPr>
          <w:b/>
          <w:spacing w:val="-2"/>
        </w:rPr>
        <w:tab/>
        <w:t xml:space="preserve">Released:  </w:t>
      </w:r>
      <w:r>
        <w:rPr>
          <w:b/>
          <w:spacing w:val="-2"/>
        </w:rPr>
        <w:t>September 10</w:t>
      </w:r>
      <w:r w:rsidRPr="004371FB">
        <w:rPr>
          <w:b/>
          <w:spacing w:val="-2"/>
        </w:rPr>
        <w:t>, 201</w:t>
      </w:r>
      <w:r>
        <w:rPr>
          <w:b/>
          <w:spacing w:val="-2"/>
        </w:rPr>
        <w:t>9</w:t>
      </w:r>
    </w:p>
    <w:p w:rsidR="003837C7" w:rsidRPr="004371FB" w:rsidP="003837C7">
      <w:pPr>
        <w:pStyle w:val="BodyText"/>
        <w:tabs>
          <w:tab w:val="left" w:pos="4680"/>
        </w:tabs>
        <w:jc w:val="center"/>
        <w:rPr>
          <w:color w:val="000000"/>
          <w:sz w:val="22"/>
          <w:u w:val="none"/>
        </w:rPr>
      </w:pPr>
    </w:p>
    <w:p w:rsidR="003837C7" w:rsidRPr="004371FB" w:rsidP="003837C7">
      <w:pPr>
        <w:tabs>
          <w:tab w:val="left" w:pos="720"/>
          <w:tab w:val="left" w:pos="5760"/>
        </w:tabs>
        <w:suppressAutoHyphens/>
        <w:spacing w:line="227" w:lineRule="auto"/>
        <w:rPr>
          <w:spacing w:val="-2"/>
        </w:rPr>
      </w:pPr>
      <w:r w:rsidRPr="004371FB">
        <w:rPr>
          <w:spacing w:val="-2"/>
        </w:rPr>
        <w:t>By the Chief, Media Bureau</w:t>
      </w:r>
      <w:r>
        <w:rPr>
          <w:spacing w:val="-2"/>
        </w:rPr>
        <w:t>, and the Managing Director, Office of Managing Director</w:t>
      </w:r>
      <w:r w:rsidRPr="004371FB">
        <w:rPr>
          <w:spacing w:val="-2"/>
        </w:rPr>
        <w:t>:</w:t>
      </w:r>
    </w:p>
    <w:p w:rsidR="003837C7" w:rsidRPr="004371FB" w:rsidP="003837C7">
      <w:pPr>
        <w:pStyle w:val="BodyText"/>
        <w:tabs>
          <w:tab w:val="left" w:pos="4680"/>
        </w:tabs>
        <w:rPr>
          <w:b w:val="0"/>
          <w:color w:val="000000"/>
          <w:sz w:val="22"/>
          <w:u w:val="none"/>
        </w:rPr>
      </w:pPr>
    </w:p>
    <w:p w:rsidR="003837C7" w:rsidRPr="004371FB" w:rsidP="003837C7">
      <w:pPr>
        <w:pStyle w:val="Heading1"/>
        <w:rPr>
          <w:rFonts w:ascii="Times New Roman" w:hAnsi="Times New Roman"/>
          <w:color w:val="000000"/>
        </w:rPr>
      </w:pPr>
      <w:r w:rsidRPr="004371FB">
        <w:rPr>
          <w:rFonts w:ascii="Times New Roman" w:hAnsi="Times New Roman"/>
          <w:color w:val="000000"/>
        </w:rPr>
        <w:t>INTRODUCTION</w:t>
      </w:r>
    </w:p>
    <w:p w:rsidR="003837C7" w:rsidRPr="009A595C" w:rsidP="003837C7">
      <w:pPr>
        <w:pStyle w:val="ParaNum"/>
        <w:rPr>
          <w:spacing w:val="-2"/>
        </w:rPr>
      </w:pPr>
      <w:r w:rsidRPr="003E4E92">
        <w:t xml:space="preserve">By this </w:t>
      </w:r>
      <w:r w:rsidRPr="00F35242">
        <w:rPr>
          <w:i/>
        </w:rPr>
        <w:t>Revocation Order</w:t>
      </w:r>
      <w:r w:rsidRPr="003E4E92">
        <w:t xml:space="preserve">, we revoke the license held by </w:t>
      </w:r>
      <w:r>
        <w:t>Shelley Broadcasting Company, Inc. (SBC)</w:t>
      </w:r>
      <w:r w:rsidRPr="003E4E92">
        <w:t xml:space="preserve"> for </w:t>
      </w:r>
      <w:r>
        <w:t>WGEA</w:t>
      </w:r>
      <w:r w:rsidRPr="003E4E92">
        <w:t xml:space="preserve">(AM), </w:t>
      </w:r>
      <w:r>
        <w:t>Geneva</w:t>
      </w:r>
      <w:r w:rsidRPr="003E4E92">
        <w:t xml:space="preserve">, </w:t>
      </w:r>
      <w:r>
        <w:t>Alabama</w:t>
      </w:r>
      <w:r w:rsidRPr="003E4E92">
        <w:t xml:space="preserve"> (Station), for failure to pay delinquent regulatory fees owed to the Commission.</w:t>
      </w:r>
      <w:r>
        <w:rPr>
          <w:rStyle w:val="FootnoteReference"/>
          <w:szCs w:val="22"/>
        </w:rPr>
        <w:footnoteReference w:id="3"/>
      </w:r>
      <w:r w:rsidRPr="003E4E92">
        <w:t xml:space="preserve"> </w:t>
      </w:r>
      <w:r>
        <w:t xml:space="preserve"> We also dismiss the pending application for renewal of the Station’s license.</w:t>
      </w:r>
      <w:r>
        <w:rPr>
          <w:rStyle w:val="FootnoteReference"/>
        </w:rPr>
        <w:footnoteReference w:id="4"/>
      </w:r>
    </w:p>
    <w:p w:rsidR="003837C7" w:rsidRPr="004371FB" w:rsidP="003837C7">
      <w:pPr>
        <w:pStyle w:val="Heading1"/>
        <w:rPr>
          <w:rFonts w:ascii="Times New Roman" w:hAnsi="Times New Roman"/>
          <w:color w:val="000000"/>
        </w:rPr>
      </w:pPr>
      <w:r w:rsidRPr="004371FB">
        <w:rPr>
          <w:rFonts w:ascii="Times New Roman" w:hAnsi="Times New Roman"/>
          <w:color w:val="000000"/>
        </w:rPr>
        <w:t>DISCUSSION</w:t>
      </w:r>
    </w:p>
    <w:p w:rsidR="003837C7" w:rsidRPr="00CE4912" w:rsidP="003837C7">
      <w:pPr>
        <w:pStyle w:val="ParaNum"/>
      </w:pPr>
      <w:r w:rsidRPr="00CE4912">
        <w:t xml:space="preserve">Under </w:t>
      </w:r>
      <w:r>
        <w:t>s</w:t>
      </w:r>
      <w:r w:rsidRPr="00CE4912">
        <w:t>ection 9 of the Communications Act of 1934, as amended (Act), and the Commission’s implementing rules, the Commission is required to “assess and collect regulatory fees” to recover the costs of certain regulatory activities.</w:t>
      </w:r>
      <w:r>
        <w:rPr>
          <w:rStyle w:val="FootnoteReference"/>
        </w:rPr>
        <w:footnoteReference w:id="5"/>
      </w:r>
      <w:r w:rsidRPr="00CE4912">
        <w:t xml:space="preserve">  When the required payment is received late or is incomplete, the Commission must assess a penalty equal to “25 percent of the amount of the fee </w:t>
      </w:r>
      <w:r>
        <w:t>that</w:t>
      </w:r>
      <w:r w:rsidRPr="00CE4912">
        <w:t xml:space="preserve"> was not paid in a timely manner.”</w:t>
      </w:r>
      <w:r>
        <w:rPr>
          <w:rStyle w:val="FootnoteReference"/>
        </w:rPr>
        <w:footnoteReference w:id="6"/>
      </w:r>
      <w:r w:rsidRPr="00CE4912">
        <w:t xml:space="preserve">  In addition to financial penalties, </w:t>
      </w:r>
      <w:r>
        <w:t>s</w:t>
      </w:r>
      <w:r w:rsidRPr="00CE4912">
        <w:t>ection 9</w:t>
      </w:r>
      <w:r>
        <w:t>A</w:t>
      </w:r>
      <w:r w:rsidRPr="00CE4912">
        <w:t>(c)(</w:t>
      </w:r>
      <w:r>
        <w:t>4</w:t>
      </w:r>
      <w:r w:rsidRPr="00CE4912">
        <w:t>)</w:t>
      </w:r>
      <w:r>
        <w:t>(A)</w:t>
      </w:r>
      <w:r w:rsidRPr="00CE4912">
        <w:t xml:space="preserve"> of the Act, and </w:t>
      </w:r>
      <w:r>
        <w:t>s</w:t>
      </w:r>
      <w:r w:rsidRPr="00CE4912">
        <w:t xml:space="preserve">ection 1.1164(f) of the Commission’s rules (Rules) grant the Commission the authority to revoke authorizations for failure to pay regulatory fees </w:t>
      </w:r>
      <w:r>
        <w:t xml:space="preserve">(or related interest and penalties) </w:t>
      </w:r>
      <w:r w:rsidRPr="00CE4912">
        <w:t>in a timely fashion.</w:t>
      </w:r>
      <w:r>
        <w:rPr>
          <w:rStyle w:val="FootnoteReference"/>
        </w:rPr>
        <w:footnoteReference w:id="7"/>
      </w:r>
    </w:p>
    <w:p w:rsidR="003837C7" w:rsidRPr="008D1C1B" w:rsidP="003837C7">
      <w:pPr>
        <w:pStyle w:val="ParaNum"/>
        <w:widowControl/>
        <w:rPr>
          <w:spacing w:val="-2"/>
        </w:rPr>
      </w:pPr>
      <w:r w:rsidRPr="004371FB">
        <w:t>For fiscal year (FY) 200</w:t>
      </w:r>
      <w:r>
        <w:t>8</w:t>
      </w:r>
      <w:r w:rsidRPr="004371FB">
        <w:t xml:space="preserve">, </w:t>
      </w:r>
      <w:r>
        <w:t>the deadline for paying regulatory fees</w:t>
      </w:r>
      <w:r w:rsidRPr="004371FB">
        <w:t xml:space="preserve"> wa</w:t>
      </w:r>
      <w:r>
        <w:t>s September 25, 2008;</w:t>
      </w:r>
      <w:r>
        <w:rPr>
          <w:rStyle w:val="FootnoteReference"/>
        </w:rPr>
        <w:footnoteReference w:id="8"/>
      </w:r>
      <w:r>
        <w:t xml:space="preserve"> for FY 2009, it was </w:t>
      </w:r>
      <w:r w:rsidRPr="004371FB">
        <w:t>September 22, 2009;</w:t>
      </w:r>
      <w:r>
        <w:rPr>
          <w:rStyle w:val="FootnoteReference"/>
        </w:rPr>
        <w:footnoteReference w:id="9"/>
      </w:r>
      <w:r w:rsidRPr="004371FB">
        <w:t xml:space="preserve"> for FY</w:t>
      </w:r>
      <w:r>
        <w:t xml:space="preserve"> </w:t>
      </w:r>
      <w:r w:rsidRPr="004371FB">
        <w:t>2010, it was August 31, 2010;</w:t>
      </w:r>
      <w:r>
        <w:rPr>
          <w:rStyle w:val="FootnoteReference"/>
        </w:rPr>
        <w:footnoteReference w:id="10"/>
      </w:r>
      <w:r w:rsidRPr="004371FB">
        <w:t xml:space="preserve"> for FY 2011, it </w:t>
      </w:r>
      <w:r w:rsidRPr="004371FB">
        <w:t>was September 1</w:t>
      </w:r>
      <w:r>
        <w:t>6</w:t>
      </w:r>
      <w:r w:rsidRPr="004371FB">
        <w:t>, 2011;</w:t>
      </w:r>
      <w:r>
        <w:rPr>
          <w:rStyle w:val="FootnoteReference"/>
        </w:rPr>
        <w:footnoteReference w:id="11"/>
      </w:r>
      <w:r w:rsidRPr="004371FB">
        <w:t xml:space="preserve"> for FY 2012, it was September 13, 2012;</w:t>
      </w:r>
      <w:r>
        <w:rPr>
          <w:rStyle w:val="FootnoteReference"/>
        </w:rPr>
        <w:footnoteReference w:id="12"/>
      </w:r>
      <w:r w:rsidRPr="004371FB">
        <w:t xml:space="preserve"> for FY 2013, it was September 20, 2013;</w:t>
      </w:r>
      <w:r>
        <w:rPr>
          <w:rStyle w:val="FootnoteReference"/>
        </w:rPr>
        <w:footnoteReference w:id="13"/>
      </w:r>
      <w:r w:rsidRPr="004371FB">
        <w:t xml:space="preserve"> for FY 2014, it was September 23, 2014;</w:t>
      </w:r>
      <w:r>
        <w:rPr>
          <w:rStyle w:val="FootnoteReference"/>
        </w:rPr>
        <w:footnoteReference w:id="14"/>
      </w:r>
      <w:r w:rsidRPr="004371FB">
        <w:t xml:space="preserve"> for FY 2015, it was September 24, 2015;</w:t>
      </w:r>
      <w:r>
        <w:rPr>
          <w:rStyle w:val="FootnoteReference"/>
        </w:rPr>
        <w:footnoteReference w:id="15"/>
      </w:r>
      <w:r w:rsidRPr="004371FB">
        <w:t xml:space="preserve"> and for FY 2016, it was September 27, 2016.</w:t>
      </w:r>
      <w:r>
        <w:rPr>
          <w:rStyle w:val="FootnoteReference"/>
        </w:rPr>
        <w:footnoteReference w:id="16"/>
      </w:r>
      <w:r w:rsidRPr="004371FB">
        <w:t xml:space="preserve">  </w:t>
      </w:r>
    </w:p>
    <w:p w:rsidR="003837C7" w:rsidRPr="007B6752" w:rsidP="003837C7">
      <w:pPr>
        <w:pStyle w:val="ParaNum"/>
        <w:rPr>
          <w:spacing w:val="-2"/>
        </w:rPr>
      </w:pPr>
      <w:r w:rsidRPr="004371FB">
        <w:t xml:space="preserve">SBC failed to </w:t>
      </w:r>
      <w:r>
        <w:t>timely pay or only partially paid the Station’s regulatory</w:t>
      </w:r>
      <w:r w:rsidRPr="004371FB">
        <w:t xml:space="preserve"> fees </w:t>
      </w:r>
      <w:r>
        <w:t>for FY 2008, FY 2009, FY 2010, FY 2011</w:t>
      </w:r>
      <w:r w:rsidRPr="004371FB">
        <w:t xml:space="preserve">, </w:t>
      </w:r>
      <w:r>
        <w:t xml:space="preserve">FY 2012, FY 2013, FY 2014, FY 2015, and FY 2016.  Thus, for each delinquent regulatory fee, </w:t>
      </w:r>
      <w:r w:rsidRPr="004371FB">
        <w:t>the Commission assessed the statutory late payment penalty required by the Act</w:t>
      </w:r>
      <w:r>
        <w:rPr>
          <w:rStyle w:val="FootnoteReference"/>
        </w:rPr>
        <w:footnoteReference w:id="17"/>
      </w:r>
      <w:r w:rsidRPr="004371FB">
        <w:t xml:space="preserve"> and</w:t>
      </w:r>
      <w:r>
        <w:t xml:space="preserve"> s</w:t>
      </w:r>
      <w:r w:rsidRPr="004371FB">
        <w:t>ections 1.1157(c)(1)</w:t>
      </w:r>
      <w:r>
        <w:t>,</w:t>
      </w:r>
      <w:r w:rsidRPr="004371FB">
        <w:t xml:space="preserve"> and 1.1164 of the Rules,</w:t>
      </w:r>
      <w:r>
        <w:rPr>
          <w:rStyle w:val="FootnoteReference"/>
        </w:rPr>
        <w:footnoteReference w:id="18"/>
      </w:r>
      <w:r w:rsidRPr="00966532">
        <w:rPr>
          <w:rStyle w:val="FootnoteReference"/>
        </w:rPr>
        <w:t xml:space="preserve"> </w:t>
      </w:r>
      <w:r w:rsidRPr="004371FB">
        <w:t xml:space="preserve">and interest, penalties, and </w:t>
      </w:r>
      <w:r>
        <w:t xml:space="preserve">administrative costs </w:t>
      </w:r>
      <w:r w:rsidRPr="004371FB">
        <w:t>required by</w:t>
      </w:r>
      <w:r>
        <w:t xml:space="preserve"> s</w:t>
      </w:r>
      <w:r w:rsidRPr="004371FB">
        <w:t>ection 3717 of Title 31 of the U.S. Code and</w:t>
      </w:r>
      <w:r>
        <w:t xml:space="preserve"> s</w:t>
      </w:r>
      <w:r w:rsidRPr="004371FB">
        <w:t>ection 1.1940 of the Rules.</w:t>
      </w:r>
      <w:r>
        <w:rPr>
          <w:rStyle w:val="FootnoteReference"/>
        </w:rPr>
        <w:footnoteReference w:id="19"/>
      </w:r>
      <w:r w:rsidRPr="004371FB">
        <w:t> </w:t>
      </w:r>
      <w:r>
        <w:t xml:space="preserve"> The Commission sent d</w:t>
      </w:r>
      <w:r w:rsidRPr="004371FB">
        <w:t xml:space="preserve">emand </w:t>
      </w:r>
      <w:r>
        <w:t>l</w:t>
      </w:r>
      <w:r w:rsidRPr="004371FB">
        <w:t>etters</w:t>
      </w:r>
      <w:r>
        <w:t xml:space="preserve"> to SBC</w:t>
      </w:r>
      <w:r w:rsidRPr="004371FB">
        <w:t xml:space="preserve"> demand</w:t>
      </w:r>
      <w:r>
        <w:t>ing</w:t>
      </w:r>
      <w:r w:rsidRPr="004371FB">
        <w:t xml:space="preserve"> payment of </w:t>
      </w:r>
      <w:r>
        <w:t>the</w:t>
      </w:r>
      <w:r w:rsidRPr="004371FB">
        <w:t xml:space="preserve"> delinquent regulatory fee</w:t>
      </w:r>
      <w:r>
        <w:t xml:space="preserve"> debt,</w:t>
      </w:r>
      <w:r>
        <w:rPr>
          <w:rStyle w:val="FootnoteReference"/>
        </w:rPr>
        <w:footnoteReference w:id="20"/>
      </w:r>
      <w:r w:rsidRPr="004371FB">
        <w:t> </w:t>
      </w:r>
      <w:r>
        <w:t>and when SBC did not respond or pay its debts, the Commission transferred the debts to</w:t>
      </w:r>
      <w:r w:rsidRPr="004371FB">
        <w:t xml:space="preserve"> the Secretary of Treasury for collection.</w:t>
      </w:r>
      <w:r>
        <w:rPr>
          <w:rStyle w:val="FootnoteReference"/>
        </w:rPr>
        <w:footnoteReference w:id="21"/>
      </w:r>
      <w:r w:rsidRPr="004371FB">
        <w:t xml:space="preserve">  </w:t>
      </w:r>
      <w:r>
        <w:t>In June 2019, at the Commission’s request, the Secretary of the Treasury returned all of the previously transferred regulatory fee debt to the Commission for further collection.</w:t>
      </w:r>
    </w:p>
    <w:p w:rsidR="003837C7" w:rsidRPr="0073770A" w:rsidP="003837C7">
      <w:pPr>
        <w:pStyle w:val="ParaNum"/>
        <w:widowControl/>
        <w:rPr>
          <w:spacing w:val="-2"/>
          <w:szCs w:val="22"/>
        </w:rPr>
      </w:pPr>
      <w:r w:rsidRPr="003E4E92">
        <w:rPr>
          <w:szCs w:val="22"/>
        </w:rPr>
        <w:t>On</w:t>
      </w:r>
      <w:r>
        <w:rPr>
          <w:szCs w:val="22"/>
        </w:rPr>
        <w:t xml:space="preserve"> June 6, 2019</w:t>
      </w:r>
      <w:r w:rsidRPr="003E4E92">
        <w:rPr>
          <w:szCs w:val="22"/>
        </w:rPr>
        <w:t>, the Media Bureau</w:t>
      </w:r>
      <w:r>
        <w:rPr>
          <w:szCs w:val="22"/>
        </w:rPr>
        <w:t xml:space="preserve"> (Bureau)</w:t>
      </w:r>
      <w:r w:rsidRPr="003E4E92">
        <w:rPr>
          <w:szCs w:val="22"/>
        </w:rPr>
        <w:t xml:space="preserve"> </w:t>
      </w:r>
      <w:r>
        <w:rPr>
          <w:szCs w:val="22"/>
        </w:rPr>
        <w:t xml:space="preserve">and the Office of Managing Director jointly </w:t>
      </w:r>
      <w:r w:rsidRPr="003E4E92">
        <w:rPr>
          <w:szCs w:val="22"/>
        </w:rPr>
        <w:t xml:space="preserve">issued an </w:t>
      </w:r>
      <w:r w:rsidRPr="0073490A">
        <w:rPr>
          <w:i/>
          <w:szCs w:val="22"/>
        </w:rPr>
        <w:t xml:space="preserve">Order to Pay or to Show Cause </w:t>
      </w:r>
      <w:r w:rsidRPr="00BE1A5E">
        <w:rPr>
          <w:szCs w:val="22"/>
        </w:rPr>
        <w:t>(</w:t>
      </w:r>
      <w:r w:rsidRPr="0073490A">
        <w:rPr>
          <w:i/>
          <w:szCs w:val="22"/>
        </w:rPr>
        <w:t>Order</w:t>
      </w:r>
      <w:r w:rsidRPr="00BE1A5E">
        <w:rPr>
          <w:szCs w:val="22"/>
        </w:rPr>
        <w:t>)</w:t>
      </w:r>
      <w:r w:rsidRPr="003E4E92">
        <w:rPr>
          <w:szCs w:val="22"/>
        </w:rPr>
        <w:t xml:space="preserve"> requir</w:t>
      </w:r>
      <w:r>
        <w:rPr>
          <w:szCs w:val="22"/>
        </w:rPr>
        <w:t>ing</w:t>
      </w:r>
      <w:r w:rsidRPr="003E4E92">
        <w:rPr>
          <w:szCs w:val="22"/>
        </w:rPr>
        <w:t xml:space="preserve"> </w:t>
      </w:r>
      <w:r>
        <w:rPr>
          <w:szCs w:val="22"/>
        </w:rPr>
        <w:t>SBC</w:t>
      </w:r>
      <w:r w:rsidRPr="003E4E92">
        <w:rPr>
          <w:szCs w:val="22"/>
        </w:rPr>
        <w:t xml:space="preserve"> to file with the Bureau within sixty (60) calendar days</w:t>
      </w:r>
      <w:r>
        <w:rPr>
          <w:rStyle w:val="FootnoteReference"/>
          <w:szCs w:val="22"/>
        </w:rPr>
        <w:footnoteReference w:id="22"/>
      </w:r>
      <w:r w:rsidRPr="003E4E92">
        <w:rPr>
          <w:szCs w:val="22"/>
        </w:rPr>
        <w:t xml:space="preserve"> evidence</w:t>
      </w:r>
      <w:r>
        <w:rPr>
          <w:szCs w:val="22"/>
        </w:rPr>
        <w:t xml:space="preserve"> of</w:t>
      </w:r>
      <w:r w:rsidRPr="003E4E92">
        <w:rPr>
          <w:szCs w:val="22"/>
        </w:rPr>
        <w:t xml:space="preserve"> full payment of </w:t>
      </w:r>
      <w:r>
        <w:rPr>
          <w:szCs w:val="22"/>
        </w:rPr>
        <w:t>the debt,</w:t>
      </w:r>
      <w:bookmarkStart w:id="1" w:name="_GoBack"/>
      <w:bookmarkEnd w:id="1"/>
      <w:r w:rsidRPr="003E4E92">
        <w:rPr>
          <w:szCs w:val="22"/>
        </w:rPr>
        <w:t xml:space="preserve"> or show cause why the fees were inapplicable or </w:t>
      </w:r>
      <w:r w:rsidRPr="003E4E92">
        <w:rPr>
          <w:szCs w:val="22"/>
        </w:rPr>
        <w:t>should be waived or deferred.</w:t>
      </w:r>
      <w:r>
        <w:rPr>
          <w:rStyle w:val="FootnoteReference"/>
        </w:rPr>
        <w:footnoteReference w:id="23"/>
      </w:r>
      <w:r w:rsidRPr="003E4E92">
        <w:rPr>
          <w:szCs w:val="22"/>
        </w:rPr>
        <w:t xml:space="preserve">  The </w:t>
      </w:r>
      <w:r w:rsidRPr="004A7914">
        <w:rPr>
          <w:i/>
          <w:szCs w:val="22"/>
        </w:rPr>
        <w:t>Order</w:t>
      </w:r>
      <w:r w:rsidRPr="003E4E92">
        <w:rPr>
          <w:szCs w:val="22"/>
        </w:rPr>
        <w:t xml:space="preserve"> further stated that failure to provide such evidence of payment or to show cause </w:t>
      </w:r>
      <w:r w:rsidRPr="0073770A">
        <w:rPr>
          <w:szCs w:val="22"/>
        </w:rPr>
        <w:t>within the time specified could result in revocation of the Station</w:t>
      </w:r>
      <w:r>
        <w:rPr>
          <w:szCs w:val="22"/>
        </w:rPr>
        <w:t>’s license</w:t>
      </w:r>
      <w:r w:rsidRPr="0073770A">
        <w:rPr>
          <w:szCs w:val="22"/>
        </w:rPr>
        <w:t>.</w:t>
      </w:r>
      <w:r>
        <w:rPr>
          <w:rStyle w:val="FootnoteReference"/>
        </w:rPr>
        <w:footnoteReference w:id="24"/>
      </w:r>
      <w:r w:rsidRPr="0073770A">
        <w:rPr>
          <w:szCs w:val="22"/>
        </w:rPr>
        <w:t xml:space="preserve">  </w:t>
      </w:r>
    </w:p>
    <w:p w:rsidR="003837C7" w:rsidRPr="00B07EF4" w:rsidP="003837C7">
      <w:pPr>
        <w:pStyle w:val="ParaNum"/>
        <w:rPr>
          <w:spacing w:val="-2"/>
        </w:rPr>
      </w:pPr>
      <w:r>
        <w:rPr>
          <w:szCs w:val="22"/>
        </w:rPr>
        <w:t xml:space="preserve">On June 19, 2019, </w:t>
      </w:r>
      <w:r w:rsidRPr="0073770A">
        <w:rPr>
          <w:szCs w:val="22"/>
        </w:rPr>
        <w:t>SBC</w:t>
      </w:r>
      <w:r>
        <w:rPr>
          <w:szCs w:val="22"/>
        </w:rPr>
        <w:t xml:space="preserve"> responded to the </w:t>
      </w:r>
      <w:r w:rsidRPr="001C7479">
        <w:rPr>
          <w:i/>
          <w:szCs w:val="22"/>
        </w:rPr>
        <w:t>Order</w:t>
      </w:r>
      <w:r>
        <w:rPr>
          <w:szCs w:val="22"/>
        </w:rPr>
        <w:t xml:space="preserve">, stating </w:t>
      </w:r>
      <w:r w:rsidRPr="0073770A">
        <w:rPr>
          <w:szCs w:val="22"/>
        </w:rPr>
        <w:t xml:space="preserve">that </w:t>
      </w:r>
      <w:r>
        <w:rPr>
          <w:szCs w:val="22"/>
        </w:rPr>
        <w:t xml:space="preserve">it </w:t>
      </w:r>
      <w:r w:rsidRPr="0073770A">
        <w:rPr>
          <w:szCs w:val="22"/>
        </w:rPr>
        <w:t xml:space="preserve">is unable to pay its outstanding regulatory fees because the Internal Revenue Service </w:t>
      </w:r>
      <w:r>
        <w:rPr>
          <w:szCs w:val="22"/>
        </w:rPr>
        <w:t xml:space="preserve">has allegedly withheld </w:t>
      </w:r>
      <w:r w:rsidRPr="0073770A">
        <w:rPr>
          <w:szCs w:val="22"/>
        </w:rPr>
        <w:t xml:space="preserve">a </w:t>
      </w:r>
      <w:r>
        <w:rPr>
          <w:szCs w:val="22"/>
        </w:rPr>
        <w:t xml:space="preserve">sizeable </w:t>
      </w:r>
      <w:r w:rsidRPr="0073770A">
        <w:rPr>
          <w:szCs w:val="22"/>
        </w:rPr>
        <w:t xml:space="preserve">refund </w:t>
      </w:r>
      <w:r>
        <w:rPr>
          <w:szCs w:val="22"/>
        </w:rPr>
        <w:t>owed to SBC’s president and his wife since 1987</w:t>
      </w:r>
      <w:r w:rsidRPr="0073770A">
        <w:rPr>
          <w:szCs w:val="22"/>
        </w:rPr>
        <w:t>.</w:t>
      </w:r>
      <w:r>
        <w:rPr>
          <w:rStyle w:val="FootnoteReference"/>
          <w:szCs w:val="22"/>
        </w:rPr>
        <w:footnoteReference w:id="25"/>
      </w:r>
      <w:r w:rsidRPr="0073770A">
        <w:rPr>
          <w:szCs w:val="22"/>
        </w:rPr>
        <w:t xml:space="preserve">  </w:t>
      </w:r>
    </w:p>
    <w:p w:rsidR="003837C7" w:rsidRPr="00B07EF4" w:rsidP="003837C7">
      <w:pPr>
        <w:pStyle w:val="Heading1"/>
      </w:pPr>
      <w:r>
        <w:t>discussion</w:t>
      </w:r>
    </w:p>
    <w:p w:rsidR="003837C7" w:rsidRPr="00BE687E" w:rsidP="003837C7">
      <w:pPr>
        <w:pStyle w:val="ParaNum"/>
        <w:spacing w:after="160"/>
        <w:rPr>
          <w:spacing w:val="-2"/>
          <w:szCs w:val="22"/>
        </w:rPr>
      </w:pPr>
      <w:r>
        <w:rPr>
          <w:szCs w:val="22"/>
        </w:rPr>
        <w:t xml:space="preserve">The </w:t>
      </w:r>
      <w:r w:rsidRPr="00626FF8">
        <w:rPr>
          <w:i/>
          <w:szCs w:val="22"/>
        </w:rPr>
        <w:t>Order</w:t>
      </w:r>
      <w:r>
        <w:rPr>
          <w:szCs w:val="22"/>
        </w:rPr>
        <w:t xml:space="preserve"> requires SBC to do one of two things—demonstrate that it has paid the Station’s outstanding regulatory fee debt, including penalties, interest and costs, in full, or demonstrate that the fees are inapplicable or should be waived or deferred.</w:t>
      </w:r>
      <w:r>
        <w:rPr>
          <w:rStyle w:val="FootnoteReference"/>
        </w:rPr>
        <w:footnoteReference w:id="26"/>
      </w:r>
      <w:r>
        <w:rPr>
          <w:szCs w:val="22"/>
        </w:rPr>
        <w:t xml:space="preserve">  SBC</w:t>
      </w:r>
      <w:r w:rsidRPr="001062EA">
        <w:rPr>
          <w:szCs w:val="22"/>
        </w:rPr>
        <w:t xml:space="preserve"> </w:t>
      </w:r>
      <w:r>
        <w:rPr>
          <w:szCs w:val="22"/>
        </w:rPr>
        <w:t xml:space="preserve">has not provided any proof </w:t>
      </w:r>
      <w:r w:rsidRPr="001062EA">
        <w:rPr>
          <w:szCs w:val="22"/>
        </w:rPr>
        <w:t>that payment ha</w:t>
      </w:r>
      <w:r>
        <w:rPr>
          <w:szCs w:val="22"/>
        </w:rPr>
        <w:t>s</w:t>
      </w:r>
      <w:r w:rsidRPr="001062EA">
        <w:rPr>
          <w:szCs w:val="22"/>
        </w:rPr>
        <w:t xml:space="preserve"> been made</w:t>
      </w:r>
      <w:r>
        <w:rPr>
          <w:szCs w:val="22"/>
        </w:rPr>
        <w:t>, nor has it denied that the fees are owed or are applicable.  Instead, SBC seems to be arguing that it is financially unable to pay the delinquent fees until the Internal Revenue Service issues the refund SBC’s president believes he and his wife are owed.</w:t>
      </w:r>
      <w:r>
        <w:rPr>
          <w:rStyle w:val="FootnoteReference"/>
          <w:szCs w:val="22"/>
        </w:rPr>
        <w:footnoteReference w:id="27"/>
      </w:r>
      <w:r>
        <w:rPr>
          <w:szCs w:val="22"/>
        </w:rPr>
        <w:t xml:space="preserve">  While not expressly framed as such, we will therefore treat the </w:t>
      </w:r>
      <w:r w:rsidRPr="00661604">
        <w:rPr>
          <w:szCs w:val="22"/>
        </w:rPr>
        <w:t>Response</w:t>
      </w:r>
      <w:r>
        <w:rPr>
          <w:szCs w:val="22"/>
        </w:rPr>
        <w:t xml:space="preserve"> as a request for waiver and/or deferral of fees based on financial hardship.  </w:t>
      </w:r>
      <w:r w:rsidRPr="003C7747">
        <w:rPr>
          <w:i/>
          <w:szCs w:val="22"/>
        </w:rPr>
        <w:t xml:space="preserve">  </w:t>
      </w:r>
    </w:p>
    <w:p w:rsidR="003837C7" w:rsidP="003837C7">
      <w:pPr>
        <w:pStyle w:val="ParaNum"/>
      </w:pPr>
      <w:r>
        <w:t>The Commission recognizes that in certain instances, payment of a fee may impose an undue financial hardship upon a licensee, and the fee may be waived, reduced or deferred upon a showing of good cause and a finding that the public interest will be served thereby.</w:t>
      </w:r>
      <w:r>
        <w:rPr>
          <w:rStyle w:val="FootnoteReference"/>
          <w:szCs w:val="22"/>
        </w:rPr>
        <w:footnoteReference w:id="28"/>
      </w:r>
      <w:r w:rsidRPr="00916976">
        <w:t xml:space="preserve"> </w:t>
      </w:r>
      <w:r>
        <w:t xml:space="preserve"> </w:t>
      </w:r>
      <w:r w:rsidRPr="00916976">
        <w:t xml:space="preserve">The </w:t>
      </w:r>
      <w:r w:rsidRPr="00514B47">
        <w:rPr>
          <w:szCs w:val="22"/>
        </w:rPr>
        <w:t>Commission has narrowly interpreted its waiver authority to require a showing of compelling and extraordinary circumstances that outweigh the public interest in recouping the Commission’s regulatory costs.</w:t>
      </w:r>
      <w:r>
        <w:rPr>
          <w:rStyle w:val="FootnoteReference"/>
          <w:szCs w:val="22"/>
        </w:rPr>
        <w:footnoteReference w:id="29"/>
      </w:r>
      <w:r w:rsidRPr="00514B47">
        <w:rPr>
          <w:szCs w:val="22"/>
        </w:rPr>
        <w:t xml:space="preserve">  The required showing of financial hardship i</w:t>
      </w:r>
      <w:r w:rsidRPr="001000A8">
        <w:rPr>
          <w:szCs w:val="22"/>
        </w:rPr>
        <w:t>s more than mere allegations of financial hardship, standing alone.</w:t>
      </w:r>
      <w:r>
        <w:rPr>
          <w:rStyle w:val="FootnoteReference"/>
          <w:szCs w:val="22"/>
        </w:rPr>
        <w:footnoteReference w:id="30"/>
      </w:r>
      <w:r w:rsidRPr="00514B47">
        <w:rPr>
          <w:szCs w:val="22"/>
        </w:rPr>
        <w:t xml:space="preserve">  Rather, as the Commission has held, “it is incumbent upon each </w:t>
      </w:r>
      <w:r w:rsidRPr="00514B47">
        <w:rPr>
          <w:szCs w:val="22"/>
        </w:rPr>
        <w:t>regulatee</w:t>
      </w:r>
      <w:r w:rsidRPr="00514B47">
        <w:rPr>
          <w:szCs w:val="22"/>
        </w:rPr>
        <w:t xml:space="preserve"> to fully document its financial position and show that it lacks sufficient funds to pay the regulatory fee and to maintain its service to the public.”</w:t>
      </w:r>
      <w:r>
        <w:rPr>
          <w:rStyle w:val="FootnoteReference"/>
          <w:szCs w:val="22"/>
        </w:rPr>
        <w:footnoteReference w:id="31"/>
      </w:r>
      <w:r w:rsidRPr="00514B47">
        <w:rPr>
          <w:szCs w:val="22"/>
        </w:rPr>
        <w:t xml:space="preserve"> </w:t>
      </w:r>
      <w:r>
        <w:rPr>
          <w:szCs w:val="22"/>
        </w:rPr>
        <w:t xml:space="preserve"> </w:t>
      </w:r>
      <w:r w:rsidRPr="00514B47">
        <w:rPr>
          <w:szCs w:val="22"/>
        </w:rPr>
        <w:t xml:space="preserve">Relevant financial documents a licensee should produce to support a financial hardship waiver request include the licensee’s balance sheet and profit and loss statement (audited if available), a cash flow projection for the next twelve months (with an explanation of how calculated), and a list of the licensee’s officers and their individual compensation, </w:t>
      </w:r>
      <w:r w:rsidRPr="001000A8">
        <w:rPr>
          <w:szCs w:val="22"/>
        </w:rPr>
        <w:t>as well as any other financial</w:t>
      </w:r>
      <w:r>
        <w:t xml:space="preserve"> </w:t>
      </w:r>
      <w:r>
        <w:t xml:space="preserve">documentation the </w:t>
      </w:r>
      <w:r>
        <w:t>regulatee</w:t>
      </w:r>
      <w:r>
        <w:t xml:space="preserve"> believes is necessary to prove its financial hardship.</w:t>
      </w:r>
      <w:r w:rsidRPr="00FF2FBB">
        <w:t xml:space="preserve"> </w:t>
      </w:r>
      <w:r>
        <w:t xml:space="preserve"> On this information, the Commission considers on a case-by-case basis whether the licensee has met the requisite standard for a waiver based on financial hardship.</w:t>
      </w:r>
      <w:r>
        <w:rPr>
          <w:rStyle w:val="FootnoteReference"/>
          <w:sz w:val="24"/>
          <w:szCs w:val="24"/>
        </w:rPr>
        <w:footnoteReference w:id="32"/>
      </w:r>
      <w:r>
        <w:t xml:space="preserve">  </w:t>
      </w:r>
    </w:p>
    <w:p w:rsidR="003837C7" w:rsidP="003837C7">
      <w:pPr>
        <w:pStyle w:val="ParaNum"/>
      </w:pPr>
      <w:r w:rsidRPr="003B2B7C">
        <w:t>Here, SBC’s claim of financial hardship is u</w:t>
      </w:r>
      <w:r>
        <w:t>n</w:t>
      </w:r>
      <w:r w:rsidRPr="003B2B7C">
        <w:t xml:space="preserve">substantiated.  The only evidence submitted by SBC relates to an </w:t>
      </w:r>
      <w:r>
        <w:t>apparently unresolved</w:t>
      </w:r>
      <w:r w:rsidRPr="003B2B7C">
        <w:t xml:space="preserve"> dispute with the </w:t>
      </w:r>
      <w:r>
        <w:t>Internal Revenue Service</w:t>
      </w:r>
      <w:r w:rsidRPr="003B2B7C">
        <w:t xml:space="preserve"> over a refund that SBC</w:t>
      </w:r>
      <w:r>
        <w:t>’s President</w:t>
      </w:r>
      <w:r w:rsidRPr="003B2B7C">
        <w:t xml:space="preserve"> believes is owed</w:t>
      </w:r>
      <w:r>
        <w:t xml:space="preserve"> to himself and his </w:t>
      </w:r>
      <w:r>
        <w:t>wife ,</w:t>
      </w:r>
      <w:r>
        <w:t xml:space="preserve"> individually</w:t>
      </w:r>
      <w:r w:rsidRPr="003B2B7C">
        <w:t xml:space="preserve">.  </w:t>
      </w:r>
      <w:r>
        <w:t xml:space="preserve">SBC has provided no documentary evidence that SBC itself is financially unable to pay the outstanding regulatory fee debt.  In failing to provide the required documentation, SBC has not met </w:t>
      </w:r>
      <w:r w:rsidRPr="00916976">
        <w:t xml:space="preserve">its burden of </w:t>
      </w:r>
      <w:r>
        <w:t>showing extraordinary and compelling circumstances outweighing the public interest to justify a waiver of its outstanding regulatory fee obligations.</w:t>
      </w:r>
      <w:r>
        <w:rPr>
          <w:rStyle w:val="FootnoteReference"/>
        </w:rPr>
        <w:footnoteReference w:id="33"/>
      </w:r>
      <w:r>
        <w:t xml:space="preserve">  </w:t>
      </w:r>
    </w:p>
    <w:p w:rsidR="003837C7" w:rsidP="003837C7">
      <w:pPr>
        <w:pStyle w:val="ParaNum"/>
      </w:pPr>
      <w:r>
        <w:t xml:space="preserve">Accordingly, we </w:t>
      </w:r>
      <w:r>
        <w:rPr>
          <w:szCs w:val="22"/>
        </w:rPr>
        <w:t xml:space="preserve">find SBC has not made the showings required by the </w:t>
      </w:r>
      <w:r w:rsidRPr="005D368A">
        <w:rPr>
          <w:i/>
          <w:szCs w:val="22"/>
        </w:rPr>
        <w:t>Order</w:t>
      </w:r>
      <w:r>
        <w:rPr>
          <w:szCs w:val="22"/>
        </w:rPr>
        <w:t xml:space="preserve"> and </w:t>
      </w:r>
      <w:r w:rsidRPr="003C7747">
        <w:rPr>
          <w:szCs w:val="22"/>
        </w:rPr>
        <w:t>we revoke SBC’s license for</w:t>
      </w:r>
      <w:r>
        <w:rPr>
          <w:szCs w:val="22"/>
        </w:rPr>
        <w:t xml:space="preserve"> the Station</w:t>
      </w:r>
      <w:r w:rsidRPr="003C7747">
        <w:rPr>
          <w:szCs w:val="22"/>
        </w:rPr>
        <w:t>.</w:t>
      </w:r>
      <w:r>
        <w:rPr>
          <w:rStyle w:val="FootnoteReference"/>
        </w:rPr>
        <w:footnoteReference w:id="34"/>
      </w:r>
      <w:r>
        <w:t xml:space="preserve">  </w:t>
      </w:r>
      <w:r w:rsidRPr="005E2D50">
        <w:t xml:space="preserve">We note </w:t>
      </w:r>
      <w:r>
        <w:t>that t</w:t>
      </w:r>
      <w:r w:rsidRPr="007D165B">
        <w:t xml:space="preserve">his </w:t>
      </w:r>
      <w:r w:rsidRPr="005D368A">
        <w:rPr>
          <w:i/>
        </w:rPr>
        <w:t>Revocation Order</w:t>
      </w:r>
      <w:r w:rsidRPr="007D165B">
        <w:t xml:space="preserve"> does not relieve </w:t>
      </w:r>
      <w:r>
        <w:t>SBC</w:t>
      </w:r>
      <w:r w:rsidRPr="007D165B">
        <w:t xml:space="preserve"> of its obligation to pay any debt, </w:t>
      </w:r>
      <w:r>
        <w:t xml:space="preserve">including </w:t>
      </w:r>
      <w:r w:rsidRPr="007D165B">
        <w:t xml:space="preserve">any regulatory fee, or any other financial obligation that </w:t>
      </w:r>
      <w:r>
        <w:t>is owed or may in the future be owed to the Commission</w:t>
      </w:r>
      <w:r w:rsidRPr="007D165B">
        <w:t>.</w:t>
      </w:r>
      <w:r w:rsidRPr="0064074D">
        <w:rPr>
          <w:i/>
        </w:rPr>
        <w:t xml:space="preserve">  </w:t>
      </w:r>
      <w:r w:rsidRPr="001931C7">
        <w:t>We further note that</w:t>
      </w:r>
      <w:r w:rsidRPr="005E2D50">
        <w:t xml:space="preserve"> </w:t>
      </w:r>
      <w:r>
        <w:t>SBC</w:t>
      </w:r>
      <w:r w:rsidRPr="005E2D50">
        <w:t xml:space="preserve"> may have been or </w:t>
      </w:r>
      <w:r>
        <w:t xml:space="preserve">may </w:t>
      </w:r>
      <w:r w:rsidRPr="005E2D50">
        <w:t xml:space="preserve">continue </w:t>
      </w:r>
      <w:r>
        <w:t>to be</w:t>
      </w:r>
      <w:r w:rsidRPr="005E2D50">
        <w:t xml:space="preserve"> a respondent in other administrative proceedings.  Action in this proceeding is without prejudice to action in those proceedings, and the existence of those proceedings and matters raised therein are not considered by the C</w:t>
      </w:r>
      <w:r>
        <w:t>o</w:t>
      </w:r>
      <w:r w:rsidRPr="005E2D50">
        <w:t>mmission in this proceeding.</w:t>
      </w:r>
    </w:p>
    <w:p w:rsidR="003837C7" w:rsidRPr="00312D7B" w:rsidP="003837C7">
      <w:pPr>
        <w:pStyle w:val="Heading1"/>
      </w:pPr>
      <w:r w:rsidRPr="00312D7B">
        <w:t>ORDERING CLAUSES</w:t>
      </w:r>
    </w:p>
    <w:p w:rsidR="003837C7" w:rsidRPr="003E4E92" w:rsidP="003837C7">
      <w:pPr>
        <w:pStyle w:val="ParaNum"/>
        <w:widowControl/>
        <w:spacing w:after="160"/>
        <w:rPr>
          <w:spacing w:val="-2"/>
          <w:szCs w:val="22"/>
        </w:rPr>
      </w:pPr>
      <w:r w:rsidRPr="003E4E92">
        <w:rPr>
          <w:szCs w:val="22"/>
        </w:rPr>
        <w:t xml:space="preserve">Accordingly, </w:t>
      </w:r>
      <w:r w:rsidRPr="003E4E92">
        <w:rPr>
          <w:b/>
          <w:szCs w:val="22"/>
        </w:rPr>
        <w:t>IT IS ORDERED</w:t>
      </w:r>
      <w:r w:rsidRPr="003E4E92">
        <w:rPr>
          <w:szCs w:val="22"/>
        </w:rPr>
        <w:t xml:space="preserve"> that, pursuant to </w:t>
      </w:r>
      <w:r>
        <w:rPr>
          <w:szCs w:val="22"/>
        </w:rPr>
        <w:t>s</w:t>
      </w:r>
      <w:r w:rsidRPr="0002259B">
        <w:rPr>
          <w:szCs w:val="22"/>
        </w:rPr>
        <w:t>ection 9A(c)(4)</w:t>
      </w:r>
      <w:r w:rsidRPr="003E4E92">
        <w:rPr>
          <w:szCs w:val="22"/>
        </w:rPr>
        <w:t xml:space="preserve"> of the Act and </w:t>
      </w:r>
      <w:r>
        <w:rPr>
          <w:szCs w:val="22"/>
        </w:rPr>
        <w:t>s</w:t>
      </w:r>
      <w:r w:rsidRPr="003E4E92">
        <w:rPr>
          <w:szCs w:val="22"/>
        </w:rPr>
        <w:t>ections 0.11, 0.61, 0.231, 0.283, and 1.1164(f) of the Rules,</w:t>
      </w:r>
      <w:r>
        <w:rPr>
          <w:szCs w:val="22"/>
          <w:vertAlign w:val="superscript"/>
        </w:rPr>
        <w:footnoteReference w:id="35"/>
      </w:r>
      <w:r w:rsidRPr="003E4E92">
        <w:rPr>
          <w:szCs w:val="22"/>
        </w:rPr>
        <w:t xml:space="preserve"> the license of </w:t>
      </w:r>
      <w:r>
        <w:rPr>
          <w:szCs w:val="22"/>
        </w:rPr>
        <w:t>Shelley Broadcasting Co., Inc.,</w:t>
      </w:r>
      <w:r w:rsidRPr="003E4E92">
        <w:rPr>
          <w:szCs w:val="22"/>
        </w:rPr>
        <w:t xml:space="preserve"> for Station </w:t>
      </w:r>
      <w:r>
        <w:rPr>
          <w:szCs w:val="22"/>
        </w:rPr>
        <w:t>WGEA</w:t>
      </w:r>
      <w:r w:rsidRPr="003E4E92">
        <w:rPr>
          <w:szCs w:val="22"/>
        </w:rPr>
        <w:t>(AM)</w:t>
      </w:r>
      <w:r>
        <w:rPr>
          <w:szCs w:val="22"/>
        </w:rPr>
        <w:t>, Geneva, Alabama</w:t>
      </w:r>
      <w:r w:rsidRPr="003E4E92">
        <w:rPr>
          <w:szCs w:val="22"/>
        </w:rPr>
        <w:t xml:space="preserve"> </w:t>
      </w:r>
      <w:r w:rsidRPr="003E4E92">
        <w:rPr>
          <w:b/>
          <w:szCs w:val="22"/>
        </w:rPr>
        <w:t>IS HEREBY</w:t>
      </w:r>
      <w:r w:rsidRPr="003E4E92">
        <w:rPr>
          <w:szCs w:val="22"/>
        </w:rPr>
        <w:t xml:space="preserve"> </w:t>
      </w:r>
      <w:r w:rsidRPr="003E4E92">
        <w:rPr>
          <w:b/>
          <w:szCs w:val="22"/>
        </w:rPr>
        <w:t>REVOKED</w:t>
      </w:r>
      <w:r w:rsidRPr="00253A88">
        <w:rPr>
          <w:szCs w:val="22"/>
        </w:rPr>
        <w:t>.</w:t>
      </w:r>
    </w:p>
    <w:p w:rsidR="003837C7" w:rsidP="003837C7">
      <w:pPr>
        <w:pStyle w:val="ParaNum"/>
        <w:widowControl/>
        <w:spacing w:after="160"/>
      </w:pPr>
      <w:r>
        <w:rPr>
          <w:b/>
        </w:rPr>
        <w:t xml:space="preserve">IT IS FURTHER ORDERED </w:t>
      </w:r>
      <w:r w:rsidRPr="00A27577">
        <w:t>that all authority to operate this facility</w:t>
      </w:r>
      <w:r>
        <w:rPr>
          <w:b/>
        </w:rPr>
        <w:t xml:space="preserve"> IS TERMINATED </w:t>
      </w:r>
      <w:r w:rsidRPr="00A27577">
        <w:t xml:space="preserve">and any operation of the facility </w:t>
      </w:r>
      <w:r w:rsidRPr="00F21171">
        <w:rPr>
          <w:b/>
        </w:rPr>
        <w:t>is now unauthorized and must cease immediately</w:t>
      </w:r>
      <w:r w:rsidRPr="00A27577">
        <w:t>.</w:t>
      </w:r>
      <w:r>
        <w:rPr>
          <w:rStyle w:val="FootnoteReference"/>
        </w:rPr>
        <w:footnoteReference w:id="36"/>
      </w:r>
    </w:p>
    <w:p w:rsidR="003837C7" w:rsidP="003837C7">
      <w:pPr>
        <w:pStyle w:val="ParaNum"/>
        <w:widowControl/>
        <w:spacing w:after="160"/>
      </w:pPr>
      <w:r>
        <w:rPr>
          <w:b/>
        </w:rPr>
        <w:t xml:space="preserve">IT IS FURTHER ORDERED </w:t>
      </w:r>
      <w:r>
        <w:t xml:space="preserve">that the Commission’s public and internal database will be modified to reflect the revocation, and the Station’s call sign </w:t>
      </w:r>
      <w:r w:rsidRPr="00733AA3">
        <w:rPr>
          <w:b/>
        </w:rPr>
        <w:t>IS HEREBY DELETED</w:t>
      </w:r>
      <w:r>
        <w:t>.</w:t>
      </w:r>
    </w:p>
    <w:p w:rsidR="003837C7" w:rsidRPr="00131058" w:rsidP="003837C7">
      <w:pPr>
        <w:pStyle w:val="ParaNum"/>
        <w:widowControl/>
        <w:spacing w:after="160"/>
      </w:pPr>
      <w:r w:rsidRPr="00B65710">
        <w:rPr>
          <w:b/>
        </w:rPr>
        <w:t>IT IS FURTHER ORDERED</w:t>
      </w:r>
      <w:r>
        <w:t xml:space="preserve"> that the renewal application filed on December 12, 2011 (File No. BR-20111212AHG) </w:t>
      </w:r>
      <w:r w:rsidRPr="00B65710">
        <w:rPr>
          <w:b/>
        </w:rPr>
        <w:t>IS DISMISSED</w:t>
      </w:r>
      <w:r>
        <w:t>.</w:t>
      </w:r>
    </w:p>
    <w:p w:rsidR="003837C7" w:rsidP="003837C7">
      <w:pPr>
        <w:widowControl/>
        <w:rPr>
          <w:b/>
          <w:szCs w:val="22"/>
        </w:rPr>
      </w:pPr>
      <w:r>
        <w:rPr>
          <w:b/>
          <w:szCs w:val="22"/>
        </w:rPr>
        <w:br w:type="page"/>
      </w:r>
    </w:p>
    <w:p w:rsidR="003837C7" w:rsidRPr="004371FB" w:rsidP="003837C7">
      <w:pPr>
        <w:pStyle w:val="ParaNum"/>
        <w:widowControl/>
        <w:spacing w:after="160"/>
      </w:pPr>
      <w:r w:rsidRPr="003E4E92">
        <w:rPr>
          <w:b/>
          <w:szCs w:val="22"/>
        </w:rPr>
        <w:t xml:space="preserve">IT IS FURTHER ORDERED </w:t>
      </w:r>
      <w:r w:rsidRPr="003E4E92">
        <w:rPr>
          <w:szCs w:val="22"/>
        </w:rPr>
        <w:t xml:space="preserve">that a copy of this Order shall be sent by first class mail and registered mail, return receipt requested, to </w:t>
      </w:r>
      <w:r>
        <w:t xml:space="preserve">Mr. H. Jack Mizell, </w:t>
      </w:r>
      <w:r w:rsidRPr="001F3818">
        <w:rPr>
          <w:szCs w:val="22"/>
        </w:rPr>
        <w:t>Shelley Broadcasting Company, Inc, 409 E. Broad Street, Ozark, AL 36360</w:t>
      </w:r>
      <w:r w:rsidRPr="004371FB">
        <w:t>.</w:t>
      </w:r>
    </w:p>
    <w:p w:rsidR="003837C7" w:rsidRPr="004371FB" w:rsidP="003837C7">
      <w:pPr>
        <w:keepNext/>
        <w:keepLines/>
        <w:spacing w:before="240"/>
        <w:ind w:left="4320"/>
        <w:rPr>
          <w:color w:val="000000"/>
        </w:rPr>
      </w:pPr>
      <w:r w:rsidRPr="004371FB">
        <w:rPr>
          <w:color w:val="000000"/>
        </w:rPr>
        <w:t>FEDERAL COMMUNICATIONS COMMISSION</w:t>
      </w:r>
    </w:p>
    <w:p w:rsidR="003837C7" w:rsidRPr="004371FB" w:rsidP="003837C7">
      <w:pPr>
        <w:keepNext/>
        <w:keepLines/>
        <w:ind w:left="4320"/>
        <w:rPr>
          <w:color w:val="000000"/>
        </w:rPr>
      </w:pPr>
    </w:p>
    <w:p w:rsidR="003837C7" w:rsidRPr="004371FB" w:rsidP="003837C7">
      <w:pPr>
        <w:keepNext/>
        <w:keepLines/>
        <w:ind w:left="4320"/>
        <w:rPr>
          <w:color w:val="000000"/>
        </w:rPr>
      </w:pPr>
    </w:p>
    <w:p w:rsidR="003837C7" w:rsidRPr="004371FB" w:rsidP="003837C7">
      <w:pPr>
        <w:keepNext/>
        <w:keepLines/>
        <w:ind w:left="4320"/>
        <w:rPr>
          <w:color w:val="000000"/>
        </w:rPr>
      </w:pPr>
    </w:p>
    <w:p w:rsidR="003837C7" w:rsidRPr="004371FB" w:rsidP="003837C7">
      <w:pPr>
        <w:keepNext/>
        <w:keepLines/>
        <w:ind w:left="4320"/>
        <w:rPr>
          <w:color w:val="000000"/>
        </w:rPr>
      </w:pPr>
      <w:r w:rsidRPr="004371FB">
        <w:rPr>
          <w:color w:val="000000"/>
        </w:rPr>
        <w:tab/>
      </w:r>
      <w:r w:rsidRPr="004371FB">
        <w:rPr>
          <w:color w:val="000000"/>
        </w:rPr>
        <w:tab/>
      </w:r>
      <w:r w:rsidRPr="004371FB">
        <w:rPr>
          <w:color w:val="000000"/>
        </w:rPr>
        <w:tab/>
      </w:r>
      <w:r w:rsidRPr="004371FB">
        <w:rPr>
          <w:color w:val="000000"/>
        </w:rPr>
        <w:tab/>
      </w:r>
      <w:r w:rsidRPr="004371FB">
        <w:rPr>
          <w:color w:val="000000"/>
        </w:rPr>
        <w:tab/>
      </w:r>
    </w:p>
    <w:p w:rsidR="003837C7" w:rsidRPr="004371FB" w:rsidP="003837C7">
      <w:pPr>
        <w:ind w:left="4320"/>
      </w:pPr>
      <w:r w:rsidRPr="004371FB">
        <w:t>Michelle M. Carey, Chief</w:t>
      </w:r>
    </w:p>
    <w:p w:rsidR="003837C7" w:rsidP="003837C7">
      <w:pPr>
        <w:ind w:left="4320"/>
      </w:pPr>
      <w:r w:rsidRPr="004371FB">
        <w:t>Media Bureau</w:t>
      </w:r>
    </w:p>
    <w:p w:rsidR="003837C7" w:rsidP="003837C7">
      <w:pPr>
        <w:ind w:left="4320"/>
      </w:pPr>
    </w:p>
    <w:p w:rsidR="003837C7" w:rsidP="003837C7">
      <w:pPr>
        <w:ind w:left="4320"/>
      </w:pPr>
    </w:p>
    <w:p w:rsidR="003837C7" w:rsidP="003837C7">
      <w:pPr>
        <w:ind w:left="4320"/>
      </w:pPr>
    </w:p>
    <w:p w:rsidR="003837C7" w:rsidP="003837C7">
      <w:pPr>
        <w:ind w:left="4320"/>
      </w:pPr>
    </w:p>
    <w:p w:rsidR="003837C7" w:rsidP="003837C7">
      <w:pPr>
        <w:ind w:left="4320"/>
      </w:pPr>
      <w:r>
        <w:t>Mark Stephens, Managing Director</w:t>
      </w:r>
    </w:p>
    <w:p w:rsidR="003837C7" w:rsidRPr="00E11550" w:rsidP="003837C7">
      <w:pPr>
        <w:ind w:left="4320"/>
      </w:pPr>
      <w:r>
        <w:t>Office of Managing Director</w:t>
      </w:r>
    </w:p>
    <w:p w:rsidR="003837C7" w:rsidRPr="004371FB" w:rsidP="003837C7">
      <w:pPr>
        <w:ind w:left="4320"/>
      </w:pPr>
    </w:p>
    <w:p w:rsidR="00412FC5" w:rsidRPr="003837C7" w:rsidP="003837C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37C7">
      <w:r>
        <w:separator/>
      </w:r>
    </w:p>
  </w:footnote>
  <w:footnote w:type="continuationSeparator" w:id="1">
    <w:p w:rsidR="003837C7" w:rsidP="00C721AC">
      <w:pPr>
        <w:spacing w:before="120"/>
        <w:rPr>
          <w:sz w:val="20"/>
        </w:rPr>
      </w:pPr>
      <w:r>
        <w:rPr>
          <w:sz w:val="20"/>
        </w:rPr>
        <w:t xml:space="preserve">(Continued from previous page)  </w:t>
      </w:r>
      <w:r>
        <w:rPr>
          <w:sz w:val="20"/>
        </w:rPr>
        <w:separator/>
      </w:r>
    </w:p>
  </w:footnote>
  <w:footnote w:type="continuationNotice" w:id="2">
    <w:p w:rsidR="003837C7" w:rsidP="00C721AC">
      <w:pPr>
        <w:jc w:val="right"/>
        <w:rPr>
          <w:sz w:val="20"/>
        </w:rPr>
      </w:pPr>
      <w:r>
        <w:rPr>
          <w:sz w:val="20"/>
        </w:rPr>
        <w:t>(continued….)</w:t>
      </w:r>
    </w:p>
  </w:footnote>
  <w:footnote w:id="3">
    <w:p w:rsidR="003837C7" w:rsidRPr="00B35627" w:rsidP="003837C7">
      <w:pPr>
        <w:pStyle w:val="FootnoteText"/>
      </w:pPr>
      <w:r w:rsidRPr="00B35627">
        <w:rPr>
          <w:rStyle w:val="FootnoteReference"/>
        </w:rPr>
        <w:footnoteRef/>
      </w:r>
      <w:r w:rsidRPr="00B35627">
        <w:t xml:space="preserve"> Although this </w:t>
      </w:r>
      <w:r w:rsidRPr="00B35627">
        <w:rPr>
          <w:i/>
        </w:rPr>
        <w:t xml:space="preserve">Revocation Order </w:t>
      </w:r>
      <w:r w:rsidRPr="00B35627">
        <w:t xml:space="preserve">addresses </w:t>
      </w:r>
      <w:r>
        <w:t>SBC’s</w:t>
      </w:r>
      <w:r w:rsidRPr="00B35627">
        <w:t xml:space="preserve"> failure to pay the Station’s regulatory fees for </w:t>
      </w:r>
      <w:r w:rsidRPr="00B35627">
        <w:t>a number of</w:t>
      </w:r>
      <w:r w:rsidRPr="00B35627">
        <w:t xml:space="preserve"> fiscal years, we note that </w:t>
      </w:r>
      <w:r>
        <w:t>failure to pay any</w:t>
      </w:r>
      <w:r w:rsidRPr="00B35627">
        <w:t xml:space="preserve"> </w:t>
      </w:r>
      <w:r>
        <w:t>regulatory fee, related interest or penalties, or any portion thereof is grounds for revocation</w:t>
      </w:r>
      <w:r w:rsidRPr="00B35627">
        <w:t xml:space="preserve">.  </w:t>
      </w:r>
      <w:r w:rsidRPr="004F1275">
        <w:rPr>
          <w:i/>
        </w:rPr>
        <w:t>See</w:t>
      </w:r>
      <w:r w:rsidRPr="004F1275">
        <w:t xml:space="preserve"> 47 U.S.C. § 159A(c)(4)</w:t>
      </w:r>
      <w:r>
        <w:t>(A)</w:t>
      </w:r>
      <w:r w:rsidRPr="004F1275">
        <w:t xml:space="preserve"> (“</w:t>
      </w:r>
      <w:r w:rsidRPr="004F1275">
        <w:rPr>
          <w:shd w:val="clear" w:color="auto" w:fill="FFFFFF"/>
        </w:rPr>
        <w:t>[T]he Commission may revoke any instrument of authorization held by any licensee that has not paid in a timely manner a regulatory fee assessed under section 9 or any related interest or penalty.”)</w:t>
      </w:r>
      <w:r w:rsidRPr="004F1275">
        <w:t>.</w:t>
      </w:r>
      <w:r w:rsidRPr="00B35627">
        <w:t xml:space="preserve">  </w:t>
      </w:r>
    </w:p>
  </w:footnote>
  <w:footnote w:id="4">
    <w:p w:rsidR="003837C7" w:rsidP="003837C7">
      <w:pPr>
        <w:pStyle w:val="FootnoteText"/>
      </w:pPr>
      <w:r>
        <w:rPr>
          <w:rStyle w:val="FootnoteReference"/>
        </w:rPr>
        <w:footnoteRef/>
      </w:r>
      <w:r>
        <w:t xml:space="preserve"> File No. BR-</w:t>
      </w:r>
      <w:r w:rsidRPr="007163F1">
        <w:t>20111212AHG</w:t>
      </w:r>
      <w:r>
        <w:rPr>
          <w:rFonts w:ascii="Arial" w:hAnsi="Arial" w:cs="Arial"/>
        </w:rPr>
        <w:t>.</w:t>
      </w:r>
    </w:p>
  </w:footnote>
  <w:footnote w:id="5">
    <w:p w:rsidR="003837C7" w:rsidRPr="004E0214" w:rsidP="003837C7">
      <w:pPr>
        <w:pStyle w:val="FootnoteText"/>
      </w:pPr>
      <w:r w:rsidRPr="004E0214">
        <w:rPr>
          <w:rStyle w:val="FootnoteReference"/>
        </w:rPr>
        <w:footnoteRef/>
      </w:r>
      <w:r w:rsidRPr="004E0214">
        <w:t xml:space="preserve"> 47 U.S.C. §</w:t>
      </w:r>
      <w:r>
        <w:t xml:space="preserve"> </w:t>
      </w:r>
      <w:r w:rsidRPr="004E0214">
        <w:t>159(a); 47 CFR §§ 1.1151</w:t>
      </w:r>
      <w:r>
        <w:t>-1.1167</w:t>
      </w:r>
      <w:r w:rsidRPr="004E0214">
        <w:t>.</w:t>
      </w:r>
    </w:p>
  </w:footnote>
  <w:footnote w:id="6">
    <w:p w:rsidR="003837C7" w:rsidP="003837C7">
      <w:pPr>
        <w:pStyle w:val="FootnoteText"/>
      </w:pPr>
      <w:r w:rsidRPr="004E0214">
        <w:rPr>
          <w:rStyle w:val="FootnoteReference"/>
        </w:rPr>
        <w:footnoteRef/>
      </w:r>
      <w:r w:rsidRPr="004E0214">
        <w:t xml:space="preserve"> 47 U.S.C. §</w:t>
      </w:r>
      <w:r>
        <w:t xml:space="preserve"> </w:t>
      </w:r>
      <w:r w:rsidRPr="004E0214">
        <w:t>159</w:t>
      </w:r>
      <w:r>
        <w:t>A</w:t>
      </w:r>
      <w:r w:rsidRPr="004E0214">
        <w:t xml:space="preserve">(c)(1); 47 CFR §§ </w:t>
      </w:r>
      <w:r>
        <w:t>1.1157(c)(1),</w:t>
      </w:r>
      <w:r w:rsidRPr="004E0214">
        <w:t xml:space="preserve"> 1.1164.</w:t>
      </w:r>
    </w:p>
  </w:footnote>
  <w:footnote w:id="7">
    <w:p w:rsidR="003837C7" w:rsidP="003837C7">
      <w:pPr>
        <w:pStyle w:val="FootnoteText"/>
      </w:pPr>
      <w:bookmarkStart w:id="0" w:name="_Hlk513206466"/>
      <w:bookmarkEnd w:id="0"/>
      <w:r>
        <w:rPr>
          <w:rStyle w:val="FootnoteReference"/>
        </w:rPr>
        <w:footnoteRef/>
      </w:r>
      <w:r>
        <w:t xml:space="preserve"> 47 U.S.C. § 159A</w:t>
      </w:r>
      <w:r w:rsidRPr="00141957">
        <w:t>(c)(4)</w:t>
      </w:r>
      <w:r>
        <w:t xml:space="preserve">(A); </w:t>
      </w:r>
      <w:r w:rsidRPr="005E2D50">
        <w:t>47 CFR § 1.1164(f).</w:t>
      </w:r>
      <w:r>
        <w:t xml:space="preserve">  </w:t>
      </w:r>
    </w:p>
  </w:footnote>
  <w:footnote w:id="8">
    <w:p w:rsidR="003837C7" w:rsidP="003837C7">
      <w:pPr>
        <w:pStyle w:val="FootnoteText"/>
      </w:pPr>
      <w:r>
        <w:rPr>
          <w:rStyle w:val="FootnoteReference"/>
        </w:rPr>
        <w:footnoteRef/>
      </w:r>
      <w:r>
        <w:t xml:space="preserve"> </w:t>
      </w:r>
      <w:r>
        <w:rPr>
          <w:i/>
        </w:rPr>
        <w:t xml:space="preserve">See Payment Methods and Procedures for Fiscal Year 2008 Regulatory Fees, </w:t>
      </w:r>
      <w:r>
        <w:t xml:space="preserve">Public Notice, 23 FCC </w:t>
      </w:r>
      <w:r>
        <w:t>Rcd</w:t>
      </w:r>
      <w:r>
        <w:t xml:space="preserve"> 12849 (OMD 2008).</w:t>
      </w:r>
    </w:p>
  </w:footnote>
  <w:footnote w:id="9">
    <w:p w:rsidR="003837C7" w:rsidRPr="00774B6B" w:rsidP="003837C7">
      <w:pPr>
        <w:pStyle w:val="FootnoteText"/>
      </w:pPr>
      <w:r>
        <w:rPr>
          <w:rStyle w:val="FootnoteReference"/>
        </w:rPr>
        <w:footnoteRef/>
      </w:r>
      <w:r>
        <w:t xml:space="preserve"> </w:t>
      </w:r>
      <w:r>
        <w:rPr>
          <w:i/>
        </w:rPr>
        <w:t xml:space="preserve">See Payment Methods and Procedures for Fiscal Year 2009 Regulatory Fees, </w:t>
      </w:r>
      <w:r>
        <w:t xml:space="preserve">Public Notice, 24 FCC </w:t>
      </w:r>
      <w:r>
        <w:t>Rcd</w:t>
      </w:r>
      <w:r>
        <w:t xml:space="preserve"> 11513 (OMD 2009). </w:t>
      </w:r>
    </w:p>
  </w:footnote>
  <w:footnote w:id="10">
    <w:p w:rsidR="003837C7" w:rsidP="003837C7">
      <w:pPr>
        <w:pStyle w:val="FootnoteText"/>
      </w:pPr>
      <w:r>
        <w:rPr>
          <w:rStyle w:val="FootnoteReference"/>
        </w:rPr>
        <w:footnoteRef/>
      </w:r>
      <w:r>
        <w:t xml:space="preserve"> </w:t>
      </w:r>
      <w:r>
        <w:rPr>
          <w:i/>
          <w:iCs/>
        </w:rPr>
        <w:t xml:space="preserve">See Payment Methods and Procedures for Fiscal Year 2010 Regulatory Fees, </w:t>
      </w:r>
      <w:r>
        <w:t xml:space="preserve">Public Notice, 25 FCC </w:t>
      </w:r>
      <w:r>
        <w:t>Rcd</w:t>
      </w:r>
      <w:r>
        <w:t xml:space="preserve"> 10670 (OMD 2010).</w:t>
      </w:r>
    </w:p>
  </w:footnote>
  <w:footnote w:id="11">
    <w:p w:rsidR="003837C7" w:rsidP="003837C7">
      <w:pPr>
        <w:pStyle w:val="FootnoteText"/>
      </w:pPr>
      <w:r>
        <w:rPr>
          <w:rStyle w:val="FootnoteReference"/>
        </w:rPr>
        <w:footnoteRef/>
      </w:r>
      <w:r>
        <w:rPr>
          <w:i/>
          <w:iCs/>
        </w:rPr>
        <w:t xml:space="preserve">FY 2011 Regulatory Fee Deadline is Extended to 11:59 PM, ET, September 16, 2011, </w:t>
      </w:r>
      <w:r>
        <w:t xml:space="preserve">Public Notice, 26 FCC </w:t>
      </w:r>
      <w:r>
        <w:t>Rcd</w:t>
      </w:r>
      <w:r>
        <w:t xml:space="preserve"> 10329 (OMD 2011).</w:t>
      </w:r>
    </w:p>
  </w:footnote>
  <w:footnote w:id="12">
    <w:p w:rsidR="003837C7" w:rsidP="003837C7">
      <w:pPr>
        <w:pStyle w:val="FootnoteText"/>
      </w:pPr>
      <w:r>
        <w:rPr>
          <w:rStyle w:val="FootnoteReference"/>
        </w:rPr>
        <w:footnoteRef/>
      </w:r>
      <w:r>
        <w:t xml:space="preserve"> </w:t>
      </w:r>
      <w:r>
        <w:rPr>
          <w:i/>
          <w:iCs/>
        </w:rPr>
        <w:t>See Reminder That FY 2012 Regulatory Fees Are Due No Later Than September 13, 2012, Eastern Time (ET)</w:t>
      </w:r>
      <w:r>
        <w:t xml:space="preserve">, Public Notice, 27 FCC </w:t>
      </w:r>
      <w:r>
        <w:t>Rcd</w:t>
      </w:r>
      <w:r>
        <w:t xml:space="preserve"> 10297 (OMD 2012</w:t>
      </w:r>
      <w:r>
        <w:rPr>
          <w:color w:val="000000"/>
        </w:rPr>
        <w:t>)</w:t>
      </w:r>
      <w:r>
        <w:t>.</w:t>
      </w:r>
    </w:p>
  </w:footnote>
  <w:footnote w:id="13">
    <w:p w:rsidR="003837C7" w:rsidP="003837C7">
      <w:pPr>
        <w:pStyle w:val="FootnoteText"/>
      </w:pPr>
      <w:r>
        <w:rPr>
          <w:rStyle w:val="FootnoteReference"/>
        </w:rPr>
        <w:footnoteRef/>
      </w:r>
      <w:r>
        <w:t xml:space="preserve"> </w:t>
      </w:r>
      <w:r>
        <w:rPr>
          <w:i/>
          <w:iCs/>
        </w:rPr>
        <w:t>See</w:t>
      </w:r>
      <w:r>
        <w:t xml:space="preserve"> </w:t>
      </w:r>
      <w:r>
        <w:rPr>
          <w:i/>
          <w:iCs/>
        </w:rPr>
        <w:t xml:space="preserve">Payment Methods and Procedures for Fiscal Year 2013 Regulatory Fees, </w:t>
      </w:r>
      <w:r>
        <w:t xml:space="preserve">Public Notice, 28 FCC </w:t>
      </w:r>
      <w:r>
        <w:t>Rcd</w:t>
      </w:r>
      <w:r>
        <w:t xml:space="preserve"> 12635 (OMD 2013).</w:t>
      </w:r>
    </w:p>
  </w:footnote>
  <w:footnote w:id="14">
    <w:p w:rsidR="003837C7" w:rsidP="003837C7">
      <w:pPr>
        <w:pStyle w:val="FootnoteText"/>
      </w:pPr>
      <w:r>
        <w:rPr>
          <w:rStyle w:val="FootnoteReference"/>
        </w:rPr>
        <w:footnoteRef/>
      </w:r>
      <w:r>
        <w:t xml:space="preserve"> </w:t>
      </w:r>
      <w:r>
        <w:rPr>
          <w:i/>
          <w:iCs/>
        </w:rPr>
        <w:t>See FY 2014 Regulatory Fees Due No Later Than September 23, 2014, 11:59 pm Eastern Time (ET)</w:t>
      </w:r>
      <w:r>
        <w:t xml:space="preserve">, Public Notice, 29 FCC </w:t>
      </w:r>
      <w:r>
        <w:t>Rcd</w:t>
      </w:r>
      <w:r>
        <w:t xml:space="preserve"> 10414 (OMD 2014).</w:t>
      </w:r>
    </w:p>
  </w:footnote>
  <w:footnote w:id="15">
    <w:p w:rsidR="003837C7" w:rsidP="003837C7">
      <w:pPr>
        <w:pStyle w:val="FootnoteText"/>
      </w:pPr>
      <w:r>
        <w:rPr>
          <w:rStyle w:val="FootnoteReference"/>
        </w:rPr>
        <w:footnoteRef/>
      </w:r>
      <w:r>
        <w:t xml:space="preserve"> </w:t>
      </w:r>
      <w:r>
        <w:rPr>
          <w:i/>
          <w:iCs/>
        </w:rPr>
        <w:t>See</w:t>
      </w:r>
      <w:r>
        <w:t xml:space="preserve"> </w:t>
      </w:r>
      <w:r>
        <w:rPr>
          <w:i/>
          <w:iCs/>
        </w:rPr>
        <w:t xml:space="preserve">Payment Methods and Procedures for Fiscal Year 2015 Regulatory Fees, </w:t>
      </w:r>
      <w:r>
        <w:t xml:space="preserve">Public Notice, 30 FCC </w:t>
      </w:r>
      <w:r>
        <w:t>Rcd</w:t>
      </w:r>
      <w:r>
        <w:t xml:space="preserve"> 9941 (OMD 2015).</w:t>
      </w:r>
    </w:p>
  </w:footnote>
  <w:footnote w:id="16">
    <w:p w:rsidR="003837C7" w:rsidP="003837C7">
      <w:pPr>
        <w:pStyle w:val="FootnoteText"/>
      </w:pPr>
      <w:r w:rsidRPr="00272230">
        <w:rPr>
          <w:rStyle w:val="FootnoteReference"/>
        </w:rPr>
        <w:footnoteRef/>
      </w:r>
      <w:r w:rsidRPr="00272230">
        <w:t xml:space="preserve"> </w:t>
      </w:r>
      <w:r w:rsidRPr="00272230">
        <w:rPr>
          <w:i/>
          <w:iCs/>
        </w:rPr>
        <w:t>See</w:t>
      </w:r>
      <w:r w:rsidRPr="00272230">
        <w:t xml:space="preserve"> </w:t>
      </w:r>
      <w:r w:rsidRPr="00272230">
        <w:rPr>
          <w:i/>
          <w:iCs/>
        </w:rPr>
        <w:t xml:space="preserve">Payment Methods and Procedures for Fiscal Year 2016 Regulatory Fees, </w:t>
      </w:r>
      <w:r w:rsidRPr="00272230">
        <w:t>Public Notice, 2016 WL 4625515 (OMD rel. Sep. 6, 2016).</w:t>
      </w:r>
      <w:r>
        <w:t xml:space="preserve"> </w:t>
      </w:r>
    </w:p>
  </w:footnote>
  <w:footnote w:id="17">
    <w:p w:rsidR="003837C7" w:rsidP="003837C7">
      <w:pPr>
        <w:pStyle w:val="FootnoteText"/>
      </w:pPr>
      <w:r>
        <w:rPr>
          <w:rStyle w:val="FootnoteReference"/>
        </w:rPr>
        <w:footnoteRef/>
      </w:r>
      <w: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Pr>
          <w:szCs w:val="22"/>
        </w:rP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Pr>
          <w:szCs w:val="22"/>
        </w:rPr>
        <w:t>) (2017).  The RAY BAUM’S Act, Repack Airwaves Yielding Better Access for Users of Modern Services Act of 2018, Pub. L. No. 115-141, 132 Stat. 348, 1095, modified section 9 of the Act and added a new section 9A.  Prior to October 1, 2018, when the RAY BAUM’S Act became effective, section 9(c)(1) set forth the penalties for late payment of regulatory fees.  As amended by the RAY BAUM’s Act, section 9A(c)(1) now sets forth those penalties.</w:t>
      </w:r>
    </w:p>
  </w:footnote>
  <w:footnote w:id="18">
    <w:p w:rsidR="003837C7" w:rsidP="003837C7">
      <w:pPr>
        <w:pStyle w:val="FootnoteText"/>
      </w:pPr>
      <w:r>
        <w:rPr>
          <w:rStyle w:val="FootnoteReference"/>
        </w:rPr>
        <w:footnoteRef/>
      </w:r>
      <w:r>
        <w:t xml:space="preserve"> 47 CFR </w:t>
      </w:r>
      <w:r w:rsidRPr="00141957">
        <w:t>§§</w:t>
      </w:r>
      <w:r>
        <w:t xml:space="preserve"> 1.1157(c)(1), 1.1164.</w:t>
      </w:r>
    </w:p>
  </w:footnote>
  <w:footnote w:id="19">
    <w:p w:rsidR="003837C7" w:rsidRPr="00C449C5" w:rsidP="003837C7">
      <w:pPr>
        <w:pStyle w:val="FootnoteText"/>
      </w:pPr>
      <w:r>
        <w:rPr>
          <w:rStyle w:val="FootnoteReference"/>
        </w:rPr>
        <w:footnoteRef/>
      </w:r>
      <w:r>
        <w:t xml:space="preserve"> </w:t>
      </w:r>
      <w:r w:rsidRPr="00C449C5">
        <w:t>31 U.S.C. § 3717; 47 CFR § 1.1940.</w:t>
      </w:r>
    </w:p>
  </w:footnote>
  <w:footnote w:id="20">
    <w:p w:rsidR="003837C7" w:rsidP="003837C7">
      <w:pPr>
        <w:pStyle w:val="FootnoteText"/>
      </w:pPr>
      <w:r>
        <w:rPr>
          <w:rStyle w:val="FootnoteReference"/>
        </w:rPr>
        <w:footnoteRef/>
      </w:r>
      <w:r>
        <w:t xml:space="preserve"> </w:t>
      </w:r>
      <w:r w:rsidRPr="00940073">
        <w:t xml:space="preserve">In addition to these Demand Letters, the Bureau notified </w:t>
      </w:r>
      <w:r>
        <w:t>SBC</w:t>
      </w:r>
      <w:r w:rsidRPr="00940073">
        <w:t xml:space="preserve"> of its delinquency in paying </w:t>
      </w:r>
      <w:r>
        <w:t>the Station’s</w:t>
      </w:r>
      <w:r w:rsidRPr="00940073">
        <w:t xml:space="preserve"> regulatory fees for </w:t>
      </w:r>
      <w:r>
        <w:t>FY 2008, FY 2009, FY 2010, FY 2011, FY 2012, FY 2013, and FY 2014</w:t>
      </w:r>
      <w:r w:rsidRPr="00940073">
        <w:t xml:space="preserve">.  Letter from Peter H. Doyle, Chief, Audio Division, Media Bureau, to </w:t>
      </w:r>
      <w:r>
        <w:t xml:space="preserve">H. Jack Mizell, Shelley Broad. Co., Inc. </w:t>
      </w:r>
      <w:r w:rsidRPr="00940073">
        <w:t xml:space="preserve">(MB dated </w:t>
      </w:r>
      <w:r>
        <w:t>June 8</w:t>
      </w:r>
      <w:r w:rsidRPr="00940073">
        <w:t>, 2015).</w:t>
      </w:r>
      <w:r>
        <w:t xml:space="preserve">  </w:t>
      </w:r>
    </w:p>
  </w:footnote>
  <w:footnote w:id="21">
    <w:p w:rsidR="003837C7" w:rsidP="003837C7">
      <w:pPr>
        <w:pStyle w:val="FootnoteText"/>
      </w:pPr>
      <w:r>
        <w:rPr>
          <w:rStyle w:val="FootnoteReference"/>
        </w:rPr>
        <w:footnoteRef/>
      </w:r>
      <w:r>
        <w:t xml:space="preserve"> </w:t>
      </w:r>
      <w:r>
        <w:rPr>
          <w:i/>
          <w:iCs/>
        </w:rPr>
        <w:t>See</w:t>
      </w:r>
      <w:r>
        <w:t xml:space="preserve"> 31 U.S.C. § 3711(g); 31 CFR §§ 285.12(c) &amp; 901.1; 47 CFR § 1.1917.</w:t>
      </w:r>
    </w:p>
  </w:footnote>
  <w:footnote w:id="22">
    <w:p w:rsidR="003837C7" w:rsidP="003837C7">
      <w:pPr>
        <w:pStyle w:val="FootnoteText"/>
      </w:pPr>
      <w:r>
        <w:rPr>
          <w:rStyle w:val="FootnoteReference"/>
        </w:rPr>
        <w:footnoteRef/>
      </w:r>
      <w:r>
        <w:t xml:space="preserve"> While not required by the statute, the Commission adopted the 60-day response period for </w:t>
      </w:r>
      <w:r>
        <w:t>regulatees</w:t>
      </w:r>
      <w:r>
        <w:t xml:space="preserve"> “</w:t>
      </w:r>
      <w:r w:rsidRPr="005C5B7E">
        <w:t xml:space="preserve">to assure that the subject </w:t>
      </w:r>
      <w:r w:rsidRPr="005C5B7E">
        <w:t>regulatee</w:t>
      </w:r>
      <w:r w:rsidRPr="005C5B7E">
        <w:t xml:space="preserve"> will have a full opportunity to obtain the funds needed to make payment and to prepare its case.</w:t>
      </w:r>
      <w:r>
        <w:t>”</w:t>
      </w:r>
      <w:r w:rsidRPr="005C5B7E">
        <w:t xml:space="preserve"> </w:t>
      </w:r>
      <w:r>
        <w:t xml:space="preserve"> </w:t>
      </w:r>
      <w:r w:rsidRPr="00EA02DA">
        <w:rPr>
          <w:i/>
        </w:rPr>
        <w:t>Implementation of Section 9 of the Communications Act, Assessment and Collection of Regulatory Fees for the 1994 Fiscal Year</w:t>
      </w:r>
      <w:r w:rsidRPr="000C2CE8">
        <w:t xml:space="preserve">, </w:t>
      </w:r>
      <w:r>
        <w:t xml:space="preserve">MD Docket No. 94-19, Report and </w:t>
      </w:r>
      <w:r w:rsidRPr="005C5B7E">
        <w:t xml:space="preserve">Order, 9 FCC </w:t>
      </w:r>
      <w:r w:rsidRPr="005C5B7E">
        <w:t>Rcd</w:t>
      </w:r>
      <w:r w:rsidRPr="005C5B7E">
        <w:t>. 5333</w:t>
      </w:r>
      <w:r>
        <w:t xml:space="preserve">, 5354 </w:t>
      </w:r>
      <w:r>
        <w:t>para</w:t>
      </w:r>
      <w:r>
        <w:t>. 62 (1994) (</w:t>
      </w:r>
      <w:r w:rsidRPr="00E14E28">
        <w:rPr>
          <w:i/>
        </w:rPr>
        <w:t>1994 Report and Order</w:t>
      </w:r>
      <w:r>
        <w:t>).</w:t>
      </w:r>
    </w:p>
  </w:footnote>
  <w:footnote w:id="23">
    <w:p w:rsidR="003837C7" w:rsidRPr="00C94682" w:rsidP="003837C7">
      <w:pPr>
        <w:pStyle w:val="FootnoteText"/>
      </w:pPr>
      <w:r w:rsidRPr="00C94682">
        <w:rPr>
          <w:rStyle w:val="FootnoteReference"/>
        </w:rPr>
        <w:footnoteRef/>
      </w:r>
      <w:r w:rsidRPr="00C94682">
        <w:rPr>
          <w:i/>
        </w:rPr>
        <w:t xml:space="preserve"> Shelley Broad</w:t>
      </w:r>
      <w:r w:rsidRPr="00C94682">
        <w:t xml:space="preserve">. </w:t>
      </w:r>
      <w:r w:rsidRPr="00C94682">
        <w:rPr>
          <w:i/>
        </w:rPr>
        <w:t>Co., Inc</w:t>
      </w:r>
      <w:r w:rsidRPr="00C94682">
        <w:t>., Order to Pay or to Show Cause, DA 19-524, para. 5 (MB June 6, 2019) (</w:t>
      </w:r>
      <w:r w:rsidRPr="00C94682">
        <w:rPr>
          <w:i/>
        </w:rPr>
        <w:t>Order</w:t>
      </w:r>
      <w:r w:rsidRPr="00C94682">
        <w:t xml:space="preserve">).  At that time, the </w:t>
      </w:r>
      <w:r w:rsidRPr="00C94682">
        <w:rPr>
          <w:color w:val="212121"/>
        </w:rPr>
        <w:t xml:space="preserve">Commission's records showed that SBC had unpaid regulatory fees of $1,172.14 for FY 2008, $1,239.47 for FY 2009, $1,212.73 for FY 2010, $1,207.72 for FY 2011, $903.00 for FY 2012, $970.35 for FY 2013, $1,163.17 for FY 2014, $1,075.80 for FY 2015, and $1,029.42 for FY 2016.  </w:t>
      </w:r>
      <w:r w:rsidRPr="00C94682">
        <w:rPr>
          <w:i/>
          <w:color w:val="212121"/>
        </w:rPr>
        <w:t>Id</w:t>
      </w:r>
      <w:r w:rsidRPr="00C94682">
        <w:rPr>
          <w:color w:val="212121"/>
        </w:rPr>
        <w:t>. at para. 4.</w:t>
      </w:r>
    </w:p>
  </w:footnote>
  <w:footnote w:id="24">
    <w:p w:rsidR="003837C7" w:rsidP="003837C7">
      <w:pPr>
        <w:pStyle w:val="FootnoteText"/>
      </w:pPr>
      <w:r w:rsidRPr="00C94682">
        <w:rPr>
          <w:rStyle w:val="FootnoteReference"/>
        </w:rPr>
        <w:footnoteRef/>
      </w:r>
      <w:r w:rsidRPr="00C94682">
        <w:t xml:space="preserve"> </w:t>
      </w:r>
      <w:r w:rsidRPr="00C94682">
        <w:rPr>
          <w:i/>
        </w:rPr>
        <w:t>Id</w:t>
      </w:r>
      <w:r w:rsidRPr="00C94682">
        <w:t xml:space="preserve">. at para. 5.  </w:t>
      </w:r>
      <w:r w:rsidRPr="00C94682">
        <w:rPr>
          <w:i/>
        </w:rPr>
        <w:t>See also</w:t>
      </w:r>
      <w:r w:rsidRPr="00C94682">
        <w:t xml:space="preserve"> 47 U.S.C. §159A(c)(4).</w:t>
      </w:r>
      <w:r>
        <w:t xml:space="preserve"> </w:t>
      </w:r>
    </w:p>
  </w:footnote>
  <w:footnote w:id="25">
    <w:p w:rsidR="003837C7" w:rsidRPr="00FB17DB" w:rsidP="003837C7">
      <w:pPr>
        <w:pStyle w:val="FootnoteText"/>
      </w:pPr>
      <w:r>
        <w:rPr>
          <w:rStyle w:val="FootnoteReference"/>
        </w:rPr>
        <w:footnoteRef/>
      </w:r>
      <w:r>
        <w:t xml:space="preserve"> Petition for Reconsideration of Shelley Broad. Co., Inc. (filed June 19, 2019) (Response).  While SBC captioned its pleading as a petition for reconsideration, the Rules do not permit the filing of petitions for reconsideration of interlocutory orders such as the </w:t>
      </w:r>
      <w:r w:rsidRPr="008E4B35">
        <w:rPr>
          <w:i/>
        </w:rPr>
        <w:t>Order</w:t>
      </w:r>
      <w:r>
        <w:rPr>
          <w:i/>
        </w:rPr>
        <w:t xml:space="preserve">.  </w:t>
      </w:r>
      <w:r>
        <w:t xml:space="preserve">47 CFR </w:t>
      </w:r>
      <w:r w:rsidRPr="00715F7B">
        <w:t>§</w:t>
      </w:r>
      <w:r>
        <w:t xml:space="preserve"> 1.106(a).  Accordingly, we treat the </w:t>
      </w:r>
      <w:r w:rsidRPr="005B7554">
        <w:t>pleading</w:t>
      </w:r>
      <w:r w:rsidRPr="00D401C8">
        <w:rPr>
          <w:i/>
        </w:rPr>
        <w:t xml:space="preserve"> </w:t>
      </w:r>
      <w:r>
        <w:t xml:space="preserve">as a response to the </w:t>
      </w:r>
      <w:r w:rsidRPr="004875EA">
        <w:rPr>
          <w:i/>
        </w:rPr>
        <w:t>Order</w:t>
      </w:r>
      <w:r>
        <w:t>.</w:t>
      </w:r>
    </w:p>
  </w:footnote>
  <w:footnote w:id="26">
    <w:p w:rsidR="003837C7" w:rsidP="003837C7">
      <w:pPr>
        <w:pStyle w:val="FootnoteText"/>
      </w:pPr>
      <w:r>
        <w:rPr>
          <w:rStyle w:val="FootnoteReference"/>
        </w:rPr>
        <w:footnoteRef/>
      </w:r>
      <w:r>
        <w:t xml:space="preserve"> </w:t>
      </w:r>
      <w:r w:rsidRPr="005D6587">
        <w:rPr>
          <w:i/>
        </w:rPr>
        <w:t>Order</w:t>
      </w:r>
      <w:r>
        <w:t>, DA 19-524, para. 5.</w:t>
      </w:r>
    </w:p>
  </w:footnote>
  <w:footnote w:id="27">
    <w:p w:rsidR="003837C7" w:rsidP="003837C7">
      <w:pPr>
        <w:pStyle w:val="FootnoteText"/>
      </w:pPr>
      <w:r>
        <w:rPr>
          <w:rStyle w:val="FootnoteReference"/>
        </w:rPr>
        <w:footnoteRef/>
      </w:r>
      <w:r>
        <w:t xml:space="preserve"> </w:t>
      </w:r>
      <w:r w:rsidRPr="00661604">
        <w:t>Response</w:t>
      </w:r>
      <w:r>
        <w:t xml:space="preserve"> at 1.</w:t>
      </w:r>
    </w:p>
  </w:footnote>
  <w:footnote w:id="28">
    <w:p w:rsidR="003837C7" w:rsidRPr="00304F65" w:rsidP="003837C7">
      <w:pPr>
        <w:pStyle w:val="FootnoteText"/>
      </w:pPr>
      <w:r>
        <w:rPr>
          <w:rStyle w:val="FootnoteReference"/>
        </w:rPr>
        <w:footnoteRef/>
      </w:r>
      <w:r>
        <w:t xml:space="preserve"> 47 C.F.R. §159A(d); 47 C.F.R. §1.1166; </w:t>
      </w:r>
      <w:r w:rsidRPr="005D368A">
        <w:rPr>
          <w:i/>
        </w:rPr>
        <w:t>Assessment and Collection of Regulatory Fees for Fiscal Year 2019</w:t>
      </w:r>
      <w:r>
        <w:t xml:space="preserve">, </w:t>
      </w:r>
      <w:r w:rsidRPr="005D368A">
        <w:t>Report and Order and Further Notice of Proposed Rulemaking</w:t>
      </w:r>
      <w:r>
        <w:t xml:space="preserve">, FCC 19-83__ FCC </w:t>
      </w:r>
      <w:r>
        <w:t>Rcd</w:t>
      </w:r>
      <w:r>
        <w:t xml:space="preserve"> ___, ___, para. 50 (2019) (</w:t>
      </w:r>
      <w:r w:rsidRPr="00D401C8">
        <w:rPr>
          <w:i/>
        </w:rPr>
        <w:t>2019 Report and Order</w:t>
      </w:r>
      <w:r>
        <w:t>).  We note that though the 2</w:t>
      </w:r>
      <w:r w:rsidRPr="00D401C8">
        <w:rPr>
          <w:i/>
        </w:rPr>
        <w:t>019 Report and Order</w:t>
      </w:r>
      <w:r>
        <w:rPr>
          <w:i/>
        </w:rPr>
        <w:t xml:space="preserve"> </w:t>
      </w:r>
      <w:r>
        <w:t xml:space="preserve">makes certain changes to section 1.1166 of the Commission’s Rules to conform it to changes made to the Commission’s regulatory fee authority by section 102 of the RAY BAUM’s Act, the changes do not affect our analysis or decision here. </w:t>
      </w:r>
    </w:p>
  </w:footnote>
  <w:footnote w:id="29">
    <w:p w:rsidR="003837C7" w:rsidP="003837C7">
      <w:pPr>
        <w:pStyle w:val="FootnoteText"/>
      </w:pPr>
      <w:r>
        <w:rPr>
          <w:rStyle w:val="FootnoteReference"/>
        </w:rPr>
        <w:footnoteRef/>
      </w:r>
      <w:r>
        <w:t xml:space="preserve"> </w:t>
      </w:r>
      <w:r w:rsidRPr="001015A8">
        <w:rPr>
          <w:i/>
        </w:rPr>
        <w:t>Id</w:t>
      </w:r>
      <w:r>
        <w:t xml:space="preserve">.at __, para. 50. </w:t>
      </w:r>
    </w:p>
  </w:footnote>
  <w:footnote w:id="30">
    <w:p w:rsidR="003837C7" w:rsidP="003837C7">
      <w:pPr>
        <w:pStyle w:val="FootnoteText"/>
      </w:pPr>
      <w:r>
        <w:rPr>
          <w:rStyle w:val="FootnoteReference"/>
        </w:rPr>
        <w:footnoteRef/>
      </w:r>
      <w:r>
        <w:t xml:space="preserve"> </w:t>
      </w:r>
      <w:r w:rsidRPr="003510EE">
        <w:rPr>
          <w:i/>
        </w:rPr>
        <w:t>Id.</w:t>
      </w:r>
    </w:p>
  </w:footnote>
  <w:footnote w:id="31">
    <w:p w:rsidR="003837C7" w:rsidP="003837C7">
      <w:pPr>
        <w:pStyle w:val="FootnoteText"/>
      </w:pPr>
      <w:r>
        <w:rPr>
          <w:rStyle w:val="FootnoteReference"/>
        </w:rPr>
        <w:footnoteRef/>
      </w:r>
      <w:r>
        <w:t xml:space="preserve"> </w:t>
      </w:r>
      <w:r w:rsidRPr="003510EE">
        <w:rPr>
          <w:i/>
        </w:rPr>
        <w:t>Id</w:t>
      </w:r>
      <w:r>
        <w:t xml:space="preserve">. </w:t>
      </w:r>
    </w:p>
  </w:footnote>
  <w:footnote w:id="32">
    <w:p w:rsidR="003837C7" w:rsidP="003837C7">
      <w:pPr>
        <w:pStyle w:val="FootnoteText"/>
      </w:pPr>
      <w:r>
        <w:rPr>
          <w:rStyle w:val="FootnoteReference"/>
        </w:rPr>
        <w:footnoteRef/>
      </w:r>
      <w:r>
        <w:t xml:space="preserve"> </w:t>
      </w:r>
      <w:r w:rsidRPr="003510EE">
        <w:rPr>
          <w:i/>
        </w:rPr>
        <w:t>Id</w:t>
      </w:r>
      <w:r>
        <w:t xml:space="preserve">. </w:t>
      </w:r>
    </w:p>
  </w:footnote>
  <w:footnote w:id="33">
    <w:p w:rsidR="003837C7" w:rsidP="003837C7">
      <w:pPr>
        <w:pStyle w:val="FootnoteText"/>
      </w:pPr>
      <w:r>
        <w:rPr>
          <w:rStyle w:val="FootnoteReference"/>
        </w:rPr>
        <w:footnoteRef/>
      </w:r>
      <w:r>
        <w:t xml:space="preserve"> The Office of the General Counsel concurs with our finding that a waiver or deferral is not warranted.  47 CFR </w:t>
      </w:r>
      <w:r w:rsidRPr="00715F7B">
        <w:t>§</w:t>
      </w:r>
      <w:r>
        <w:t xml:space="preserve"> 1.1166(a).</w:t>
      </w:r>
    </w:p>
  </w:footnote>
  <w:footnote w:id="34">
    <w:p w:rsidR="003837C7" w:rsidP="003837C7">
      <w:pPr>
        <w:pStyle w:val="FootnoteText"/>
      </w:pPr>
      <w:r w:rsidRPr="005E2D50">
        <w:rPr>
          <w:rStyle w:val="FootnoteReference"/>
        </w:rPr>
        <w:footnoteRef/>
      </w:r>
      <w:r w:rsidRPr="005E2D50">
        <w:t xml:space="preserve"> </w:t>
      </w:r>
      <w:r w:rsidRPr="00FE1B51">
        <w:rPr>
          <w:i/>
        </w:rPr>
        <w:t>See, e.g.,</w:t>
      </w:r>
      <w:r>
        <w:t xml:space="preserve"> </w:t>
      </w:r>
      <w:r w:rsidRPr="0073490A">
        <w:rPr>
          <w:i/>
        </w:rPr>
        <w:t xml:space="preserve">LDC </w:t>
      </w:r>
      <w:r>
        <w:rPr>
          <w:i/>
        </w:rPr>
        <w:t>Telecomm.</w:t>
      </w:r>
      <w:r w:rsidRPr="0073490A">
        <w:rPr>
          <w:i/>
        </w:rPr>
        <w:t>, Inc</w:t>
      </w:r>
      <w:r>
        <w:t xml:space="preserve">., </w:t>
      </w:r>
      <w:r w:rsidRPr="0073490A">
        <w:t>Revocation Order</w:t>
      </w:r>
      <w:r>
        <w:t>, 31 FCC 11662 (2016) (revoking authorizations held by LDC for failure to pay delinquent regulatory fees</w:t>
      </w:r>
      <w:r>
        <w:t xml:space="preserve">).  </w:t>
      </w:r>
      <w:r w:rsidRPr="005E2D50">
        <w:t>.</w:t>
      </w:r>
    </w:p>
  </w:footnote>
  <w:footnote w:id="35">
    <w:p w:rsidR="003837C7" w:rsidP="003837C7">
      <w:pPr>
        <w:pStyle w:val="FootnoteText"/>
      </w:pPr>
      <w:r w:rsidRPr="005E2D50">
        <w:rPr>
          <w:rStyle w:val="FootnoteReference"/>
          <w:color w:val="000000"/>
        </w:rPr>
        <w:footnoteRef/>
      </w:r>
      <w:r w:rsidRPr="005E2D50">
        <w:rPr>
          <w:color w:val="000000"/>
          <w:lang w:val="es-ES"/>
        </w:rPr>
        <w:t xml:space="preserve"> </w:t>
      </w:r>
      <w:r w:rsidRPr="005E2D50">
        <w:t>47 U.S.C. § 159</w:t>
      </w:r>
      <w:r>
        <w:t>A</w:t>
      </w:r>
      <w:r w:rsidRPr="005E2D50">
        <w:t>(c)(</w:t>
      </w:r>
      <w:r>
        <w:t>5</w:t>
      </w:r>
      <w:r w:rsidRPr="005E2D50">
        <w:t xml:space="preserve">); </w:t>
      </w:r>
      <w:r w:rsidRPr="005E2D50">
        <w:rPr>
          <w:color w:val="000000"/>
          <w:lang w:val="es-ES"/>
        </w:rPr>
        <w:t xml:space="preserve">47 CFR §§ </w:t>
      </w:r>
      <w:r>
        <w:t>0.11, 0.61, 0.23</w:t>
      </w:r>
      <w:r w:rsidRPr="005E2D50">
        <w:t>1, 0.</w:t>
      </w:r>
      <w:r>
        <w:t>283</w:t>
      </w:r>
      <w:r w:rsidRPr="005E2D50">
        <w:t>, 1.1164(f).</w:t>
      </w:r>
      <w:r>
        <w:t xml:space="preserve">  </w:t>
      </w:r>
    </w:p>
  </w:footnote>
  <w:footnote w:id="36">
    <w:p w:rsidR="003837C7" w:rsidP="003837C7">
      <w:pPr>
        <w:pStyle w:val="FootnoteText"/>
      </w:pPr>
      <w:r>
        <w:rPr>
          <w:rStyle w:val="FootnoteReference"/>
        </w:rPr>
        <w:footnoteRef/>
      </w:r>
      <w:r>
        <w:t xml:space="preserve"> </w:t>
      </w:r>
      <w:r w:rsidRPr="00BE1A5E">
        <w:rPr>
          <w:b/>
          <w:bCs/>
        </w:rPr>
        <w:t>It</w:t>
      </w:r>
      <w:r w:rsidRPr="00EA06B6">
        <w:rPr>
          <w:b/>
        </w:rPr>
        <w:t xml:space="preserve"> is imperative to the safety of air navigation that any prescribed painting and illumination of the Station’s tower be maintained</w:t>
      </w:r>
      <w:r>
        <w:t xml:space="preserve">.  </w:t>
      </w:r>
      <w:r w:rsidRPr="00EA06B6">
        <w:rPr>
          <w:i/>
        </w:rPr>
        <w:t>See</w:t>
      </w:r>
      <w:r>
        <w:t xml:space="preserve"> </w:t>
      </w:r>
      <w:r w:rsidRPr="009D1E25">
        <w:t>47 CFR §§ 17.6 and 73.1213.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05BC4">
      <w:t>DA 19-894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19-894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C7"/>
    <w:rsid w:val="0002259B"/>
    <w:rsid w:val="00036039"/>
    <w:rsid w:val="00037F90"/>
    <w:rsid w:val="000875BF"/>
    <w:rsid w:val="00096D8C"/>
    <w:rsid w:val="000A295D"/>
    <w:rsid w:val="000C0B65"/>
    <w:rsid w:val="000C2CE8"/>
    <w:rsid w:val="000E05FE"/>
    <w:rsid w:val="000E3D42"/>
    <w:rsid w:val="001000A8"/>
    <w:rsid w:val="001015A8"/>
    <w:rsid w:val="001062EA"/>
    <w:rsid w:val="00122BD5"/>
    <w:rsid w:val="00131058"/>
    <w:rsid w:val="00133F79"/>
    <w:rsid w:val="00141957"/>
    <w:rsid w:val="001931C7"/>
    <w:rsid w:val="00194A66"/>
    <w:rsid w:val="001C7479"/>
    <w:rsid w:val="001D6BCF"/>
    <w:rsid w:val="001E01CA"/>
    <w:rsid w:val="001F3818"/>
    <w:rsid w:val="00253A88"/>
    <w:rsid w:val="00272230"/>
    <w:rsid w:val="00275CF5"/>
    <w:rsid w:val="0028301F"/>
    <w:rsid w:val="00285017"/>
    <w:rsid w:val="002A2D2E"/>
    <w:rsid w:val="002C00E8"/>
    <w:rsid w:val="00304F65"/>
    <w:rsid w:val="00312D7B"/>
    <w:rsid w:val="00337499"/>
    <w:rsid w:val="00343749"/>
    <w:rsid w:val="003510EE"/>
    <w:rsid w:val="00364E1A"/>
    <w:rsid w:val="003660ED"/>
    <w:rsid w:val="003837C7"/>
    <w:rsid w:val="003B0550"/>
    <w:rsid w:val="003B2B7C"/>
    <w:rsid w:val="003B694F"/>
    <w:rsid w:val="003C7747"/>
    <w:rsid w:val="003E4E92"/>
    <w:rsid w:val="003F171C"/>
    <w:rsid w:val="00412FC5"/>
    <w:rsid w:val="00422276"/>
    <w:rsid w:val="004242F1"/>
    <w:rsid w:val="004371FB"/>
    <w:rsid w:val="00445A00"/>
    <w:rsid w:val="00451B0F"/>
    <w:rsid w:val="004875EA"/>
    <w:rsid w:val="004A7914"/>
    <w:rsid w:val="004C2EE3"/>
    <w:rsid w:val="004E0214"/>
    <w:rsid w:val="004E4A22"/>
    <w:rsid w:val="004F1275"/>
    <w:rsid w:val="00511968"/>
    <w:rsid w:val="00514B47"/>
    <w:rsid w:val="0055614C"/>
    <w:rsid w:val="00566D06"/>
    <w:rsid w:val="005B7554"/>
    <w:rsid w:val="005C5B7E"/>
    <w:rsid w:val="005D368A"/>
    <w:rsid w:val="005D6587"/>
    <w:rsid w:val="005E14C2"/>
    <w:rsid w:val="005E2D50"/>
    <w:rsid w:val="00607BA5"/>
    <w:rsid w:val="0061180A"/>
    <w:rsid w:val="00626EB6"/>
    <w:rsid w:val="00626FF8"/>
    <w:rsid w:val="0064074D"/>
    <w:rsid w:val="00655D03"/>
    <w:rsid w:val="00661604"/>
    <w:rsid w:val="00683388"/>
    <w:rsid w:val="00683F84"/>
    <w:rsid w:val="006A6A81"/>
    <w:rsid w:val="006F7393"/>
    <w:rsid w:val="0070224F"/>
    <w:rsid w:val="00705BC4"/>
    <w:rsid w:val="007115F7"/>
    <w:rsid w:val="00715F7B"/>
    <w:rsid w:val="007163F1"/>
    <w:rsid w:val="00733AA3"/>
    <w:rsid w:val="0073490A"/>
    <w:rsid w:val="0073770A"/>
    <w:rsid w:val="00774B6B"/>
    <w:rsid w:val="00785689"/>
    <w:rsid w:val="0079754B"/>
    <w:rsid w:val="007A1E6D"/>
    <w:rsid w:val="007B0EB2"/>
    <w:rsid w:val="007B6752"/>
    <w:rsid w:val="007D165B"/>
    <w:rsid w:val="00810B6F"/>
    <w:rsid w:val="00822CE0"/>
    <w:rsid w:val="00841AB1"/>
    <w:rsid w:val="008A536E"/>
    <w:rsid w:val="008C68F1"/>
    <w:rsid w:val="008D1C1B"/>
    <w:rsid w:val="008E4B35"/>
    <w:rsid w:val="00916976"/>
    <w:rsid w:val="00921803"/>
    <w:rsid w:val="00926503"/>
    <w:rsid w:val="00940073"/>
    <w:rsid w:val="00966532"/>
    <w:rsid w:val="009726D8"/>
    <w:rsid w:val="009A595C"/>
    <w:rsid w:val="009D1E25"/>
    <w:rsid w:val="009D7308"/>
    <w:rsid w:val="009F76DB"/>
    <w:rsid w:val="00A27577"/>
    <w:rsid w:val="00A32C3B"/>
    <w:rsid w:val="00A45F4F"/>
    <w:rsid w:val="00A600A9"/>
    <w:rsid w:val="00AA55B7"/>
    <w:rsid w:val="00AA5B9E"/>
    <w:rsid w:val="00AB2407"/>
    <w:rsid w:val="00AB53DF"/>
    <w:rsid w:val="00B07E5C"/>
    <w:rsid w:val="00B07EF4"/>
    <w:rsid w:val="00B35627"/>
    <w:rsid w:val="00B65710"/>
    <w:rsid w:val="00B811F7"/>
    <w:rsid w:val="00BA5DC6"/>
    <w:rsid w:val="00BA6196"/>
    <w:rsid w:val="00BC6D8C"/>
    <w:rsid w:val="00BE1A5E"/>
    <w:rsid w:val="00BE687E"/>
    <w:rsid w:val="00C34006"/>
    <w:rsid w:val="00C36B4C"/>
    <w:rsid w:val="00C426B1"/>
    <w:rsid w:val="00C449C5"/>
    <w:rsid w:val="00C66160"/>
    <w:rsid w:val="00C721AC"/>
    <w:rsid w:val="00C90D6A"/>
    <w:rsid w:val="00C94682"/>
    <w:rsid w:val="00CA247E"/>
    <w:rsid w:val="00CA6D21"/>
    <w:rsid w:val="00CC72B6"/>
    <w:rsid w:val="00CE4912"/>
    <w:rsid w:val="00D0218D"/>
    <w:rsid w:val="00D25FB5"/>
    <w:rsid w:val="00D401C8"/>
    <w:rsid w:val="00D44223"/>
    <w:rsid w:val="00DA2529"/>
    <w:rsid w:val="00DB130A"/>
    <w:rsid w:val="00DB2EBB"/>
    <w:rsid w:val="00DC10A1"/>
    <w:rsid w:val="00DC655F"/>
    <w:rsid w:val="00DD0B59"/>
    <w:rsid w:val="00DD7EBD"/>
    <w:rsid w:val="00DF62B6"/>
    <w:rsid w:val="00E07225"/>
    <w:rsid w:val="00E11550"/>
    <w:rsid w:val="00E14E28"/>
    <w:rsid w:val="00E5409F"/>
    <w:rsid w:val="00EA02DA"/>
    <w:rsid w:val="00EA06B6"/>
    <w:rsid w:val="00EE6488"/>
    <w:rsid w:val="00F021FA"/>
    <w:rsid w:val="00F21171"/>
    <w:rsid w:val="00F35242"/>
    <w:rsid w:val="00F62E97"/>
    <w:rsid w:val="00F64209"/>
    <w:rsid w:val="00F93BF5"/>
    <w:rsid w:val="00FB17DB"/>
    <w:rsid w:val="00FE1B51"/>
    <w:rsid w:val="00FF2F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F3EE3EB-1C3C-4045-8819-760BD7E5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7C7"/>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locked/>
    <w:rsid w:val="003837C7"/>
    <w:rPr>
      <w:rFonts w:ascii="Times New Roman Bold" w:hAnsi="Times New Roman Bold"/>
      <w:b/>
      <w:caps/>
      <w:snapToGrid w:val="0"/>
      <w:kern w:val="28"/>
      <w:sz w:val="22"/>
    </w:rPr>
  </w:style>
  <w:style w:type="paragraph" w:styleId="BodyText">
    <w:name w:val="Body Text"/>
    <w:aliases w:val="b"/>
    <w:basedOn w:val="Normal"/>
    <w:link w:val="BodyTextChar"/>
    <w:uiPriority w:val="99"/>
    <w:rsid w:val="003837C7"/>
    <w:rPr>
      <w:b/>
      <w:snapToGrid/>
      <w:sz w:val="24"/>
      <w:u w:val="single"/>
    </w:rPr>
  </w:style>
  <w:style w:type="character" w:customStyle="1" w:styleId="BodyTextChar">
    <w:name w:val="Body Text Char"/>
    <w:aliases w:val="b Char"/>
    <w:basedOn w:val="DefaultParagraphFont"/>
    <w:link w:val="BodyText"/>
    <w:uiPriority w:val="99"/>
    <w:rsid w:val="003837C7"/>
    <w:rPr>
      <w:b/>
      <w:kern w:val="28"/>
      <w:sz w:val="24"/>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3837C7"/>
  </w:style>
  <w:style w:type="character" w:customStyle="1" w:styleId="ParaNumChar">
    <w:name w:val="ParaNum Char"/>
    <w:link w:val="ParaNum"/>
    <w:locked/>
    <w:rsid w:val="003837C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