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4E4D65" w:rsidP="00013A8B">
      <w:pPr>
        <w:jc w:val="right"/>
        <w:rPr>
          <w:b/>
          <w:szCs w:val="22"/>
        </w:rPr>
      </w:pPr>
      <w:r w:rsidRPr="004E4D65">
        <w:rPr>
          <w:b/>
          <w:szCs w:val="22"/>
        </w:rPr>
        <w:t>DA 19-902</w:t>
      </w:r>
    </w:p>
    <w:p w:rsidR="00013A8B" w:rsidRPr="004E4D65" w:rsidP="00013A8B">
      <w:pPr>
        <w:spacing w:before="60"/>
        <w:jc w:val="right"/>
        <w:rPr>
          <w:b/>
          <w:szCs w:val="22"/>
        </w:rPr>
      </w:pPr>
      <w:r w:rsidRPr="004E4D65">
        <w:rPr>
          <w:b/>
          <w:szCs w:val="22"/>
        </w:rPr>
        <w:t xml:space="preserve">Released:  </w:t>
      </w:r>
      <w:r w:rsidRPr="004E4D65" w:rsidR="00D27A91">
        <w:rPr>
          <w:b/>
          <w:szCs w:val="22"/>
        </w:rPr>
        <w:t>September 11, 2019</w:t>
      </w:r>
    </w:p>
    <w:p w:rsidR="00013A8B" w:rsidRPr="004E4D65" w:rsidP="004E4D65">
      <w:pPr>
        <w:jc w:val="center"/>
        <w:rPr>
          <w:b/>
          <w:szCs w:val="22"/>
        </w:rPr>
      </w:pPr>
    </w:p>
    <w:p w:rsidR="007B01CA" w:rsidP="004E4D65">
      <w:pPr>
        <w:jc w:val="center"/>
        <w:rPr>
          <w:b/>
          <w:caps/>
          <w:szCs w:val="22"/>
        </w:rPr>
      </w:pPr>
      <w:r w:rsidRPr="004E4D65">
        <w:rPr>
          <w:b/>
          <w:caps/>
          <w:szCs w:val="22"/>
        </w:rPr>
        <w:t>PUBLIC SAFETY AND HOMELAND SECURITY BUREAU SEEKS COMMENT ON PETITIONS FILED BY THE BOULDER REGIONAL EMERGENCY TELEPHONE SERVICE AUTHORITY</w:t>
      </w:r>
    </w:p>
    <w:p w:rsidR="004E4D65" w:rsidRPr="004E4D65" w:rsidP="004E4D65">
      <w:pPr>
        <w:jc w:val="center"/>
        <w:rPr>
          <w:b/>
          <w:caps/>
          <w:szCs w:val="22"/>
        </w:rPr>
      </w:pPr>
    </w:p>
    <w:p w:rsidR="00013A8B" w:rsidRPr="004E4D65" w:rsidP="00013A8B">
      <w:pPr>
        <w:jc w:val="center"/>
        <w:rPr>
          <w:b/>
          <w:szCs w:val="22"/>
        </w:rPr>
      </w:pPr>
      <w:r w:rsidRPr="004E4D65">
        <w:rPr>
          <w:b/>
          <w:szCs w:val="22"/>
        </w:rPr>
        <w:t xml:space="preserve">PS Docket </w:t>
      </w:r>
      <w:r w:rsidR="004E4D65">
        <w:rPr>
          <w:b/>
          <w:szCs w:val="22"/>
        </w:rPr>
        <w:t xml:space="preserve">No. </w:t>
      </w:r>
      <w:r w:rsidRPr="004E4D65">
        <w:rPr>
          <w:b/>
          <w:szCs w:val="22"/>
        </w:rPr>
        <w:t>19-254</w:t>
      </w:r>
    </w:p>
    <w:p w:rsidR="00F96F63" w:rsidRPr="004E4D65" w:rsidP="004E4D65">
      <w:pPr>
        <w:jc w:val="center"/>
        <w:rPr>
          <w:b/>
          <w:szCs w:val="22"/>
        </w:rPr>
      </w:pPr>
      <w:bookmarkStart w:id="0" w:name="TOChere"/>
    </w:p>
    <w:bookmarkEnd w:id="0"/>
    <w:p w:rsidR="00F12F02" w:rsidRPr="004E4D65" w:rsidP="00F12F02">
      <w:pPr>
        <w:rPr>
          <w:b/>
          <w:szCs w:val="22"/>
        </w:rPr>
      </w:pPr>
      <w:r w:rsidRPr="004E4D65">
        <w:rPr>
          <w:b/>
          <w:szCs w:val="22"/>
        </w:rPr>
        <w:t>Comment Date:</w:t>
      </w:r>
      <w:r w:rsidRPr="004E4D65" w:rsidR="00D27A91">
        <w:rPr>
          <w:b/>
          <w:szCs w:val="22"/>
        </w:rPr>
        <w:t xml:space="preserve">  September 26, 2019</w:t>
      </w:r>
    </w:p>
    <w:p w:rsidR="00F12F02" w:rsidRPr="004E4D65" w:rsidP="00F12F02">
      <w:pPr>
        <w:rPr>
          <w:b/>
          <w:szCs w:val="22"/>
        </w:rPr>
      </w:pPr>
      <w:r w:rsidRPr="004E4D65">
        <w:rPr>
          <w:b/>
          <w:szCs w:val="22"/>
        </w:rPr>
        <w:t>Reply Comment Date:</w:t>
      </w:r>
      <w:r w:rsidRPr="004E4D65" w:rsidR="00D27A91">
        <w:rPr>
          <w:b/>
          <w:szCs w:val="22"/>
        </w:rPr>
        <w:t xml:space="preserve">  October 11, 2019</w:t>
      </w:r>
    </w:p>
    <w:p w:rsidR="00930ECF" w:rsidRPr="004E4D65" w:rsidP="00F96F63">
      <w:pPr>
        <w:rPr>
          <w:b/>
          <w:szCs w:val="22"/>
        </w:rPr>
      </w:pPr>
    </w:p>
    <w:p w:rsidR="009B352D" w:rsidP="004E4D65">
      <w:pPr>
        <w:pStyle w:val="ParaNum"/>
        <w:numPr>
          <w:ilvl w:val="0"/>
          <w:numId w:val="0"/>
        </w:numPr>
        <w:ind w:firstLine="720"/>
      </w:pPr>
      <w:r w:rsidRPr="00815F99">
        <w:t>By this Public Notice, t</w:t>
      </w:r>
      <w:bookmarkStart w:id="1" w:name="_GoBack"/>
      <w:bookmarkEnd w:id="1"/>
      <w:r w:rsidRPr="00815F99">
        <w:t>he Public Safety and Homeland Security Bureau (PSHSB) seeks comment on petitions for declaratory ruling and rulemaking filed by the Boulder Regional Emergency Telephone Service Authority (BRETSA)</w:t>
      </w:r>
      <w:r>
        <w:t>.</w:t>
      </w:r>
      <w:r>
        <w:rPr>
          <w:rStyle w:val="FootnoteReference"/>
          <w:sz w:val="24"/>
          <w:szCs w:val="24"/>
        </w:rPr>
        <w:footnoteReference w:id="3"/>
      </w:r>
      <w:r w:rsidRPr="00815F99">
        <w:t xml:space="preserve"> </w:t>
      </w:r>
    </w:p>
    <w:p w:rsidR="00F12F02" w:rsidRPr="00815F99" w:rsidP="004E4D65">
      <w:pPr>
        <w:pStyle w:val="ParaNum"/>
        <w:numPr>
          <w:ilvl w:val="0"/>
          <w:numId w:val="0"/>
        </w:numPr>
        <w:ind w:firstLine="720"/>
      </w:pPr>
      <w:r>
        <w:t xml:space="preserve">BRETSA requests that the Commission issue a declaratory ruling and a notice of proposed rulemaking (or notice of inquiry) on the same grounds presented </w:t>
      </w:r>
      <w:r w:rsidR="00B96285">
        <w:t xml:space="preserve">in a Request for Clarification </w:t>
      </w:r>
      <w:r w:rsidR="003A5685">
        <w:t xml:space="preserve">previously </w:t>
      </w:r>
      <w:r w:rsidR="00B96285">
        <w:t>filed by the Colorado Public Safety Broadband Governing Body (CPSBGB)</w:t>
      </w:r>
      <w:r w:rsidRPr="00815F99">
        <w:t>.</w:t>
      </w:r>
      <w:r>
        <w:rPr>
          <w:rStyle w:val="FootnoteReference"/>
          <w:sz w:val="24"/>
          <w:szCs w:val="24"/>
        </w:rPr>
        <w:footnoteReference w:id="4"/>
      </w:r>
      <w:r>
        <w:t xml:space="preserve">  In particular, </w:t>
      </w:r>
      <w:r w:rsidRPr="00815F99">
        <w:t xml:space="preserve">BRETSA, pursuant to </w:t>
      </w:r>
      <w:r w:rsidR="00291B47">
        <w:t>section</w:t>
      </w:r>
      <w:r w:rsidRPr="00815F99">
        <w:t xml:space="preserve"> 1.2 of the Commission’s rules,</w:t>
      </w:r>
      <w:r w:rsidR="00B96285">
        <w:t xml:space="preserve"> requests</w:t>
      </w:r>
      <w:r w:rsidRPr="00815F99">
        <w:t xml:space="preserve"> that the Commission issue a declaratory ruling to ensure that “interoperability is a fundamental responsibility of FirstNet and that FirstNet is supported at all levels including network, services, applications, and devices.”</w:t>
      </w:r>
      <w:r>
        <w:rPr>
          <w:rStyle w:val="FootnoteReference"/>
          <w:sz w:val="24"/>
          <w:szCs w:val="24"/>
        </w:rPr>
        <w:footnoteReference w:id="5"/>
      </w:r>
    </w:p>
    <w:p w:rsidR="00B87D79" w:rsidP="004E4D65">
      <w:pPr>
        <w:pStyle w:val="ParaNum"/>
        <w:numPr>
          <w:ilvl w:val="0"/>
          <w:numId w:val="0"/>
        </w:numPr>
        <w:ind w:firstLine="720"/>
      </w:pPr>
      <w:r w:rsidRPr="00815F99">
        <w:t>BRETSA</w:t>
      </w:r>
      <w:r w:rsidR="00B96285">
        <w:t xml:space="preserve">, </w:t>
      </w:r>
      <w:r w:rsidRPr="00815F99">
        <w:t xml:space="preserve">pursuant to </w:t>
      </w:r>
      <w:r w:rsidR="00291B47">
        <w:t>section</w:t>
      </w:r>
      <w:r w:rsidRPr="00815F99">
        <w:t xml:space="preserve"> 1.401 of the Commission’s rules,</w:t>
      </w:r>
      <w:r>
        <w:rPr>
          <w:rStyle w:val="FootnoteReference"/>
          <w:sz w:val="24"/>
          <w:szCs w:val="24"/>
        </w:rPr>
        <w:footnoteReference w:id="6"/>
      </w:r>
      <w:r w:rsidRPr="00815F99" w:rsidR="00B96285">
        <w:t xml:space="preserve"> </w:t>
      </w:r>
      <w:r w:rsidR="00B96285">
        <w:t>requests</w:t>
      </w:r>
      <w:r w:rsidRPr="00815F99">
        <w:t xml:space="preserve"> that the Commission issue a </w:t>
      </w:r>
      <w:r w:rsidR="00524024">
        <w:t>n</w:t>
      </w:r>
      <w:r w:rsidRPr="00815F99">
        <w:t xml:space="preserve">otice of </w:t>
      </w:r>
      <w:r w:rsidR="00524024">
        <w:t>p</w:t>
      </w:r>
      <w:r w:rsidRPr="00815F99">
        <w:t xml:space="preserve">roposed </w:t>
      </w:r>
      <w:r w:rsidR="00524024">
        <w:t>r</w:t>
      </w:r>
      <w:r w:rsidRPr="00815F99">
        <w:t xml:space="preserve">ulemaking or </w:t>
      </w:r>
      <w:r w:rsidR="00524024">
        <w:t>n</w:t>
      </w:r>
      <w:r w:rsidRPr="00815F99">
        <w:t xml:space="preserve">otice of </w:t>
      </w:r>
      <w:r w:rsidR="00524024">
        <w:t>i</w:t>
      </w:r>
      <w:r w:rsidRPr="00815F99">
        <w:t>nquiry to address</w:t>
      </w:r>
      <w:r>
        <w:t xml:space="preserve"> “roaming and prioritization as it applies to applications such as [</w:t>
      </w:r>
      <w:r w:rsidR="00AA2935">
        <w:t>p</w:t>
      </w:r>
      <w:r>
        <w:t>ush-to-</w:t>
      </w:r>
      <w:r w:rsidR="00AA2935">
        <w:t>t</w:t>
      </w:r>
      <w:r>
        <w:t>alk] and [</w:t>
      </w:r>
      <w:r w:rsidR="00AA2935">
        <w:t>m</w:t>
      </w:r>
      <w:r>
        <w:t>ission</w:t>
      </w:r>
      <w:r w:rsidR="00AA2935">
        <w:t>-c</w:t>
      </w:r>
      <w:r>
        <w:t xml:space="preserve">ritical </w:t>
      </w:r>
      <w:r w:rsidR="00AA2935">
        <w:t>p</w:t>
      </w:r>
      <w:r>
        <w:t>ush-to-</w:t>
      </w:r>
      <w:r w:rsidR="00AA2935">
        <w:t>t</w:t>
      </w:r>
      <w:r>
        <w:t>alk], as well as other applications that will face the same issues.</w:t>
      </w:r>
      <w:r w:rsidR="00A36ECA">
        <w:t>”</w:t>
      </w:r>
      <w:r>
        <w:t xml:space="preserve">  BRETSA also requests that the Commission address</w:t>
      </w:r>
      <w:r w:rsidRPr="00815F99" w:rsidR="00815F99">
        <w:t>:</w:t>
      </w:r>
    </w:p>
    <w:p w:rsidR="00F12F02" w:rsidRPr="004E4D65" w:rsidP="004E4D65">
      <w:pPr>
        <w:numPr>
          <w:ilvl w:val="0"/>
          <w:numId w:val="8"/>
        </w:numPr>
        <w:spacing w:after="120"/>
        <w:rPr>
          <w:szCs w:val="22"/>
        </w:rPr>
      </w:pPr>
      <w:r w:rsidRPr="004E4D65">
        <w:rPr>
          <w:szCs w:val="22"/>
        </w:rPr>
        <w:t xml:space="preserve">The responsibility of providers other than FirstNet (i.e., providers of </w:t>
      </w:r>
      <w:r w:rsidRPr="004E4D65" w:rsidR="00FE516C">
        <w:rPr>
          <w:szCs w:val="22"/>
        </w:rPr>
        <w:t>public safety land mobile radio (</w:t>
      </w:r>
      <w:r w:rsidRPr="004E4D65">
        <w:rPr>
          <w:szCs w:val="22"/>
        </w:rPr>
        <w:t>LMR</w:t>
      </w:r>
      <w:r w:rsidRPr="004E4D65" w:rsidR="00FE516C">
        <w:rPr>
          <w:szCs w:val="22"/>
        </w:rPr>
        <w:t>)</w:t>
      </w:r>
      <w:r w:rsidRPr="004E4D65">
        <w:rPr>
          <w:szCs w:val="22"/>
        </w:rPr>
        <w:t xml:space="preserve"> systems or services and public safety priority services</w:t>
      </w:r>
      <w:r w:rsidRPr="004E4D65" w:rsidR="00FE516C">
        <w:rPr>
          <w:szCs w:val="22"/>
        </w:rPr>
        <w:t xml:space="preserve"> offered over Commercial Mobile Radio Service (CMRS) networks</w:t>
      </w:r>
      <w:r w:rsidRPr="004E4D65">
        <w:rPr>
          <w:szCs w:val="22"/>
        </w:rPr>
        <w:t xml:space="preserve">) to cooperate with FirstNet in the development of interoperability solutions, and to provide full interoperability with FirstNet, </w:t>
      </w:r>
      <w:r w:rsidRPr="004E4D65">
        <w:rPr>
          <w:szCs w:val="22"/>
        </w:rPr>
        <w:t>LMR and other CMRS priority public safety services (subject only to technological limitations of a specific service);</w:t>
      </w:r>
    </w:p>
    <w:p w:rsidR="00F12F02" w:rsidRPr="004E4D65" w:rsidP="004E4D65">
      <w:pPr>
        <w:numPr>
          <w:ilvl w:val="0"/>
          <w:numId w:val="8"/>
        </w:numPr>
        <w:spacing w:after="120"/>
        <w:rPr>
          <w:szCs w:val="22"/>
        </w:rPr>
      </w:pPr>
      <w:r w:rsidRPr="004E4D65">
        <w:rPr>
          <w:szCs w:val="22"/>
        </w:rPr>
        <w:t>The issue of roaming and prioritization as applicable to LMR and other CMRS public safety priority services, and;</w:t>
      </w:r>
    </w:p>
    <w:p w:rsidR="00F12F02" w:rsidRPr="00815F99" w:rsidP="004E4D65">
      <w:pPr>
        <w:numPr>
          <w:ilvl w:val="0"/>
          <w:numId w:val="8"/>
        </w:numPr>
        <w:spacing w:after="120"/>
        <w:rPr>
          <w:sz w:val="24"/>
          <w:szCs w:val="24"/>
        </w:rPr>
      </w:pPr>
      <w:r w:rsidRPr="004E4D65">
        <w:rPr>
          <w:szCs w:val="22"/>
        </w:rPr>
        <w:t>The availability of Commission processes for dispute resolution as well as standards for dispute resolution</w:t>
      </w:r>
      <w:r w:rsidRPr="00815F99">
        <w:rPr>
          <w:sz w:val="24"/>
          <w:szCs w:val="24"/>
        </w:rPr>
        <w:t xml:space="preserve"> concerning matters of interoperability, roaming and prioritization.</w:t>
      </w:r>
      <w:r>
        <w:rPr>
          <w:rStyle w:val="FootnoteReference"/>
          <w:sz w:val="24"/>
          <w:szCs w:val="24"/>
        </w:rPr>
        <w:footnoteReference w:id="7"/>
      </w:r>
    </w:p>
    <w:p w:rsidR="00F12F02" w:rsidP="004E4D65">
      <w:pPr>
        <w:pStyle w:val="ParaNum"/>
        <w:numPr>
          <w:ilvl w:val="0"/>
          <w:numId w:val="0"/>
        </w:numPr>
      </w:pPr>
      <w:r w:rsidRPr="00815F99">
        <w:t xml:space="preserve">We seek comment on these issues and any other issues raised by the BRETSA Petitions. </w:t>
      </w:r>
    </w:p>
    <w:p w:rsidR="003F70CB" w:rsidRPr="00291C44" w:rsidP="004E4D65">
      <w:pPr>
        <w:pStyle w:val="ParaNum"/>
        <w:numPr>
          <w:ilvl w:val="0"/>
          <w:numId w:val="0"/>
        </w:numPr>
        <w:rPr>
          <w:b/>
        </w:rPr>
      </w:pPr>
      <w:r w:rsidRPr="00291C44">
        <w:rPr>
          <w:b/>
        </w:rPr>
        <w:t xml:space="preserve">Procedural Matters: </w:t>
      </w:r>
    </w:p>
    <w:p w:rsidR="00027FCC" w:rsidRPr="00470D28" w:rsidP="004E4D65">
      <w:pPr>
        <w:pStyle w:val="ParaNum"/>
        <w:numPr>
          <w:ilvl w:val="0"/>
          <w:numId w:val="0"/>
        </w:numPr>
      </w:pPr>
      <w:r w:rsidRPr="006E7558">
        <w:rPr>
          <w:i/>
        </w:rPr>
        <w:t>Filing Requirements</w:t>
      </w:r>
      <w:r>
        <w:t xml:space="preserve">:  </w:t>
      </w:r>
      <w:r w:rsidRPr="00470D28">
        <w:t>Pursuant to sections 1.</w:t>
      </w:r>
      <w:r>
        <w:t>2</w:t>
      </w:r>
      <w:r w:rsidRPr="00470D28">
        <w:t xml:space="preserve"> and 1.</w:t>
      </w:r>
      <w:r>
        <w:t>405</w:t>
      </w:r>
      <w:r w:rsidRPr="00470D28">
        <w:t xml:space="preserve"> of the Commission’s rules, 47 CFR §§ 1.</w:t>
      </w:r>
      <w:r>
        <w:t>2</w:t>
      </w:r>
      <w:r w:rsidRPr="00470D28">
        <w:t>, 1.</w:t>
      </w:r>
      <w:r>
        <w:t>405</w:t>
      </w:r>
      <w:r w:rsidRPr="00470D28">
        <w:t xml:space="preserve">, interested parties may file comments and reply comments on or before the dates indicated on the first page of this document.  </w:t>
      </w:r>
      <w:r>
        <w:t xml:space="preserve">All filings must reference </w:t>
      </w:r>
      <w:r w:rsidR="007B203A">
        <w:t>PS Docket 19-254</w:t>
      </w:r>
      <w:r>
        <w:t xml:space="preserve">.  </w:t>
      </w:r>
      <w:r w:rsidRPr="00470D28">
        <w:t xml:space="preserve">Comments may be filed using the Commission’s Electronic Comment Filing System (ECFS).  </w:t>
      </w:r>
      <w:r w:rsidRPr="00470D28">
        <w:rPr>
          <w:i/>
        </w:rPr>
        <w:t>See Electronic Filing of Documents in Rulemaking Proceedings</w:t>
      </w:r>
      <w:r w:rsidRPr="00470D28">
        <w:t>, 63 FR 24121 (1998).</w:t>
      </w:r>
    </w:p>
    <w:p w:rsidR="00027FCC" w:rsidRPr="004E4D65" w:rsidP="004E4D65">
      <w:pPr>
        <w:widowControl/>
        <w:numPr>
          <w:ilvl w:val="0"/>
          <w:numId w:val="12"/>
        </w:numPr>
        <w:spacing w:after="120"/>
        <w:rPr>
          <w:szCs w:val="22"/>
        </w:rPr>
      </w:pPr>
      <w:r w:rsidRPr="004E4D65">
        <w:rPr>
          <w:szCs w:val="22"/>
        </w:rPr>
        <w:t xml:space="preserve">Electronic Filers:  Comments may be filed electronically using the Internet by accessing the ECFS:  </w:t>
      </w:r>
      <w:hyperlink r:id="rId5" w:history="1">
        <w:r w:rsidRPr="004E4D65">
          <w:rPr>
            <w:color w:val="0000FF"/>
            <w:szCs w:val="22"/>
            <w:u w:val="single"/>
          </w:rPr>
          <w:t>http://apps.fcc.gov/ecfs/</w:t>
        </w:r>
      </w:hyperlink>
      <w:r w:rsidRPr="004E4D65">
        <w:rPr>
          <w:szCs w:val="22"/>
        </w:rPr>
        <w:t xml:space="preserve">.  </w:t>
      </w:r>
    </w:p>
    <w:p w:rsidR="00027FCC" w:rsidRPr="004E4D65" w:rsidP="004E4D65">
      <w:pPr>
        <w:widowControl/>
        <w:numPr>
          <w:ilvl w:val="0"/>
          <w:numId w:val="12"/>
        </w:numPr>
        <w:spacing w:after="120"/>
        <w:rPr>
          <w:szCs w:val="22"/>
        </w:rPr>
      </w:pPr>
      <w:r w:rsidRPr="004E4D65">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027FCC" w:rsidRPr="004E4D65" w:rsidP="004E4D65">
      <w:pPr>
        <w:spacing w:after="120"/>
        <w:ind w:left="720"/>
        <w:rPr>
          <w:szCs w:val="22"/>
        </w:rPr>
      </w:pPr>
      <w:r w:rsidRPr="004E4D65">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027FCC" w:rsidRPr="004E4D65" w:rsidP="004E4D65">
      <w:pPr>
        <w:widowControl/>
        <w:numPr>
          <w:ilvl w:val="0"/>
          <w:numId w:val="13"/>
        </w:numPr>
        <w:spacing w:after="120"/>
        <w:rPr>
          <w:szCs w:val="22"/>
        </w:rPr>
      </w:pPr>
      <w:r w:rsidRPr="004E4D65">
        <w:rPr>
          <w:szCs w:val="22"/>
        </w:rPr>
        <w:t>All hand-delivered or messenger-delivered paper filings for the Commission’s Secretary must be delivered to FCC Headquarters at 445 12</w:t>
      </w:r>
      <w:r w:rsidRPr="004E4D65">
        <w:rPr>
          <w:szCs w:val="22"/>
          <w:vertAlign w:val="superscript"/>
        </w:rPr>
        <w:t>th</w:t>
      </w:r>
      <w:r w:rsidRPr="004E4D65">
        <w:rPr>
          <w:szCs w:val="22"/>
        </w:rPr>
        <w:t xml:space="preserve"> St., SW, Room TW-A325, Washington, DC 20554.  The filing hours are 8:00 a.m. to 7:00 p.m.   All hand deliveries must be held together with rubber bands or fasteners.  Any envelopes and boxes must be disposed of </w:t>
      </w:r>
      <w:r w:rsidRPr="004E4D65">
        <w:rPr>
          <w:szCs w:val="22"/>
          <w:u w:val="single"/>
        </w:rPr>
        <w:t>before</w:t>
      </w:r>
      <w:r w:rsidRPr="004E4D65">
        <w:rPr>
          <w:szCs w:val="22"/>
        </w:rPr>
        <w:t xml:space="preserve"> entering the building.  </w:t>
      </w:r>
    </w:p>
    <w:p w:rsidR="00027FCC" w:rsidRPr="004E4D65" w:rsidP="004E4D65">
      <w:pPr>
        <w:widowControl/>
        <w:numPr>
          <w:ilvl w:val="0"/>
          <w:numId w:val="13"/>
        </w:numPr>
        <w:spacing w:after="120"/>
        <w:rPr>
          <w:szCs w:val="22"/>
        </w:rPr>
      </w:pPr>
      <w:r w:rsidRPr="004E4D65">
        <w:rPr>
          <w:szCs w:val="22"/>
        </w:rPr>
        <w:t>Commercial overnight mail (other than U.S. Postal Service Express Mail and Priority Mail) must be sent to 9050 Junction Drive, Annapolis Junction, MD 20701.</w:t>
      </w:r>
    </w:p>
    <w:p w:rsidR="00027FCC" w:rsidRPr="00470D28" w:rsidP="004E4D65">
      <w:pPr>
        <w:widowControl/>
        <w:numPr>
          <w:ilvl w:val="0"/>
          <w:numId w:val="13"/>
        </w:numPr>
        <w:spacing w:after="120"/>
        <w:rPr>
          <w:sz w:val="24"/>
        </w:rPr>
      </w:pPr>
      <w:r w:rsidRPr="004E4D65">
        <w:rPr>
          <w:szCs w:val="22"/>
        </w:rPr>
        <w:t>U.S. Postal Service first-class, Express, and Priority mail must be addressed to 445 12</w:t>
      </w:r>
      <w:r w:rsidRPr="004E4D65">
        <w:rPr>
          <w:szCs w:val="22"/>
          <w:vertAlign w:val="superscript"/>
        </w:rPr>
        <w:t>th</w:t>
      </w:r>
      <w:r w:rsidRPr="004E4D65">
        <w:rPr>
          <w:szCs w:val="22"/>
        </w:rPr>
        <w:t xml:space="preserve"> Street</w:t>
      </w:r>
      <w:r w:rsidRPr="00470D28">
        <w:rPr>
          <w:sz w:val="24"/>
        </w:rPr>
        <w:t>, SW, Washington DC  20554.</w:t>
      </w:r>
    </w:p>
    <w:p w:rsidR="003F70CB" w:rsidRPr="00171898" w:rsidP="004E4D65">
      <w:pPr>
        <w:pStyle w:val="ParaNum"/>
        <w:numPr>
          <w:ilvl w:val="0"/>
          <w:numId w:val="0"/>
        </w:numPr>
        <w:rPr>
          <w:i/>
        </w:rPr>
      </w:pPr>
      <w:r w:rsidRPr="009F1798">
        <w:rPr>
          <w:i/>
        </w:rPr>
        <w:t>People with Disabilities:</w:t>
      </w:r>
      <w:r w:rsidRPr="00470D28">
        <w:t xml:space="preserve"> To request materials in accessible formats for people with disabilities (braille, large print, electronic files, audio format), send an e-mail to </w:t>
      </w:r>
      <w:hyperlink r:id="rId6" w:history="1">
        <w:r w:rsidRPr="00470D28">
          <w:rPr>
            <w:color w:val="0000FF"/>
            <w:u w:val="single"/>
          </w:rPr>
          <w:t>fcc504@fcc.gov</w:t>
        </w:r>
      </w:hyperlink>
      <w:r w:rsidRPr="00470D28">
        <w:t xml:space="preserve"> or call the Consumer &amp; Governmental Affairs Bureau at 202-418-0530 (voice), 202-418-0432 (</w:t>
      </w:r>
      <w:r w:rsidRPr="00470D28">
        <w:t>tty</w:t>
      </w:r>
      <w:r w:rsidRPr="00470D28">
        <w:t>).</w:t>
      </w:r>
    </w:p>
    <w:p w:rsidR="006E7558" w:rsidRPr="001E3A25" w:rsidP="004E4D65">
      <w:pPr>
        <w:pStyle w:val="ParaNum"/>
        <w:numPr>
          <w:ilvl w:val="0"/>
          <w:numId w:val="0"/>
        </w:numPr>
        <w:rPr>
          <w:snapToGrid/>
          <w:highlight w:val="yellow"/>
        </w:rPr>
      </w:pPr>
      <w:r w:rsidRPr="001E3A25">
        <w:rPr>
          <w:i/>
        </w:rPr>
        <w:t xml:space="preserve">Ex </w:t>
      </w:r>
      <w:r w:rsidRPr="001E3A25">
        <w:rPr>
          <w:i/>
        </w:rPr>
        <w:t>Parte</w:t>
      </w:r>
      <w:r w:rsidRPr="001E3A25">
        <w:rPr>
          <w:i/>
        </w:rPr>
        <w:t xml:space="preserve"> Rules: </w:t>
      </w:r>
      <w:r w:rsidRPr="001E3A25">
        <w:rPr>
          <w:snapToGrid/>
        </w:rPr>
        <w:t>In order to assure the staff’s ability to discuss and obtain information needed to resolve the issues presented by this Public Notice,</w:t>
      </w:r>
      <w:r>
        <w:rPr>
          <w:snapToGrid/>
          <w:vertAlign w:val="superscript"/>
        </w:rPr>
        <w:footnoteReference w:id="8"/>
      </w:r>
      <w:r w:rsidRPr="001E3A25">
        <w:rPr>
          <w:snapToGrid/>
        </w:rPr>
        <w:t xml:space="preserve"> we establish a</w:t>
      </w:r>
      <w:r w:rsidRPr="001E3A25" w:rsidR="00C643E7">
        <w:rPr>
          <w:snapToGrid/>
        </w:rPr>
        <w:t xml:space="preserve"> common</w:t>
      </w:r>
      <w:r w:rsidRPr="001E3A25">
        <w:rPr>
          <w:snapToGrid/>
        </w:rPr>
        <w:t xml:space="preserve"> docket for these proceedings and announce that the </w:t>
      </w:r>
      <w:r w:rsidRPr="001E3A25">
        <w:rPr>
          <w:i/>
          <w:snapToGrid/>
        </w:rPr>
        <w:t xml:space="preserve">ex </w:t>
      </w:r>
      <w:r w:rsidRPr="001E3A25">
        <w:rPr>
          <w:i/>
          <w:snapToGrid/>
        </w:rPr>
        <w:t>parte</w:t>
      </w:r>
      <w:r w:rsidRPr="001E3A25">
        <w:rPr>
          <w:snapToGrid/>
        </w:rPr>
        <w:t xml:space="preserve"> procedures applicable to permit-but-disclose proceedings will govern our consideration of both of the proceedings initiated by this Notice.</w:t>
      </w:r>
      <w:r>
        <w:rPr>
          <w:snapToGrid/>
          <w:vertAlign w:val="superscript"/>
        </w:rPr>
        <w:footnoteReference w:id="9"/>
      </w:r>
      <w:r w:rsidRPr="001E3A25">
        <w:rPr>
          <w:snapToGrid/>
          <w:highlight w:val="yellow"/>
        </w:rPr>
        <w:t xml:space="preserve">  </w:t>
      </w:r>
    </w:p>
    <w:p w:rsidR="00834435" w:rsidRPr="004E4D65" w:rsidP="004E4D65">
      <w:pPr>
        <w:pStyle w:val="ParaNum"/>
        <w:numPr>
          <w:ilvl w:val="0"/>
          <w:numId w:val="0"/>
        </w:numPr>
        <w:ind w:firstLine="720"/>
        <w:rPr>
          <w:snapToGrid/>
          <w:szCs w:val="22"/>
        </w:rPr>
      </w:pPr>
      <w:r w:rsidRPr="004E4D65">
        <w:rPr>
          <w:snapToGrid/>
          <w:szCs w:val="22"/>
        </w:rPr>
        <w:t>Section 1.1206(a)(3) of the Commission’s rules provide that declaratory ruling proceedings shall be generally treated as</w:t>
      </w:r>
      <w:r w:rsidRPr="004E4D65" w:rsidR="006E7558">
        <w:rPr>
          <w:snapToGrid/>
          <w:szCs w:val="22"/>
        </w:rPr>
        <w:t xml:space="preserve"> “permit-but-disclose” proceeding in accordance with the Commission’s </w:t>
      </w:r>
      <w:r w:rsidRPr="004E4D65" w:rsidR="006E7558">
        <w:rPr>
          <w:i/>
          <w:iCs/>
          <w:snapToGrid/>
          <w:szCs w:val="22"/>
        </w:rPr>
        <w:t xml:space="preserve">ex </w:t>
      </w:r>
      <w:r w:rsidRPr="004E4D65" w:rsidR="006E7558">
        <w:rPr>
          <w:i/>
          <w:iCs/>
          <w:snapToGrid/>
          <w:szCs w:val="22"/>
        </w:rPr>
        <w:t>parte</w:t>
      </w:r>
      <w:r w:rsidRPr="004E4D65" w:rsidR="006E7558">
        <w:rPr>
          <w:i/>
          <w:iCs/>
          <w:snapToGrid/>
          <w:szCs w:val="22"/>
        </w:rPr>
        <w:t xml:space="preserve"> </w:t>
      </w:r>
      <w:r w:rsidRPr="004E4D65" w:rsidR="006E7558">
        <w:rPr>
          <w:snapToGrid/>
          <w:szCs w:val="22"/>
        </w:rPr>
        <w:t>rules.</w:t>
      </w:r>
      <w:r>
        <w:rPr>
          <w:snapToGrid/>
          <w:szCs w:val="22"/>
          <w:vertAlign w:val="superscript"/>
        </w:rPr>
        <w:footnoteReference w:id="10"/>
      </w:r>
      <w:r w:rsidRPr="004E4D65" w:rsidR="006E7558">
        <w:rPr>
          <w:snapToGrid/>
          <w:szCs w:val="22"/>
        </w:rPr>
        <w:t xml:space="preserve">  </w:t>
      </w:r>
      <w:r w:rsidRPr="004E4D65">
        <w:rPr>
          <w:snapToGrid/>
          <w:szCs w:val="22"/>
        </w:rPr>
        <w:t xml:space="preserve">In addition, </w:t>
      </w:r>
      <w:r w:rsidRPr="004E4D65" w:rsidR="00C643E7">
        <w:rPr>
          <w:snapToGrid/>
          <w:szCs w:val="22"/>
        </w:rPr>
        <w:t xml:space="preserve">in light of the common questions posed and in order to promote full consideration by staff, </w:t>
      </w:r>
      <w:r w:rsidRPr="004E4D65">
        <w:rPr>
          <w:snapToGrid/>
          <w:szCs w:val="22"/>
        </w:rPr>
        <w:t>we find good cause to modi</w:t>
      </w:r>
      <w:r w:rsidRPr="004E4D65" w:rsidR="00C643E7">
        <w:rPr>
          <w:snapToGrid/>
          <w:szCs w:val="22"/>
        </w:rPr>
        <w:t xml:space="preserve">fy our rules such that the Petition for Rulemaking be treated similarly for </w:t>
      </w:r>
      <w:r w:rsidRPr="004E4D65" w:rsidR="00C643E7">
        <w:rPr>
          <w:i/>
          <w:snapToGrid/>
          <w:szCs w:val="22"/>
        </w:rPr>
        <w:t xml:space="preserve">ex </w:t>
      </w:r>
      <w:r w:rsidRPr="004E4D65" w:rsidR="00C643E7">
        <w:rPr>
          <w:i/>
          <w:snapToGrid/>
          <w:szCs w:val="22"/>
        </w:rPr>
        <w:t>parte</w:t>
      </w:r>
      <w:r w:rsidRPr="004E4D65" w:rsidR="00C643E7">
        <w:rPr>
          <w:i/>
          <w:snapToGrid/>
          <w:szCs w:val="22"/>
        </w:rPr>
        <w:t xml:space="preserve"> </w:t>
      </w:r>
      <w:r w:rsidRPr="004E4D65" w:rsidR="00C643E7">
        <w:rPr>
          <w:snapToGrid/>
          <w:szCs w:val="22"/>
        </w:rPr>
        <w:t>purposes.</w:t>
      </w:r>
      <w:r>
        <w:rPr>
          <w:rStyle w:val="FootnoteReference"/>
          <w:snapToGrid/>
          <w:kern w:val="0"/>
          <w:szCs w:val="22"/>
        </w:rPr>
        <w:footnoteReference w:id="11"/>
      </w:r>
      <w:r w:rsidRPr="004E4D65" w:rsidR="00C643E7">
        <w:rPr>
          <w:snapToGrid/>
          <w:szCs w:val="22"/>
        </w:rPr>
        <w:t xml:space="preserve">  </w:t>
      </w:r>
    </w:p>
    <w:p w:rsidR="0010461B" w:rsidP="004E4D65">
      <w:pPr>
        <w:pStyle w:val="ParaNum"/>
        <w:numPr>
          <w:ilvl w:val="0"/>
          <w:numId w:val="0"/>
        </w:numPr>
        <w:ind w:firstLine="720"/>
        <w:rPr>
          <w:snapToGrid/>
          <w:sz w:val="24"/>
        </w:rPr>
      </w:pPr>
      <w:r w:rsidRPr="004E4D65">
        <w:rPr>
          <w:snapToGrid/>
          <w:szCs w:val="22"/>
        </w:rPr>
        <w:t xml:space="preserve">Persons making </w:t>
      </w:r>
      <w:r w:rsidRPr="004E4D65">
        <w:rPr>
          <w:i/>
          <w:snapToGrid/>
          <w:szCs w:val="22"/>
        </w:rPr>
        <w:t xml:space="preserve">ex </w:t>
      </w:r>
      <w:r w:rsidRPr="004E4D65">
        <w:rPr>
          <w:i/>
          <w:snapToGrid/>
          <w:szCs w:val="22"/>
        </w:rPr>
        <w:t>parte</w:t>
      </w:r>
      <w:r w:rsidRPr="004E4D65">
        <w:rPr>
          <w:i/>
          <w:snapToGrid/>
          <w:szCs w:val="22"/>
        </w:rPr>
        <w:t xml:space="preserve"> </w:t>
      </w:r>
      <w:r w:rsidRPr="004E4D65">
        <w:rPr>
          <w:snapToGrid/>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E4D65">
        <w:rPr>
          <w:i/>
          <w:iCs/>
          <w:snapToGrid/>
          <w:szCs w:val="22"/>
        </w:rPr>
        <w:t xml:space="preserve">ex </w:t>
      </w:r>
      <w:r w:rsidRPr="004E4D65">
        <w:rPr>
          <w:i/>
          <w:iCs/>
          <w:snapToGrid/>
          <w:szCs w:val="22"/>
        </w:rPr>
        <w:t>parte</w:t>
      </w:r>
      <w:r w:rsidRPr="004E4D65">
        <w:rPr>
          <w:i/>
          <w:iCs/>
          <w:snapToGrid/>
          <w:szCs w:val="22"/>
        </w:rPr>
        <w:t xml:space="preserve"> </w:t>
      </w:r>
      <w:r w:rsidRPr="004E4D65">
        <w:rPr>
          <w:snapToGrid/>
          <w:szCs w:val="22"/>
        </w:rPr>
        <w:t xml:space="preserve">presentations are reminded that memoranda summarizing the presentation must (1) list all persons attending or otherwise participating in the meeting at which the </w:t>
      </w:r>
      <w:r w:rsidRPr="004E4D65">
        <w:rPr>
          <w:i/>
          <w:iCs/>
          <w:snapToGrid/>
          <w:szCs w:val="22"/>
        </w:rPr>
        <w:t xml:space="preserve">ex </w:t>
      </w:r>
      <w:r w:rsidRPr="004E4D65">
        <w:rPr>
          <w:i/>
          <w:iCs/>
          <w:snapToGrid/>
          <w:szCs w:val="22"/>
        </w:rPr>
        <w:t>parte</w:t>
      </w:r>
      <w:r w:rsidRPr="004E4D65">
        <w:rPr>
          <w:i/>
          <w:iCs/>
          <w:snapToGrid/>
          <w:szCs w:val="22"/>
        </w:rPr>
        <w:t xml:space="preserve"> </w:t>
      </w:r>
      <w:r w:rsidRPr="004E4D65">
        <w:rPr>
          <w:snapToGrid/>
          <w:szCs w:val="22"/>
        </w:rPr>
        <w:t>presentation was made, and (2) summarize all data presented and arguments made during the presentation.  If the presentation</w:t>
      </w:r>
      <w:r w:rsidRPr="001E3A25">
        <w:rPr>
          <w:snapToGrid/>
          <w:sz w:val="24"/>
        </w:rPr>
        <w:t xml:space="preserve"> consisted in whole or in part of data or arguments already reflected in the presenter’s written comments, memoranda, or other filings in the proceeding, then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E3A25">
        <w:rPr>
          <w:i/>
          <w:iCs/>
          <w:snapToGrid/>
          <w:sz w:val="24"/>
        </w:rPr>
        <w:t xml:space="preserve">ex </w:t>
      </w:r>
      <w:r w:rsidRPr="001E3A25">
        <w:rPr>
          <w:i/>
          <w:iCs/>
          <w:snapToGrid/>
          <w:sz w:val="24"/>
        </w:rPr>
        <w:t>parte</w:t>
      </w:r>
      <w:r w:rsidRPr="001E3A25">
        <w:rPr>
          <w:i/>
          <w:iCs/>
          <w:snapToGrid/>
          <w:sz w:val="24"/>
        </w:rPr>
        <w:t xml:space="preserve"> </w:t>
      </w:r>
      <w:r w:rsidRPr="001E3A25">
        <w:rPr>
          <w:snapToGrid/>
          <w:sz w:val="24"/>
        </w:rPr>
        <w:t xml:space="preserve">meetings are deemed to be written </w:t>
      </w:r>
      <w:r w:rsidRPr="001E3A25">
        <w:rPr>
          <w:i/>
          <w:iCs/>
          <w:snapToGrid/>
          <w:sz w:val="24"/>
        </w:rPr>
        <w:t xml:space="preserve">ex </w:t>
      </w:r>
      <w:r w:rsidRPr="001E3A25">
        <w:rPr>
          <w:i/>
          <w:iCs/>
          <w:snapToGrid/>
          <w:sz w:val="24"/>
        </w:rPr>
        <w:t>parte</w:t>
      </w:r>
      <w:r w:rsidRPr="001E3A25">
        <w:rPr>
          <w:snapToGrid/>
          <w:sz w:val="24"/>
        </w:rPr>
        <w:t xml:space="preserve"> presentations and must be filed consistent with ru</w:t>
      </w:r>
      <w:r w:rsidRPr="001E3A25" w:rsidR="005F4CFF">
        <w:rPr>
          <w:snapToGrid/>
          <w:sz w:val="24"/>
        </w:rPr>
        <w:t>le 1.1206(b)</w:t>
      </w:r>
      <w:r w:rsidRPr="001E3A25">
        <w:rPr>
          <w:snapToGrid/>
          <w:sz w:val="24"/>
        </w:rPr>
        <w:t xml:space="preserve">.  </w:t>
      </w:r>
      <w:r w:rsidRPr="001E3A25" w:rsidR="00F00051">
        <w:rPr>
          <w:snapToGrid/>
          <w:sz w:val="24"/>
        </w:rPr>
        <w:t xml:space="preserve">In proceedings governed by rule 1.29(f) or for which the Commission has made available a method of electronic filing, written </w:t>
      </w:r>
      <w:r w:rsidRPr="001E3A25" w:rsidR="00F00051">
        <w:rPr>
          <w:i/>
          <w:snapToGrid/>
          <w:sz w:val="24"/>
        </w:rPr>
        <w:t xml:space="preserve">ex </w:t>
      </w:r>
      <w:r w:rsidRPr="001E3A25" w:rsidR="00F00051">
        <w:rPr>
          <w:i/>
          <w:snapToGrid/>
          <w:sz w:val="24"/>
        </w:rPr>
        <w:t>parte</w:t>
      </w:r>
      <w:r w:rsidRPr="001E3A25" w:rsidR="00F00051">
        <w:rPr>
          <w:snapToGrid/>
          <w:sz w:val="24"/>
        </w:rPr>
        <w:t xml:space="preserve"> presentations and memoranda summarizing oral </w:t>
      </w:r>
      <w:r w:rsidRPr="001E3A25" w:rsidR="00F00051">
        <w:rPr>
          <w:i/>
          <w:snapToGrid/>
          <w:sz w:val="24"/>
        </w:rPr>
        <w:t xml:space="preserve">ex </w:t>
      </w:r>
      <w:r w:rsidRPr="001E3A25" w:rsidR="00F00051">
        <w:rPr>
          <w:i/>
          <w:snapToGrid/>
          <w:sz w:val="24"/>
        </w:rPr>
        <w:t>parte</w:t>
      </w:r>
      <w:r w:rsidRPr="001E3A25" w:rsidR="00F00051">
        <w:rPr>
          <w:i/>
          <w:snapToGrid/>
          <w:sz w:val="24"/>
        </w:rPr>
        <w:t xml:space="preserve"> </w:t>
      </w:r>
      <w:r w:rsidRPr="001E3A25" w:rsidR="00F00051">
        <w:rPr>
          <w:snapToGrid/>
          <w:sz w:val="24"/>
        </w:rPr>
        <w:t>presentation, and all attachments thereto, must be filed through the electronic comment filing system available for that proceeding, and must be filed in their native format (</w:t>
      </w:r>
      <w:r w:rsidRPr="001E3A25" w:rsidR="00F00051">
        <w:rPr>
          <w:i/>
          <w:snapToGrid/>
          <w:sz w:val="24"/>
        </w:rPr>
        <w:t>e.g.</w:t>
      </w:r>
      <w:r w:rsidRPr="001E3A25" w:rsidR="00F00051">
        <w:rPr>
          <w:snapToGrid/>
          <w:sz w:val="24"/>
        </w:rPr>
        <w:t>, .doc, .xml, .ppt, searchable .pdf)</w:t>
      </w:r>
      <w:r w:rsidRPr="001E3A25">
        <w:rPr>
          <w:snapToGrid/>
          <w:sz w:val="24"/>
        </w:rPr>
        <w:t xml:space="preserve">.  </w:t>
      </w:r>
      <w:r w:rsidRPr="001E3A25" w:rsidR="00F00051">
        <w:rPr>
          <w:snapToGrid/>
          <w:sz w:val="24"/>
        </w:rPr>
        <w:t xml:space="preserve">Participants in this proceeding should familiarize themselves with the Commission’s </w:t>
      </w:r>
      <w:r w:rsidRPr="001E3A25" w:rsidR="00F00051">
        <w:rPr>
          <w:i/>
          <w:iCs/>
          <w:snapToGrid/>
          <w:sz w:val="24"/>
        </w:rPr>
        <w:t xml:space="preserve">ex </w:t>
      </w:r>
      <w:r w:rsidRPr="001E3A25" w:rsidR="00F00051">
        <w:rPr>
          <w:i/>
          <w:iCs/>
          <w:snapToGrid/>
          <w:sz w:val="24"/>
        </w:rPr>
        <w:t>parte</w:t>
      </w:r>
      <w:r w:rsidRPr="001E3A25" w:rsidR="00F00051">
        <w:rPr>
          <w:i/>
          <w:iCs/>
          <w:snapToGrid/>
          <w:sz w:val="24"/>
        </w:rPr>
        <w:t xml:space="preserve"> </w:t>
      </w:r>
      <w:r w:rsidRPr="001E3A25" w:rsidR="00F00051">
        <w:rPr>
          <w:snapToGrid/>
          <w:sz w:val="24"/>
        </w:rPr>
        <w:t xml:space="preserve">rules.  </w:t>
      </w:r>
      <w:r w:rsidRPr="001E3A25">
        <w:rPr>
          <w:snapToGrid/>
          <w:sz w:val="24"/>
        </w:rPr>
        <w:t xml:space="preserve">All </w:t>
      </w:r>
      <w:r w:rsidRPr="001E3A25">
        <w:rPr>
          <w:i/>
          <w:snapToGrid/>
          <w:sz w:val="24"/>
        </w:rPr>
        <w:t xml:space="preserve">ex </w:t>
      </w:r>
      <w:r w:rsidRPr="001E3A25">
        <w:rPr>
          <w:i/>
          <w:snapToGrid/>
          <w:sz w:val="24"/>
        </w:rPr>
        <w:t>parte</w:t>
      </w:r>
      <w:r w:rsidRPr="001E3A25">
        <w:rPr>
          <w:snapToGrid/>
          <w:sz w:val="24"/>
        </w:rPr>
        <w:t xml:space="preserve"> filings must be clearly labele</w:t>
      </w:r>
      <w:r w:rsidRPr="001E3A25" w:rsidR="00834435">
        <w:rPr>
          <w:snapToGrid/>
          <w:sz w:val="24"/>
        </w:rPr>
        <w:t xml:space="preserve">d as such and must reference PS </w:t>
      </w:r>
      <w:r w:rsidRPr="001E3A25">
        <w:rPr>
          <w:snapToGrid/>
          <w:sz w:val="24"/>
        </w:rPr>
        <w:t>Docket No. 19-</w:t>
      </w:r>
      <w:r w:rsidR="007B203A">
        <w:rPr>
          <w:snapToGrid/>
          <w:sz w:val="24"/>
        </w:rPr>
        <w:t>254</w:t>
      </w:r>
      <w:r w:rsidRPr="001E3A25">
        <w:rPr>
          <w:snapToGrid/>
          <w:sz w:val="24"/>
        </w:rPr>
        <w:t>.</w:t>
      </w:r>
    </w:p>
    <w:p w:rsidR="004E4D65" w:rsidP="004E4D65">
      <w:pPr>
        <w:rPr>
          <w:snapToGrid/>
        </w:rPr>
      </w:pPr>
    </w:p>
    <w:p w:rsidR="004E4D65" w:rsidRPr="001E3A25" w:rsidP="004E4D65">
      <w:pPr>
        <w:jc w:val="center"/>
        <w:rPr>
          <w:snapToGrid/>
        </w:rPr>
      </w:pPr>
      <w:r>
        <w:rPr>
          <w:snapToGrid/>
        </w:rPr>
        <w:t xml:space="preserve">- </w:t>
      </w:r>
      <w:r w:rsidRPr="004E4D65">
        <w:rPr>
          <w:b/>
          <w:snapToGrid/>
        </w:rPr>
        <w:t>FCC</w:t>
      </w:r>
      <w:r>
        <w:rPr>
          <w:snapToGrid/>
        </w:rPr>
        <w:t xml:space="preserve"> -</w:t>
      </w:r>
    </w:p>
    <w:sectPr w:rsidSect="004E4D65">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6C50F9">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sidR="007B01CA">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6C50F9">
    <w:pPr>
      <w:pStyle w:val="Footer"/>
      <w:tabs>
        <w:tab w:val="clear" w:pos="4320"/>
        <w:tab w:val="center" w:pos="468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84BAA">
      <w:r>
        <w:separator/>
      </w:r>
    </w:p>
  </w:footnote>
  <w:footnote w:type="continuationSeparator" w:id="1">
    <w:p w:rsidR="00884BAA">
      <w:pPr>
        <w:rPr>
          <w:sz w:val="20"/>
        </w:rPr>
      </w:pPr>
      <w:r>
        <w:rPr>
          <w:sz w:val="20"/>
        </w:rPr>
        <w:t xml:space="preserve">(Continued from previous page)  </w:t>
      </w:r>
      <w:r>
        <w:rPr>
          <w:sz w:val="20"/>
        </w:rPr>
        <w:separator/>
      </w:r>
    </w:p>
  </w:footnote>
  <w:footnote w:type="continuationNotice" w:id="2">
    <w:p w:rsidR="00884BAA" w:rsidP="00910F12">
      <w:pPr>
        <w:jc w:val="right"/>
        <w:rPr>
          <w:sz w:val="20"/>
        </w:rPr>
      </w:pPr>
      <w:r>
        <w:rPr>
          <w:sz w:val="20"/>
        </w:rPr>
        <w:t>(continued….)</w:t>
      </w:r>
    </w:p>
  </w:footnote>
  <w:footnote w:id="3">
    <w:p w:rsidR="00B96285" w:rsidP="00B96285">
      <w:pPr>
        <w:pStyle w:val="FootnoteText"/>
      </w:pPr>
      <w:r>
        <w:rPr>
          <w:rStyle w:val="FootnoteReference"/>
        </w:rPr>
        <w:footnoteRef/>
      </w:r>
      <w:r>
        <w:t xml:space="preserve"> Boulder Regional Emergency Telephone Service Authority Petition for Reconsideration, or in the Alternative, Petition for Declaratory Ruling and Petition for Rulemaking, PS Docket No. 16-269, PS Docket No. 12-94, PS Docket 06-229, WT Docket No. 06-150 (filed Nov. 21, 2018) (BRETSA Petitions). </w:t>
      </w:r>
    </w:p>
  </w:footnote>
  <w:footnote w:id="4">
    <w:p w:rsidR="00F12F02" w:rsidP="00F12F02">
      <w:pPr>
        <w:pStyle w:val="FootnoteText"/>
      </w:pPr>
      <w:r>
        <w:rPr>
          <w:rStyle w:val="FootnoteReference"/>
        </w:rPr>
        <w:footnoteRef/>
      </w:r>
      <w:r>
        <w:t xml:space="preserve"> </w:t>
      </w:r>
      <w:r w:rsidRPr="006C10EE" w:rsidR="00856E9A">
        <w:rPr>
          <w:i/>
        </w:rPr>
        <w:t>See</w:t>
      </w:r>
      <w:r w:rsidR="00856E9A">
        <w:t xml:space="preserve"> </w:t>
      </w:r>
      <w:r w:rsidRPr="006C10EE" w:rsidR="00856E9A">
        <w:rPr>
          <w:i/>
        </w:rPr>
        <w:t>id.</w:t>
      </w:r>
      <w:r w:rsidR="006C10EE">
        <w:t xml:space="preserve"> at 1-2; </w:t>
      </w:r>
      <w:r w:rsidRPr="006C10EE" w:rsidR="006C10EE">
        <w:rPr>
          <w:i/>
        </w:rPr>
        <w:t>see also</w:t>
      </w:r>
      <w:r w:rsidR="006C10EE">
        <w:t xml:space="preserve"> </w:t>
      </w:r>
      <w:r w:rsidR="00B96285">
        <w:t>Colorado Public Safety Broadband Governing Body Request for Commission Clarification on Guidelines for Commercial Network Interoperability for the National Public Safety Broadband Network (NPSBN)</w:t>
      </w:r>
      <w:r>
        <w:t xml:space="preserve">, PS Docket No. 16-269, PS Docket No. 12-94, PS Docket 06-229, WT Docket No. 06-150 (filed </w:t>
      </w:r>
      <w:r w:rsidR="00B96285">
        <w:t xml:space="preserve">Jul. 6, </w:t>
      </w:r>
      <w:r w:rsidR="00A958D8">
        <w:t>2018</w:t>
      </w:r>
      <w:r>
        <w:t>)</w:t>
      </w:r>
      <w:r w:rsidR="00B96285">
        <w:t>.</w:t>
      </w:r>
      <w:r w:rsidR="009B352D">
        <w:t xml:space="preserve">  The PSHSB dismissed, without prejudice, </w:t>
      </w:r>
      <w:r w:rsidR="00CD6B1C">
        <w:t xml:space="preserve">CPSBGB’s </w:t>
      </w:r>
      <w:r w:rsidR="009B352D">
        <w:t xml:space="preserve">Request for Clarification as premature.  </w:t>
      </w:r>
      <w:bookmarkStart w:id="2" w:name="_Hlk11938597"/>
      <w:r w:rsidRPr="009B352D" w:rsidR="009B352D">
        <w:rPr>
          <w:i/>
        </w:rPr>
        <w:t>Procedures for Commission Review of State Opt-Out Requests from the FirstNet Radio Access Network, et al.</w:t>
      </w:r>
      <w:r w:rsidR="009B352D">
        <w:t xml:space="preserve">, Order, 33 FCC </w:t>
      </w:r>
      <w:r w:rsidR="009B352D">
        <w:t>Rcd</w:t>
      </w:r>
      <w:r w:rsidR="009B352D">
        <w:t xml:space="preserve"> 10148, </w:t>
      </w:r>
      <w:r w:rsidR="001006EE">
        <w:t xml:space="preserve">10148, </w:t>
      </w:r>
      <w:r w:rsidR="0021299D">
        <w:t xml:space="preserve">10150, </w:t>
      </w:r>
      <w:r w:rsidR="001006EE">
        <w:t xml:space="preserve">10151, paras. </w:t>
      </w:r>
      <w:r w:rsidR="0021299D">
        <w:t xml:space="preserve">1, </w:t>
      </w:r>
      <w:r w:rsidR="001006EE">
        <w:t>6, 9</w:t>
      </w:r>
      <w:r w:rsidR="009B352D">
        <w:t xml:space="preserve"> (PSHSB 2018).</w:t>
      </w:r>
      <w:r>
        <w:t xml:space="preserve"> </w:t>
      </w:r>
      <w:bookmarkEnd w:id="2"/>
    </w:p>
  </w:footnote>
  <w:footnote w:id="5">
    <w:p w:rsidR="00F12F02" w:rsidRPr="004011DA" w:rsidP="00F12F02">
      <w:pPr>
        <w:pStyle w:val="FootnoteText"/>
      </w:pPr>
      <w:r>
        <w:rPr>
          <w:rStyle w:val="FootnoteReference"/>
        </w:rPr>
        <w:footnoteRef/>
      </w:r>
      <w:r>
        <w:t xml:space="preserve"> </w:t>
      </w:r>
      <w:r>
        <w:rPr>
          <w:i/>
        </w:rPr>
        <w:t xml:space="preserve">See </w:t>
      </w:r>
      <w:r w:rsidRPr="006C1ACF">
        <w:t xml:space="preserve">47 C.F.R. § </w:t>
      </w:r>
      <w:r>
        <w:t xml:space="preserve">1.2; </w:t>
      </w:r>
      <w:r>
        <w:rPr>
          <w:i/>
        </w:rPr>
        <w:t xml:space="preserve">see also </w:t>
      </w:r>
      <w:r>
        <w:t xml:space="preserve">BRETSA Petitions at 8. </w:t>
      </w:r>
    </w:p>
  </w:footnote>
  <w:footnote w:id="6">
    <w:p w:rsidR="00B96285" w:rsidP="00B96285">
      <w:pPr>
        <w:pStyle w:val="FootnoteText"/>
      </w:pPr>
      <w:r>
        <w:rPr>
          <w:rStyle w:val="FootnoteReference"/>
        </w:rPr>
        <w:footnoteRef/>
      </w:r>
      <w:r>
        <w:t xml:space="preserve"> </w:t>
      </w:r>
      <w:r>
        <w:rPr>
          <w:i/>
        </w:rPr>
        <w:t xml:space="preserve">See </w:t>
      </w:r>
      <w:r w:rsidRPr="006C1ACF">
        <w:t xml:space="preserve">47 C.F.R. § </w:t>
      </w:r>
      <w:r>
        <w:t>1.401.</w:t>
      </w:r>
    </w:p>
  </w:footnote>
  <w:footnote w:id="7">
    <w:p w:rsidR="00F12F02" w:rsidP="00F12F02">
      <w:pPr>
        <w:pStyle w:val="FootnoteText"/>
      </w:pPr>
      <w:r>
        <w:rPr>
          <w:rStyle w:val="FootnoteReference"/>
        </w:rPr>
        <w:footnoteRef/>
      </w:r>
      <w:r>
        <w:t xml:space="preserve"> </w:t>
      </w:r>
      <w:r w:rsidR="00993182">
        <w:t>BRETSA Petitions</w:t>
      </w:r>
      <w:r w:rsidRPr="00F12F02">
        <w:rPr>
          <w:i/>
        </w:rPr>
        <w:t xml:space="preserve"> </w:t>
      </w:r>
      <w:r>
        <w:t>at 9.</w:t>
      </w:r>
    </w:p>
  </w:footnote>
  <w:footnote w:id="8">
    <w:p w:rsidR="006E7558" w:rsidRPr="00D147CD" w:rsidP="006E7558">
      <w:pPr>
        <w:pStyle w:val="FootnoteText"/>
      </w:pPr>
      <w:r w:rsidRPr="00D147CD">
        <w:rPr>
          <w:rStyle w:val="FootnoteReference"/>
        </w:rPr>
        <w:footnoteRef/>
      </w:r>
      <w:r w:rsidRPr="00D147CD">
        <w:t xml:space="preserve"> 47 CFR § 1.1200(a).</w:t>
      </w:r>
    </w:p>
  </w:footnote>
  <w:footnote w:id="9">
    <w:p w:rsidR="006E7558" w:rsidRPr="00D147CD" w:rsidP="006E7558">
      <w:pPr>
        <w:pStyle w:val="FootnoteText"/>
      </w:pPr>
      <w:r w:rsidRPr="00D147CD">
        <w:rPr>
          <w:rStyle w:val="FootnoteReference"/>
        </w:rPr>
        <w:footnoteRef/>
      </w:r>
      <w:r w:rsidRPr="00D147CD">
        <w:t xml:space="preserve"> </w:t>
      </w:r>
      <w:r w:rsidRPr="00D147CD">
        <w:rPr>
          <w:i/>
        </w:rPr>
        <w:t>See</w:t>
      </w:r>
      <w:r w:rsidRPr="00D147CD">
        <w:t xml:space="preserve"> </w:t>
      </w:r>
      <w:r w:rsidR="00C643E7">
        <w:t xml:space="preserve">§ 1.1200 </w:t>
      </w:r>
      <w:r w:rsidR="00C643E7">
        <w:rPr>
          <w:i/>
        </w:rPr>
        <w:t>et seq</w:t>
      </w:r>
      <w:r w:rsidRPr="00D147CD">
        <w:t>.</w:t>
      </w:r>
    </w:p>
  </w:footnote>
  <w:footnote w:id="10">
    <w:p w:rsidR="006E7558" w:rsidRPr="00D147CD" w:rsidP="006E7558">
      <w:pPr>
        <w:pStyle w:val="FootnoteText"/>
        <w:rPr>
          <w:i/>
          <w:iCs/>
        </w:rPr>
      </w:pPr>
      <w:r w:rsidRPr="00D147CD">
        <w:rPr>
          <w:rStyle w:val="FootnoteReference"/>
        </w:rPr>
        <w:footnoteRef/>
      </w:r>
      <w:r w:rsidR="00C643E7">
        <w:t xml:space="preserve"> 47 CFR § 1.1206(a)(3).  </w:t>
      </w:r>
    </w:p>
  </w:footnote>
  <w:footnote w:id="11">
    <w:p w:rsidR="00C62036">
      <w:pPr>
        <w:pStyle w:val="FootnoteText"/>
      </w:pPr>
      <w:r>
        <w:rPr>
          <w:rStyle w:val="FootnoteReference"/>
        </w:rPr>
        <w:footnoteRef/>
      </w:r>
      <w:r>
        <w:t xml:space="preserve"> 47 CFR </w:t>
      </w:r>
      <w:r w:rsidR="005F4CFF">
        <w:t>§ 1.1206(b)(2).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3B5E2A">
      <w:rPr>
        <w:b/>
      </w:rPr>
      <w:t>DA 19-902</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1312" o:allowincell="f">
          <v:imagedata r:id="rId1" o:title="fcc_logo"/>
          <w10:wrap type="topAndBottom"/>
        </v:shape>
      </w:pict>
    </w:r>
    <w:r w:rsidRPr="00A866AC" w:rsidR="00011C71">
      <w:rPr>
        <w:rFonts w:ascii="Arial" w:hAnsi="Arial" w:cs="Arial"/>
        <w:b/>
        <w:sz w:val="96"/>
      </w:rPr>
      <w:t>PUBLIC NOTICE</w:t>
    </w:r>
  </w:p>
  <w:p w:rsidR="009838BC" w:rsidRPr="00357D50" w:rsidP="009838BC">
    <w:pPr>
      <w:spacing w:before="40"/>
      <w:rPr>
        <w:rFonts w:ascii="Arial" w:hAnsi="Arial" w:cs="Arial"/>
        <w:b/>
        <w:sz w:val="96"/>
      </w:rPr>
    </w:pPr>
    <w:r>
      <w:rPr>
        <w:noProof/>
      </w:rPr>
      <w:pict>
        <v:shape id="Text Box 9" o:spid="_x0000_s2052" type="#_x0000_t202" style="width:207.95pt;height:35.25pt;margin-top:10.3pt;margin-left:267.75pt;position:absolute;visibility:visible;z-index:251660288"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r>
      <w:rPr>
        <w:noProof/>
      </w:rPr>
      <w:pict>
        <v:line id="Straight Connector 10" o:spid="_x0000_s2053" style="mso-position-horizontal:right;mso-position-horizontal-relative:margin;position:absolute;visibility:visible;z-index:251658240" from="416.8pt,56.7pt" to="884.8pt,56.7pt" o:allowincell="f">
          <w10:wrap anchorx="margin"/>
        </v:line>
      </w:pict>
    </w:r>
  </w:p>
  <w:p w:rsidR="006F7393" w:rsidRPr="009838BC" w:rsidP="004E4D65">
    <w:pPr>
      <w:pStyle w:val="Header"/>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B922302"/>
    <w:multiLevelType w:val="hybridMultilevel"/>
    <w:tmpl w:val="73422A9E"/>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F9517C4"/>
    <w:multiLevelType w:val="hybridMultilevel"/>
    <w:tmpl w:val="903A91DC"/>
    <w:lvl w:ilvl="0">
      <w:start w:val="1"/>
      <w:numFmt w:val="lowerLetter"/>
      <w:lvlText w:val="(%1)"/>
      <w:lvlJc w:val="left"/>
      <w:pPr>
        <w:ind w:left="1080" w:hanging="360"/>
      </w:pPr>
      <w:rPr>
        <w:rFonts w:ascii="Times New Roman" w:eastAsia="Times New Roman" w:hAnsi="Times New Roman" w:cs="Times New Roman"/>
        <w:sz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nsid w:val="6FB42C89"/>
    <w:multiLevelType w:val="hybridMultilevel"/>
    <w:tmpl w:val="A2C4C530"/>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73815E23"/>
    <w:multiLevelType w:val="hybridMultilevel"/>
    <w:tmpl w:val="7E424C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3"/>
  </w:num>
  <w:num w:numId="2">
    <w:abstractNumId w:val="9"/>
  </w:num>
  <w:num w:numId="3">
    <w:abstractNumId w:val="5"/>
  </w:num>
  <w:num w:numId="4">
    <w:abstractNumId w:val="8"/>
  </w:num>
  <w:num w:numId="5">
    <w:abstractNumId w:val="4"/>
  </w:num>
  <w:num w:numId="6">
    <w:abstractNumId w:val="1"/>
  </w:num>
  <w:num w:numId="7">
    <w:abstractNumId w:val="10"/>
  </w:num>
  <w:num w:numId="8">
    <w:abstractNumId w:val="6"/>
  </w:num>
  <w:num w:numId="9">
    <w:abstractNumId w:val="0"/>
  </w:num>
  <w:num w:numId="10">
    <w:abstractNumId w:val="12"/>
  </w:num>
  <w:num w:numId="11">
    <w:abstractNumId w:val="7"/>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2F5"/>
    <w:rsid w:val="00006A35"/>
    <w:rsid w:val="000072CE"/>
    <w:rsid w:val="00011C71"/>
    <w:rsid w:val="00013A8B"/>
    <w:rsid w:val="00021445"/>
    <w:rsid w:val="00027FCC"/>
    <w:rsid w:val="00030603"/>
    <w:rsid w:val="00033BCE"/>
    <w:rsid w:val="00036039"/>
    <w:rsid w:val="00037F90"/>
    <w:rsid w:val="000771EA"/>
    <w:rsid w:val="000875BF"/>
    <w:rsid w:val="00096D8C"/>
    <w:rsid w:val="000B5E7A"/>
    <w:rsid w:val="000C0B65"/>
    <w:rsid w:val="000E3D42"/>
    <w:rsid w:val="000E5884"/>
    <w:rsid w:val="001006EE"/>
    <w:rsid w:val="0010461B"/>
    <w:rsid w:val="00122BD5"/>
    <w:rsid w:val="001246BC"/>
    <w:rsid w:val="0016351D"/>
    <w:rsid w:val="0016761B"/>
    <w:rsid w:val="00171898"/>
    <w:rsid w:val="0019139F"/>
    <w:rsid w:val="0019544A"/>
    <w:rsid w:val="001979D9"/>
    <w:rsid w:val="001D6BCF"/>
    <w:rsid w:val="001E01CA"/>
    <w:rsid w:val="001E3A25"/>
    <w:rsid w:val="002060D9"/>
    <w:rsid w:val="0021299D"/>
    <w:rsid w:val="00212A71"/>
    <w:rsid w:val="002267AF"/>
    <w:rsid w:val="00226822"/>
    <w:rsid w:val="00260594"/>
    <w:rsid w:val="00285017"/>
    <w:rsid w:val="00287F33"/>
    <w:rsid w:val="00291B47"/>
    <w:rsid w:val="00291C44"/>
    <w:rsid w:val="00292C90"/>
    <w:rsid w:val="002A2D2E"/>
    <w:rsid w:val="00331177"/>
    <w:rsid w:val="00335D83"/>
    <w:rsid w:val="00343749"/>
    <w:rsid w:val="00353EC6"/>
    <w:rsid w:val="00357D50"/>
    <w:rsid w:val="003925DC"/>
    <w:rsid w:val="003A05FE"/>
    <w:rsid w:val="003A5685"/>
    <w:rsid w:val="003B0550"/>
    <w:rsid w:val="003B5E2A"/>
    <w:rsid w:val="003B694F"/>
    <w:rsid w:val="003F171C"/>
    <w:rsid w:val="003F70CB"/>
    <w:rsid w:val="004011DA"/>
    <w:rsid w:val="00412FC5"/>
    <w:rsid w:val="00422276"/>
    <w:rsid w:val="004242F1"/>
    <w:rsid w:val="0043436A"/>
    <w:rsid w:val="00445A00"/>
    <w:rsid w:val="00451B0F"/>
    <w:rsid w:val="0046125F"/>
    <w:rsid w:val="00462053"/>
    <w:rsid w:val="00465A27"/>
    <w:rsid w:val="00470D28"/>
    <w:rsid w:val="00487524"/>
    <w:rsid w:val="00496106"/>
    <w:rsid w:val="004B69B4"/>
    <w:rsid w:val="004C12D0"/>
    <w:rsid w:val="004C2EE3"/>
    <w:rsid w:val="004E4A22"/>
    <w:rsid w:val="004E4D65"/>
    <w:rsid w:val="004E5F31"/>
    <w:rsid w:val="00511968"/>
    <w:rsid w:val="00524024"/>
    <w:rsid w:val="0055614C"/>
    <w:rsid w:val="005826B3"/>
    <w:rsid w:val="005F4CFF"/>
    <w:rsid w:val="00607BA5"/>
    <w:rsid w:val="00626EB6"/>
    <w:rsid w:val="006353A3"/>
    <w:rsid w:val="00655D03"/>
    <w:rsid w:val="00683F84"/>
    <w:rsid w:val="00694E65"/>
    <w:rsid w:val="006A6A81"/>
    <w:rsid w:val="006C10EE"/>
    <w:rsid w:val="006C1ACF"/>
    <w:rsid w:val="006C50F9"/>
    <w:rsid w:val="006D26E1"/>
    <w:rsid w:val="006E26AF"/>
    <w:rsid w:val="006E7558"/>
    <w:rsid w:val="006F7393"/>
    <w:rsid w:val="0070224F"/>
    <w:rsid w:val="007115F7"/>
    <w:rsid w:val="00722157"/>
    <w:rsid w:val="00781C8F"/>
    <w:rsid w:val="00785689"/>
    <w:rsid w:val="00791308"/>
    <w:rsid w:val="00795F29"/>
    <w:rsid w:val="0079754B"/>
    <w:rsid w:val="007A1E6D"/>
    <w:rsid w:val="007B01CA"/>
    <w:rsid w:val="007B0BDA"/>
    <w:rsid w:val="007B203A"/>
    <w:rsid w:val="007E3FCF"/>
    <w:rsid w:val="007F46D9"/>
    <w:rsid w:val="00815F99"/>
    <w:rsid w:val="00822CE0"/>
    <w:rsid w:val="00834435"/>
    <w:rsid w:val="00837C62"/>
    <w:rsid w:val="008402DB"/>
    <w:rsid w:val="00841AB1"/>
    <w:rsid w:val="00856E9A"/>
    <w:rsid w:val="0086073B"/>
    <w:rsid w:val="00872539"/>
    <w:rsid w:val="00884BAA"/>
    <w:rsid w:val="008C22FD"/>
    <w:rsid w:val="008D3020"/>
    <w:rsid w:val="008E711C"/>
    <w:rsid w:val="00910F12"/>
    <w:rsid w:val="00926503"/>
    <w:rsid w:val="00930ECF"/>
    <w:rsid w:val="009508B6"/>
    <w:rsid w:val="00950B56"/>
    <w:rsid w:val="009838BC"/>
    <w:rsid w:val="00984A34"/>
    <w:rsid w:val="00993182"/>
    <w:rsid w:val="009B352D"/>
    <w:rsid w:val="009D4370"/>
    <w:rsid w:val="009F1798"/>
    <w:rsid w:val="00A21445"/>
    <w:rsid w:val="00A252F5"/>
    <w:rsid w:val="00A36ECA"/>
    <w:rsid w:val="00A45F4F"/>
    <w:rsid w:val="00A54FE9"/>
    <w:rsid w:val="00A600A9"/>
    <w:rsid w:val="00A866AC"/>
    <w:rsid w:val="00A958D8"/>
    <w:rsid w:val="00AA2935"/>
    <w:rsid w:val="00AA55B7"/>
    <w:rsid w:val="00AA5B9E"/>
    <w:rsid w:val="00AB2407"/>
    <w:rsid w:val="00AB53DF"/>
    <w:rsid w:val="00AD6ACA"/>
    <w:rsid w:val="00AD6CD8"/>
    <w:rsid w:val="00AF349A"/>
    <w:rsid w:val="00B07E5C"/>
    <w:rsid w:val="00B20363"/>
    <w:rsid w:val="00B2038A"/>
    <w:rsid w:val="00B326E3"/>
    <w:rsid w:val="00B657E9"/>
    <w:rsid w:val="00B75067"/>
    <w:rsid w:val="00B811F7"/>
    <w:rsid w:val="00B87D79"/>
    <w:rsid w:val="00B96285"/>
    <w:rsid w:val="00BA5DC6"/>
    <w:rsid w:val="00BA6196"/>
    <w:rsid w:val="00BC5E29"/>
    <w:rsid w:val="00BC6D8C"/>
    <w:rsid w:val="00C16AF2"/>
    <w:rsid w:val="00C34006"/>
    <w:rsid w:val="00C426B1"/>
    <w:rsid w:val="00C42A2F"/>
    <w:rsid w:val="00C62036"/>
    <w:rsid w:val="00C643E7"/>
    <w:rsid w:val="00C764C1"/>
    <w:rsid w:val="00C82B6B"/>
    <w:rsid w:val="00C90D6A"/>
    <w:rsid w:val="00CC72B6"/>
    <w:rsid w:val="00CD6B1C"/>
    <w:rsid w:val="00D0218D"/>
    <w:rsid w:val="00D147CD"/>
    <w:rsid w:val="00D216CD"/>
    <w:rsid w:val="00D271CA"/>
    <w:rsid w:val="00D27A91"/>
    <w:rsid w:val="00D40B98"/>
    <w:rsid w:val="00D538AC"/>
    <w:rsid w:val="00D65861"/>
    <w:rsid w:val="00D96E28"/>
    <w:rsid w:val="00DA2529"/>
    <w:rsid w:val="00DB130A"/>
    <w:rsid w:val="00DC10A1"/>
    <w:rsid w:val="00DC655F"/>
    <w:rsid w:val="00DD7EBD"/>
    <w:rsid w:val="00DF62B6"/>
    <w:rsid w:val="00E07225"/>
    <w:rsid w:val="00E155B7"/>
    <w:rsid w:val="00E5409F"/>
    <w:rsid w:val="00E839A5"/>
    <w:rsid w:val="00EC0185"/>
    <w:rsid w:val="00F00051"/>
    <w:rsid w:val="00F00E83"/>
    <w:rsid w:val="00F021FA"/>
    <w:rsid w:val="00F12F02"/>
    <w:rsid w:val="00F57ACA"/>
    <w:rsid w:val="00F62E97"/>
    <w:rsid w:val="00F64209"/>
    <w:rsid w:val="00F92E6D"/>
    <w:rsid w:val="00F93BF5"/>
    <w:rsid w:val="00F96F63"/>
    <w:rsid w:val="00FD7FF4"/>
    <w:rsid w:val="00FE507F"/>
    <w:rsid w:val="00FE516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0F9"/>
    <w:pPr>
      <w:widowControl w:val="0"/>
    </w:pPr>
    <w:rPr>
      <w:snapToGrid w:val="0"/>
      <w:kern w:val="28"/>
      <w:sz w:val="22"/>
    </w:rPr>
  </w:style>
  <w:style w:type="paragraph" w:styleId="Heading1">
    <w:name w:val="heading 1"/>
    <w:basedOn w:val="Normal"/>
    <w:next w:val="ParaNum"/>
    <w:qFormat/>
    <w:rsid w:val="006C50F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C50F9"/>
    <w:pPr>
      <w:keepNext/>
      <w:numPr>
        <w:ilvl w:val="1"/>
        <w:numId w:val="3"/>
      </w:numPr>
      <w:spacing w:after="120"/>
      <w:outlineLvl w:val="1"/>
    </w:pPr>
    <w:rPr>
      <w:b/>
    </w:rPr>
  </w:style>
  <w:style w:type="paragraph" w:styleId="Heading3">
    <w:name w:val="heading 3"/>
    <w:basedOn w:val="Normal"/>
    <w:next w:val="ParaNum"/>
    <w:qFormat/>
    <w:rsid w:val="006C50F9"/>
    <w:pPr>
      <w:keepNext/>
      <w:numPr>
        <w:ilvl w:val="2"/>
        <w:numId w:val="3"/>
      </w:numPr>
      <w:tabs>
        <w:tab w:val="left" w:pos="2160"/>
      </w:tabs>
      <w:spacing w:after="120"/>
      <w:outlineLvl w:val="2"/>
    </w:pPr>
    <w:rPr>
      <w:b/>
    </w:rPr>
  </w:style>
  <w:style w:type="paragraph" w:styleId="Heading4">
    <w:name w:val="heading 4"/>
    <w:basedOn w:val="Normal"/>
    <w:next w:val="ParaNum"/>
    <w:qFormat/>
    <w:rsid w:val="006C50F9"/>
    <w:pPr>
      <w:keepNext/>
      <w:numPr>
        <w:ilvl w:val="3"/>
        <w:numId w:val="3"/>
      </w:numPr>
      <w:tabs>
        <w:tab w:val="left" w:pos="2880"/>
      </w:tabs>
      <w:spacing w:after="120"/>
      <w:outlineLvl w:val="3"/>
    </w:pPr>
    <w:rPr>
      <w:b/>
    </w:rPr>
  </w:style>
  <w:style w:type="paragraph" w:styleId="Heading5">
    <w:name w:val="heading 5"/>
    <w:basedOn w:val="Normal"/>
    <w:next w:val="ParaNum"/>
    <w:qFormat/>
    <w:rsid w:val="006C50F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C50F9"/>
    <w:pPr>
      <w:numPr>
        <w:ilvl w:val="5"/>
        <w:numId w:val="3"/>
      </w:numPr>
      <w:tabs>
        <w:tab w:val="left" w:pos="4320"/>
      </w:tabs>
      <w:spacing w:after="120"/>
      <w:outlineLvl w:val="5"/>
    </w:pPr>
    <w:rPr>
      <w:b/>
    </w:rPr>
  </w:style>
  <w:style w:type="paragraph" w:styleId="Heading7">
    <w:name w:val="heading 7"/>
    <w:basedOn w:val="Normal"/>
    <w:next w:val="ParaNum"/>
    <w:qFormat/>
    <w:rsid w:val="006C50F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C50F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C50F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6C50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6C50F9"/>
  </w:style>
  <w:style w:type="paragraph" w:customStyle="1" w:styleId="ParaNum">
    <w:name w:val="ParaNum"/>
    <w:basedOn w:val="Normal"/>
    <w:rsid w:val="006C50F9"/>
    <w:pPr>
      <w:numPr>
        <w:numId w:val="2"/>
      </w:numPr>
      <w:tabs>
        <w:tab w:val="clear" w:pos="1080"/>
        <w:tab w:val="num" w:pos="1440"/>
      </w:tabs>
      <w:spacing w:after="120"/>
    </w:pPr>
  </w:style>
  <w:style w:type="paragraph" w:styleId="EndnoteText">
    <w:name w:val="endnote text"/>
    <w:basedOn w:val="Normal"/>
    <w:semiHidden/>
    <w:rsid w:val="006C50F9"/>
    <w:rPr>
      <w:sz w:val="20"/>
    </w:rPr>
  </w:style>
  <w:style w:type="character" w:styleId="EndnoteReference">
    <w:name w:val="endnote reference"/>
    <w:semiHidden/>
    <w:rsid w:val="006C50F9"/>
    <w:rPr>
      <w:vertAlign w:val="superscript"/>
    </w:rPr>
  </w:style>
  <w:style w:type="paragraph" w:styleId="FootnoteText">
    <w:name w:val="footnote text"/>
    <w:link w:val="FootnoteTextChar"/>
    <w:semiHidden/>
    <w:rsid w:val="006C50F9"/>
    <w:pPr>
      <w:spacing w:after="120"/>
    </w:pPr>
  </w:style>
  <w:style w:type="character" w:styleId="FootnoteReference">
    <w:name w:val="footnote reference"/>
    <w:semiHidden/>
    <w:rsid w:val="006C50F9"/>
    <w:rPr>
      <w:rFonts w:ascii="Times New Roman" w:hAnsi="Times New Roman"/>
      <w:dstrike w:val="0"/>
      <w:color w:val="auto"/>
      <w:sz w:val="22"/>
      <w:vertAlign w:val="superscript"/>
    </w:rPr>
  </w:style>
  <w:style w:type="paragraph" w:styleId="TOC1">
    <w:name w:val="toc 1"/>
    <w:basedOn w:val="Normal"/>
    <w:next w:val="Normal"/>
    <w:uiPriority w:val="39"/>
    <w:rsid w:val="006C50F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C50F9"/>
    <w:pPr>
      <w:tabs>
        <w:tab w:val="left" w:pos="720"/>
        <w:tab w:val="right" w:leader="dot" w:pos="9360"/>
      </w:tabs>
      <w:suppressAutoHyphens/>
      <w:ind w:left="720" w:right="720" w:hanging="360"/>
    </w:pPr>
    <w:rPr>
      <w:noProof/>
    </w:rPr>
  </w:style>
  <w:style w:type="paragraph" w:styleId="TOC3">
    <w:name w:val="toc 3"/>
    <w:basedOn w:val="Normal"/>
    <w:next w:val="Normal"/>
    <w:semiHidden/>
    <w:rsid w:val="006C50F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C50F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C50F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C50F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C50F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C50F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C50F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C50F9"/>
    <w:pPr>
      <w:tabs>
        <w:tab w:val="right" w:pos="9360"/>
      </w:tabs>
      <w:suppressAutoHyphens/>
    </w:pPr>
  </w:style>
  <w:style w:type="character" w:customStyle="1" w:styleId="EquationCaption">
    <w:name w:val="_Equation Caption"/>
    <w:rsid w:val="006C50F9"/>
  </w:style>
  <w:style w:type="paragraph" w:styleId="Header">
    <w:name w:val="header"/>
    <w:basedOn w:val="Normal"/>
    <w:autoRedefine/>
    <w:rsid w:val="006C50F9"/>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6C50F9"/>
    <w:pPr>
      <w:tabs>
        <w:tab w:val="center" w:pos="4320"/>
        <w:tab w:val="right" w:pos="8640"/>
      </w:tabs>
    </w:pPr>
  </w:style>
  <w:style w:type="character" w:styleId="PageNumber">
    <w:name w:val="page number"/>
    <w:basedOn w:val="DefaultParagraphFont"/>
    <w:rsid w:val="006C50F9"/>
  </w:style>
  <w:style w:type="paragraph" w:styleId="BlockText">
    <w:name w:val="Block Text"/>
    <w:basedOn w:val="Normal"/>
    <w:rsid w:val="006C50F9"/>
    <w:pPr>
      <w:spacing w:after="240"/>
      <w:ind w:left="1440" w:right="1440"/>
    </w:pPr>
  </w:style>
  <w:style w:type="paragraph" w:customStyle="1" w:styleId="Paratitle">
    <w:name w:val="Para title"/>
    <w:basedOn w:val="Normal"/>
    <w:rsid w:val="006C50F9"/>
    <w:pPr>
      <w:tabs>
        <w:tab w:val="center" w:pos="9270"/>
      </w:tabs>
      <w:spacing w:after="240"/>
    </w:pPr>
    <w:rPr>
      <w:spacing w:val="-2"/>
    </w:rPr>
  </w:style>
  <w:style w:type="paragraph" w:customStyle="1" w:styleId="Bullet">
    <w:name w:val="Bullet"/>
    <w:basedOn w:val="Normal"/>
    <w:rsid w:val="006C50F9"/>
    <w:pPr>
      <w:numPr>
        <w:numId w:val="1"/>
      </w:numPr>
      <w:tabs>
        <w:tab w:val="clear" w:pos="360"/>
        <w:tab w:val="left" w:pos="2160"/>
      </w:tabs>
      <w:spacing w:after="220"/>
      <w:ind w:left="2160" w:hanging="720"/>
    </w:pPr>
  </w:style>
  <w:style w:type="paragraph" w:customStyle="1" w:styleId="TableFormat">
    <w:name w:val="TableFormat"/>
    <w:basedOn w:val="Bullet"/>
    <w:rsid w:val="006C50F9"/>
    <w:pPr>
      <w:numPr>
        <w:numId w:val="0"/>
      </w:numPr>
      <w:tabs>
        <w:tab w:val="clear" w:pos="2160"/>
        <w:tab w:val="left" w:pos="5040"/>
      </w:tabs>
      <w:ind w:left="5040" w:hanging="3600"/>
    </w:pPr>
  </w:style>
  <w:style w:type="paragraph" w:customStyle="1" w:styleId="TOCTitle">
    <w:name w:val="TOC Title"/>
    <w:basedOn w:val="Normal"/>
    <w:rsid w:val="006C50F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C50F9"/>
    <w:pPr>
      <w:jc w:val="center"/>
    </w:pPr>
    <w:rPr>
      <w:rFonts w:ascii="Times New Roman Bold" w:hAnsi="Times New Roman Bold"/>
      <w:b/>
      <w:bCs/>
      <w:caps/>
      <w:szCs w:val="22"/>
    </w:rPr>
  </w:style>
  <w:style w:type="character" w:styleId="Hyperlink">
    <w:name w:val="Hyperlink"/>
    <w:rsid w:val="006C50F9"/>
    <w:rPr>
      <w:color w:val="0000FF"/>
      <w:u w:val="single"/>
    </w:rPr>
  </w:style>
  <w:style w:type="character" w:customStyle="1" w:styleId="FooterChar">
    <w:name w:val="Footer Char"/>
    <w:link w:val="Footer"/>
    <w:uiPriority w:val="99"/>
    <w:rsid w:val="006C50F9"/>
    <w:rPr>
      <w:snapToGrid w:val="0"/>
      <w:kern w:val="28"/>
      <w:sz w:val="22"/>
    </w:rPr>
  </w:style>
  <w:style w:type="character" w:customStyle="1" w:styleId="FootnoteTextChar">
    <w:name w:val="Footnote Text Char"/>
    <w:link w:val="FootnoteText"/>
    <w:semiHidden/>
    <w:rsid w:val="003F70CB"/>
  </w:style>
  <w:style w:type="paragraph" w:styleId="BalloonText">
    <w:name w:val="Balloon Text"/>
    <w:basedOn w:val="Normal"/>
    <w:link w:val="BalloonTextChar"/>
    <w:uiPriority w:val="99"/>
    <w:semiHidden/>
    <w:unhideWhenUsed/>
    <w:rsid w:val="003F70CB"/>
    <w:rPr>
      <w:rFonts w:ascii="Segoe UI" w:hAnsi="Segoe UI" w:cs="Segoe UI"/>
      <w:sz w:val="18"/>
      <w:szCs w:val="18"/>
    </w:rPr>
  </w:style>
  <w:style w:type="character" w:customStyle="1" w:styleId="BalloonTextChar">
    <w:name w:val="Balloon Text Char"/>
    <w:link w:val="BalloonText"/>
    <w:uiPriority w:val="99"/>
    <w:semiHidden/>
    <w:rsid w:val="003F70CB"/>
    <w:rPr>
      <w:rFonts w:ascii="Segoe UI" w:hAnsi="Segoe UI" w:cs="Segoe UI"/>
      <w:snapToGrid w:val="0"/>
      <w:kern w:val="28"/>
      <w:sz w:val="18"/>
      <w:szCs w:val="18"/>
    </w:rPr>
  </w:style>
  <w:style w:type="character" w:styleId="CommentReference">
    <w:name w:val="annotation reference"/>
    <w:uiPriority w:val="99"/>
    <w:semiHidden/>
    <w:unhideWhenUsed/>
    <w:rsid w:val="00465A27"/>
    <w:rPr>
      <w:sz w:val="16"/>
      <w:szCs w:val="16"/>
    </w:rPr>
  </w:style>
  <w:style w:type="paragraph" w:styleId="CommentText">
    <w:name w:val="annotation text"/>
    <w:basedOn w:val="Normal"/>
    <w:link w:val="CommentTextChar"/>
    <w:uiPriority w:val="99"/>
    <w:unhideWhenUsed/>
    <w:rsid w:val="00465A27"/>
    <w:rPr>
      <w:sz w:val="20"/>
    </w:rPr>
  </w:style>
  <w:style w:type="character" w:customStyle="1" w:styleId="CommentTextChar">
    <w:name w:val="Comment Text Char"/>
    <w:link w:val="CommentText"/>
    <w:uiPriority w:val="99"/>
    <w:rsid w:val="00465A27"/>
    <w:rPr>
      <w:snapToGrid w:val="0"/>
      <w:kern w:val="28"/>
    </w:rPr>
  </w:style>
  <w:style w:type="paragraph" w:styleId="CommentSubject">
    <w:name w:val="annotation subject"/>
    <w:basedOn w:val="CommentText"/>
    <w:next w:val="CommentText"/>
    <w:link w:val="CommentSubjectChar"/>
    <w:uiPriority w:val="99"/>
    <w:semiHidden/>
    <w:unhideWhenUsed/>
    <w:rsid w:val="00465A27"/>
    <w:rPr>
      <w:b/>
      <w:bCs/>
    </w:rPr>
  </w:style>
  <w:style w:type="character" w:customStyle="1" w:styleId="CommentSubjectChar">
    <w:name w:val="Comment Subject Char"/>
    <w:link w:val="CommentSubject"/>
    <w:uiPriority w:val="99"/>
    <w:semiHidden/>
    <w:rsid w:val="00465A27"/>
    <w:rPr>
      <w:b/>
      <w:bCs/>
      <w:snapToGrid w:val="0"/>
      <w:kern w:val="28"/>
    </w:rPr>
  </w:style>
  <w:style w:type="paragraph" w:styleId="Revision">
    <w:name w:val="Revision"/>
    <w:hidden/>
    <w:uiPriority w:val="99"/>
    <w:semiHidden/>
    <w:rsid w:val="00FD7FF4"/>
    <w:rPr>
      <w:snapToGrid w:val="0"/>
      <w:kern w:val="28"/>
      <w:sz w:val="22"/>
    </w:rPr>
  </w:style>
  <w:style w:type="paragraph" w:styleId="ListParagraph">
    <w:name w:val="List Paragraph"/>
    <w:basedOn w:val="Normal"/>
    <w:uiPriority w:val="34"/>
    <w:qFormat/>
    <w:rsid w:val="004E4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