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776F9" w:rsidP="00F776F9" w14:paraId="4EDD5264" w14:textId="77777777">
      <w:pPr>
        <w:jc w:val="center"/>
        <w:rPr>
          <w:b/>
        </w:rPr>
      </w:pPr>
      <w:r w:rsidRPr="0070224F">
        <w:rPr>
          <w:rFonts w:ascii="Times New Roman Bold" w:hAnsi="Times New Roman Bold"/>
          <w:b/>
          <w:kern w:val="0"/>
          <w:szCs w:val="22"/>
        </w:rPr>
        <w:t>Before</w:t>
      </w:r>
      <w:r>
        <w:rPr>
          <w:b/>
        </w:rPr>
        <w:t xml:space="preserve"> the</w:t>
      </w:r>
      <w:bookmarkStart w:id="0" w:name="_GoBack"/>
      <w:bookmarkEnd w:id="0"/>
    </w:p>
    <w:p w:rsidR="00F776F9" w:rsidP="00F776F9" w14:paraId="1BAEA531" w14:textId="77777777">
      <w:pPr>
        <w:pStyle w:val="StyleBoldCentered"/>
      </w:pPr>
      <w:r>
        <w:t>F</w:t>
      </w:r>
      <w:r>
        <w:rPr>
          <w:caps w:val="0"/>
        </w:rPr>
        <w:t>ederal Communications Commission</w:t>
      </w:r>
    </w:p>
    <w:p w:rsidR="00F776F9" w:rsidP="00F776F9" w14:paraId="1603FAA2" w14:textId="77777777">
      <w:pPr>
        <w:pStyle w:val="StyleBoldCentered"/>
      </w:pPr>
      <w:r>
        <w:rPr>
          <w:caps w:val="0"/>
        </w:rPr>
        <w:t>Washington, D.C. 20554</w:t>
      </w:r>
    </w:p>
    <w:p w:rsidR="00F776F9" w:rsidRPr="007578B6" w:rsidP="00F776F9" w14:paraId="31B2C450" w14:textId="77777777"/>
    <w:p w:rsidR="00F776F9" w:rsidRPr="007578B6" w:rsidP="00F776F9" w14:paraId="3221F207" w14:textId="77777777">
      <w:pPr>
        <w:tabs>
          <w:tab w:val="left" w:pos="6060"/>
        </w:tabs>
      </w:pPr>
      <w:r w:rsidRPr="007578B6">
        <w:tab/>
      </w:r>
    </w:p>
    <w:tbl>
      <w:tblPr>
        <w:tblW w:w="0" w:type="auto"/>
        <w:tblLayout w:type="fixed"/>
        <w:tblLook w:val="0000"/>
      </w:tblPr>
      <w:tblGrid>
        <w:gridCol w:w="4068"/>
        <w:gridCol w:w="630"/>
        <w:gridCol w:w="630"/>
        <w:gridCol w:w="4248"/>
      </w:tblGrid>
      <w:tr w14:paraId="5CAA161F" w14:textId="77777777" w:rsidTr="00DF7CA7">
        <w:tblPrEx>
          <w:tblW w:w="0" w:type="auto"/>
          <w:tblLayout w:type="fixed"/>
          <w:tblLook w:val="0000"/>
        </w:tblPrEx>
        <w:tc>
          <w:tcPr>
            <w:tcW w:w="4068" w:type="dxa"/>
            <w:shd w:val="clear" w:color="auto" w:fill="auto"/>
          </w:tcPr>
          <w:p w:rsidR="00F776F9" w:rsidRPr="007578B6" w:rsidP="009F6DC7" w14:paraId="5B4EBC86" w14:textId="77777777">
            <w:pPr>
              <w:tabs>
                <w:tab w:val="center" w:pos="4680"/>
              </w:tabs>
              <w:suppressAutoHyphens/>
              <w:rPr>
                <w:spacing w:val="-2"/>
              </w:rPr>
            </w:pPr>
            <w:r w:rsidRPr="007578B6">
              <w:rPr>
                <w:spacing w:val="-2"/>
              </w:rPr>
              <w:t>In the Matter of</w:t>
            </w:r>
          </w:p>
          <w:p w:rsidR="00F776F9" w:rsidRPr="007578B6" w:rsidP="009F6DC7" w14:paraId="76A3538B" w14:textId="77777777">
            <w:pPr>
              <w:tabs>
                <w:tab w:val="center" w:pos="4680"/>
              </w:tabs>
              <w:suppressAutoHyphens/>
              <w:rPr>
                <w:spacing w:val="-2"/>
              </w:rPr>
            </w:pPr>
          </w:p>
          <w:p w:rsidR="00F776F9" w:rsidRPr="007578B6" w:rsidP="009F6DC7" w14:paraId="72C8E6CA" w14:textId="77777777">
            <w:pPr>
              <w:tabs>
                <w:tab w:val="center" w:pos="4680"/>
              </w:tabs>
              <w:suppressAutoHyphens/>
              <w:rPr>
                <w:spacing w:val="-2"/>
              </w:rPr>
            </w:pPr>
            <w:r w:rsidRPr="007578B6">
              <w:rPr>
                <w:spacing w:val="-2"/>
              </w:rPr>
              <w:t>Advanced Methods to Target and Eliminate</w:t>
            </w:r>
          </w:p>
          <w:p w:rsidR="00F776F9" w:rsidRPr="007578B6" w:rsidP="009F6DC7" w14:paraId="204AD7C9" w14:textId="77777777">
            <w:pPr>
              <w:tabs>
                <w:tab w:val="center" w:pos="4680"/>
              </w:tabs>
              <w:suppressAutoHyphens/>
              <w:rPr>
                <w:spacing w:val="-2"/>
                <w:highlight w:val="yellow"/>
              </w:rPr>
            </w:pPr>
            <w:r w:rsidRPr="007578B6">
              <w:rPr>
                <w:spacing w:val="-2"/>
              </w:rPr>
              <w:t>Unlawful Robocalls</w:t>
            </w:r>
          </w:p>
          <w:p w:rsidR="00F776F9" w:rsidRPr="007578B6" w:rsidP="009F6DC7" w14:paraId="7244EBFE" w14:textId="77777777">
            <w:pPr>
              <w:tabs>
                <w:tab w:val="center" w:pos="4680"/>
              </w:tabs>
              <w:suppressAutoHyphens/>
              <w:rPr>
                <w:spacing w:val="-2"/>
              </w:rPr>
            </w:pPr>
          </w:p>
        </w:tc>
        <w:tc>
          <w:tcPr>
            <w:tcW w:w="630" w:type="dxa"/>
          </w:tcPr>
          <w:p w:rsidR="00F776F9" w:rsidRPr="007578B6" w:rsidP="009F6DC7" w14:paraId="591E7565" w14:textId="77777777">
            <w:pPr>
              <w:tabs>
                <w:tab w:val="center" w:pos="4680"/>
              </w:tabs>
              <w:suppressAutoHyphens/>
              <w:rPr>
                <w:b/>
                <w:spacing w:val="-2"/>
              </w:rPr>
            </w:pPr>
          </w:p>
        </w:tc>
        <w:tc>
          <w:tcPr>
            <w:tcW w:w="630" w:type="dxa"/>
            <w:shd w:val="clear" w:color="auto" w:fill="auto"/>
          </w:tcPr>
          <w:p w:rsidR="00F776F9" w:rsidRPr="007578B6" w:rsidP="009F6DC7" w14:paraId="008A82EE" w14:textId="77777777">
            <w:pPr>
              <w:tabs>
                <w:tab w:val="center" w:pos="4680"/>
              </w:tabs>
              <w:suppressAutoHyphens/>
              <w:rPr>
                <w:b/>
                <w:spacing w:val="-2"/>
              </w:rPr>
            </w:pPr>
            <w:r w:rsidRPr="007578B6">
              <w:rPr>
                <w:b/>
                <w:spacing w:val="-2"/>
              </w:rPr>
              <w:t>)</w:t>
            </w:r>
          </w:p>
          <w:p w:rsidR="00F776F9" w:rsidRPr="007578B6" w:rsidP="009F6DC7" w14:paraId="5CCD92C4" w14:textId="77777777">
            <w:pPr>
              <w:tabs>
                <w:tab w:val="center" w:pos="4680"/>
              </w:tabs>
              <w:suppressAutoHyphens/>
              <w:rPr>
                <w:b/>
                <w:spacing w:val="-2"/>
              </w:rPr>
            </w:pPr>
            <w:r w:rsidRPr="007578B6">
              <w:rPr>
                <w:b/>
                <w:spacing w:val="-2"/>
              </w:rPr>
              <w:t>)</w:t>
            </w:r>
          </w:p>
          <w:p w:rsidR="00F776F9" w:rsidRPr="007578B6" w:rsidP="009F6DC7" w14:paraId="55844CC8" w14:textId="77777777">
            <w:pPr>
              <w:tabs>
                <w:tab w:val="center" w:pos="4680"/>
              </w:tabs>
              <w:suppressAutoHyphens/>
              <w:rPr>
                <w:b/>
                <w:spacing w:val="-2"/>
              </w:rPr>
            </w:pPr>
            <w:r w:rsidRPr="007578B6">
              <w:rPr>
                <w:b/>
                <w:spacing w:val="-2"/>
              </w:rPr>
              <w:t>)</w:t>
            </w:r>
          </w:p>
          <w:p w:rsidR="00F776F9" w:rsidRPr="007578B6" w:rsidP="009F6DC7" w14:paraId="4F828952" w14:textId="77777777">
            <w:pPr>
              <w:tabs>
                <w:tab w:val="center" w:pos="4680"/>
              </w:tabs>
              <w:suppressAutoHyphens/>
              <w:rPr>
                <w:b/>
                <w:spacing w:val="-2"/>
              </w:rPr>
            </w:pPr>
            <w:r w:rsidRPr="007578B6">
              <w:rPr>
                <w:b/>
                <w:spacing w:val="-2"/>
              </w:rPr>
              <w:t>)</w:t>
            </w:r>
          </w:p>
          <w:p w:rsidR="00F776F9" w:rsidRPr="007578B6" w:rsidP="009F6DC7" w14:paraId="5DDAE182" w14:textId="77777777">
            <w:pPr>
              <w:tabs>
                <w:tab w:val="center" w:pos="4680"/>
              </w:tabs>
              <w:suppressAutoHyphens/>
              <w:rPr>
                <w:b/>
                <w:spacing w:val="-2"/>
              </w:rPr>
            </w:pPr>
          </w:p>
        </w:tc>
        <w:tc>
          <w:tcPr>
            <w:tcW w:w="4248" w:type="dxa"/>
            <w:shd w:val="clear" w:color="auto" w:fill="auto"/>
          </w:tcPr>
          <w:p w:rsidR="00F776F9" w:rsidRPr="007578B6" w:rsidP="009F6DC7" w14:paraId="310A2673" w14:textId="77777777">
            <w:pPr>
              <w:tabs>
                <w:tab w:val="center" w:pos="4680"/>
              </w:tabs>
              <w:suppressAutoHyphens/>
              <w:rPr>
                <w:spacing w:val="-2"/>
              </w:rPr>
            </w:pPr>
          </w:p>
          <w:p w:rsidR="00F776F9" w:rsidRPr="007578B6" w:rsidP="009F6DC7" w14:paraId="6D71C4AB" w14:textId="77777777">
            <w:pPr>
              <w:tabs>
                <w:tab w:val="center" w:pos="4680"/>
              </w:tabs>
              <w:suppressAutoHyphens/>
              <w:rPr>
                <w:spacing w:val="-2"/>
              </w:rPr>
            </w:pPr>
          </w:p>
          <w:p w:rsidR="00F776F9" w:rsidRPr="007578B6" w:rsidP="009F6DC7" w14:paraId="4092CB7B" w14:textId="77777777">
            <w:pPr>
              <w:tabs>
                <w:tab w:val="center" w:pos="4680"/>
              </w:tabs>
              <w:suppressAutoHyphens/>
              <w:rPr>
                <w:spacing w:val="-2"/>
              </w:rPr>
            </w:pPr>
            <w:r w:rsidRPr="007578B6">
              <w:rPr>
                <w:spacing w:val="-2"/>
              </w:rPr>
              <w:t>CG Docket No. 17-59</w:t>
            </w:r>
          </w:p>
          <w:p w:rsidR="00F776F9" w:rsidRPr="007578B6" w:rsidP="009F6DC7" w14:paraId="5A951529" w14:textId="77777777">
            <w:pPr>
              <w:tabs>
                <w:tab w:val="center" w:pos="4680"/>
              </w:tabs>
              <w:suppressAutoHyphens/>
              <w:rPr>
                <w:spacing w:val="-2"/>
                <w:highlight w:val="yellow"/>
              </w:rPr>
            </w:pPr>
          </w:p>
          <w:p w:rsidR="00F776F9" w:rsidRPr="007578B6" w:rsidP="009F6DC7" w14:paraId="245999D1" w14:textId="77777777">
            <w:pPr>
              <w:tabs>
                <w:tab w:val="center" w:pos="4680"/>
              </w:tabs>
              <w:suppressAutoHyphens/>
              <w:rPr>
                <w:spacing w:val="-2"/>
                <w:highlight w:val="yellow"/>
              </w:rPr>
            </w:pPr>
          </w:p>
          <w:p w:rsidR="00F776F9" w:rsidRPr="007578B6" w:rsidP="009F6DC7" w14:paraId="1C6EAB30" w14:textId="77777777">
            <w:pPr>
              <w:tabs>
                <w:tab w:val="center" w:pos="4680"/>
              </w:tabs>
              <w:suppressAutoHyphens/>
              <w:rPr>
                <w:spacing w:val="-2"/>
              </w:rPr>
            </w:pPr>
          </w:p>
        </w:tc>
      </w:tr>
    </w:tbl>
    <w:p w:rsidR="00F776F9" w:rsidRPr="007578B6" w:rsidP="00F776F9" w14:paraId="041F7A42" w14:textId="77777777"/>
    <w:p w:rsidR="00F776F9" w:rsidRPr="007578B6" w:rsidP="00F776F9" w14:paraId="46A1E508" w14:textId="77777777">
      <w:pPr>
        <w:pStyle w:val="StyleBoldCentered"/>
        <w:rPr>
          <w:rFonts w:ascii="Times New Roman" w:hAnsi="Times New Roman"/>
        </w:rPr>
      </w:pPr>
      <w:r w:rsidRPr="007578B6">
        <w:rPr>
          <w:rFonts w:ascii="Times New Roman" w:hAnsi="Times New Roman"/>
        </w:rPr>
        <w:t>ORDER</w:t>
      </w:r>
    </w:p>
    <w:p w:rsidR="00F776F9" w:rsidP="00F776F9" w14:paraId="4BDC4071" w14:textId="77777777">
      <w:pPr>
        <w:tabs>
          <w:tab w:val="left" w:pos="-720"/>
        </w:tabs>
        <w:suppressAutoHyphens/>
        <w:spacing w:line="227" w:lineRule="auto"/>
        <w:rPr>
          <w:spacing w:val="-2"/>
        </w:rPr>
      </w:pPr>
    </w:p>
    <w:p w:rsidR="00F776F9" w:rsidP="00F776F9" w14:paraId="5BA11567" w14:textId="7C6D7C8B">
      <w:pPr>
        <w:tabs>
          <w:tab w:val="left" w:pos="720"/>
          <w:tab w:val="right" w:pos="9360"/>
        </w:tabs>
        <w:suppressAutoHyphens/>
        <w:spacing w:line="227" w:lineRule="auto"/>
        <w:rPr>
          <w:b/>
          <w:spacing w:val="-2"/>
        </w:rPr>
      </w:pPr>
      <w:r>
        <w:rPr>
          <w:b/>
          <w:spacing w:val="-2"/>
        </w:rPr>
        <w:t xml:space="preserve">Adopted:  </w:t>
      </w:r>
      <w:r w:rsidR="00F76656">
        <w:rPr>
          <w:b/>
          <w:spacing w:val="-2"/>
        </w:rPr>
        <w:t>September</w:t>
      </w:r>
      <w:r w:rsidRPr="00AF50EE" w:rsidR="002727B1">
        <w:rPr>
          <w:b/>
          <w:spacing w:val="-2"/>
        </w:rPr>
        <w:t xml:space="preserve"> </w:t>
      </w:r>
      <w:r w:rsidR="00C76D79">
        <w:rPr>
          <w:b/>
          <w:spacing w:val="-2"/>
        </w:rPr>
        <w:t>12</w:t>
      </w:r>
      <w:r w:rsidRPr="00AF50EE">
        <w:rPr>
          <w:b/>
          <w:spacing w:val="-2"/>
        </w:rPr>
        <w:t>, 2019</w:t>
      </w:r>
      <w:r>
        <w:rPr>
          <w:b/>
          <w:spacing w:val="-2"/>
        </w:rPr>
        <w:tab/>
        <w:t xml:space="preserve">Released:  </w:t>
      </w:r>
      <w:r w:rsidR="00F76656">
        <w:rPr>
          <w:b/>
          <w:spacing w:val="-2"/>
        </w:rPr>
        <w:t>September</w:t>
      </w:r>
      <w:r w:rsidRPr="00AF50EE" w:rsidR="002727B1">
        <w:rPr>
          <w:b/>
          <w:spacing w:val="-2"/>
        </w:rPr>
        <w:t xml:space="preserve"> </w:t>
      </w:r>
      <w:r w:rsidR="00C76D79">
        <w:rPr>
          <w:b/>
          <w:spacing w:val="-2"/>
        </w:rPr>
        <w:t>12,</w:t>
      </w:r>
      <w:r w:rsidRPr="00AF50EE">
        <w:rPr>
          <w:b/>
          <w:spacing w:val="-2"/>
        </w:rPr>
        <w:t xml:space="preserve"> 2019</w:t>
      </w:r>
    </w:p>
    <w:p w:rsidR="00F776F9" w:rsidP="00F776F9" w14:paraId="4DBEEEE7" w14:textId="77777777">
      <w:pPr>
        <w:tabs>
          <w:tab w:val="left" w:pos="720"/>
          <w:tab w:val="right" w:pos="9360"/>
        </w:tabs>
        <w:suppressAutoHyphens/>
        <w:spacing w:line="227" w:lineRule="auto"/>
        <w:rPr>
          <w:spacing w:val="-2"/>
        </w:rPr>
      </w:pPr>
    </w:p>
    <w:p w:rsidR="00F776F9" w:rsidP="00F776F9" w14:paraId="30DFEFA2" w14:textId="77777777">
      <w:r>
        <w:t xml:space="preserve">By the </w:t>
      </w:r>
      <w:bookmarkStart w:id="1" w:name="_Hlk7602700"/>
      <w:r>
        <w:rPr>
          <w:spacing w:val="-2"/>
        </w:rPr>
        <w:t>Chiefs, Consumer and Governmental Affairs Bureau and Wireline Competition Bureau:</w:t>
      </w:r>
      <w:r w:rsidRPr="007A0314">
        <w:t xml:space="preserve"> </w:t>
      </w:r>
      <w:bookmarkStart w:id="2" w:name="_Hlk7602728"/>
      <w:bookmarkEnd w:id="1"/>
    </w:p>
    <w:p w:rsidR="00F776F9" w:rsidP="00F776F9" w14:paraId="19F8D9EB" w14:textId="77777777"/>
    <w:p w:rsidR="00BD30EE" w:rsidP="00BD30EE" w14:paraId="7ACCCB75" w14:textId="2416BBBB">
      <w:pPr>
        <w:pStyle w:val="ParaNum"/>
        <w:numPr>
          <w:ilvl w:val="0"/>
          <w:numId w:val="7"/>
        </w:numPr>
        <w:tabs>
          <w:tab w:val="clear" w:pos="1080"/>
        </w:tabs>
      </w:pPr>
      <w:r w:rsidRPr="007A0314">
        <w:t xml:space="preserve">In this Order, the Consumer and Governmental Affairs Bureau (CGB) and the Wireline Competition Bureau (WCB) (collectively, the Bureaus) of the Federal Communications Commission (FCC or Commission) grant </w:t>
      </w:r>
      <w:r w:rsidR="000906EE">
        <w:t xml:space="preserve">in part </w:t>
      </w:r>
      <w:r w:rsidR="00834A71">
        <w:t xml:space="preserve">a </w:t>
      </w:r>
      <w:r>
        <w:t>request for an extension of time</w:t>
      </w:r>
      <w:r w:rsidRPr="007A0314">
        <w:t xml:space="preserve"> filed by the North American Numbering Council</w:t>
      </w:r>
      <w:r w:rsidR="000906EE">
        <w:t>’s</w:t>
      </w:r>
      <w:r w:rsidRPr="007A0314">
        <w:t xml:space="preserve"> (NANC)</w:t>
      </w:r>
      <w:r w:rsidR="000906EE">
        <w:t xml:space="preserve"> Numbering Administration Oversight Working Group (NAOWG)</w:t>
      </w:r>
      <w:r w:rsidRPr="007A0314">
        <w:t>.</w:t>
      </w:r>
      <w:r>
        <w:rPr>
          <w:rStyle w:val="FootnoteReference"/>
        </w:rPr>
        <w:footnoteReference w:id="3"/>
      </w:r>
    </w:p>
    <w:p w:rsidR="00BD30EE" w:rsidP="00BD30EE" w14:paraId="1DA64576" w14:textId="666FD8A2">
      <w:pPr>
        <w:pStyle w:val="ParaNum"/>
        <w:numPr>
          <w:ilvl w:val="0"/>
          <w:numId w:val="7"/>
        </w:numPr>
        <w:tabs>
          <w:tab w:val="clear" w:pos="1080"/>
        </w:tabs>
      </w:pPr>
      <w:r w:rsidRPr="007A0314">
        <w:t>In December 201</w:t>
      </w:r>
      <w:r w:rsidR="00673C70">
        <w:t>8</w:t>
      </w:r>
      <w:r w:rsidRPr="007A0314">
        <w:t xml:space="preserve">, the Commission </w:t>
      </w:r>
      <w:r w:rsidR="00DA2AF4">
        <w:t xml:space="preserve">adopted rules that </w:t>
      </w:r>
      <w:r w:rsidRPr="007A0314">
        <w:t>establish a single, comprehensive database containing reassigned number</w:t>
      </w:r>
      <w:r w:rsidR="00316676">
        <w:t>s</w:t>
      </w:r>
      <w:r w:rsidRPr="007A0314">
        <w:t xml:space="preserve"> information</w:t>
      </w:r>
      <w:r w:rsidR="00DA2AF4">
        <w:t>.</w:t>
      </w:r>
      <w:r>
        <w:rPr>
          <w:rStyle w:val="FootnoteReference"/>
        </w:rPr>
        <w:footnoteReference w:id="4"/>
      </w:r>
      <w:r w:rsidRPr="007A0314" w:rsidR="00DA2AF4">
        <w:t xml:space="preserve"> </w:t>
      </w:r>
      <w:r w:rsidR="00DA2AF4">
        <w:t xml:space="preserve"> The database</w:t>
      </w:r>
      <w:r w:rsidRPr="007A0314">
        <w:t xml:space="preserve"> will enable any caller to verify whether a number has been </w:t>
      </w:r>
      <w:r w:rsidR="003D45E1">
        <w:t>permanently disconnected</w:t>
      </w:r>
      <w:r w:rsidRPr="007A0314" w:rsidR="003D45E1">
        <w:t xml:space="preserve"> </w:t>
      </w:r>
      <w:r w:rsidRPr="007A0314">
        <w:t xml:space="preserve">before calling that number, and </w:t>
      </w:r>
      <w:r w:rsidR="00A57E32">
        <w:t xml:space="preserve">it </w:t>
      </w:r>
      <w:r w:rsidRPr="007A0314">
        <w:t xml:space="preserve">will help consumers avoid unwanted calls intended for others.  </w:t>
      </w:r>
      <w:r w:rsidR="00863132">
        <w:t>T</w:t>
      </w:r>
      <w:r w:rsidRPr="007A0314">
        <w:t xml:space="preserve">he Commission directed the </w:t>
      </w:r>
      <w:r>
        <w:t>NANC</w:t>
      </w:r>
      <w:r w:rsidRPr="007A0314">
        <w:t xml:space="preserve"> to present to the Commission, no later than June 13, 2019, </w:t>
      </w:r>
      <w:r w:rsidR="001E13CE">
        <w:t>a Technical Requirements Document</w:t>
      </w:r>
      <w:r w:rsidR="00634782">
        <w:t xml:space="preserve"> (TRD)</w:t>
      </w:r>
      <w:r w:rsidR="001E13CE">
        <w:t xml:space="preserve"> containing </w:t>
      </w:r>
      <w:r w:rsidRPr="007A0314">
        <w:t>the NANC’s recommendations on certain technical aspects of database establishment, operation, and funding.</w:t>
      </w:r>
      <w:r>
        <w:rPr>
          <w:rStyle w:val="FootnoteReference"/>
        </w:rPr>
        <w:footnoteReference w:id="5"/>
      </w:r>
      <w:r w:rsidR="00DA2AF4">
        <w:t xml:space="preserve"> </w:t>
      </w:r>
      <w:r w:rsidRPr="007A0314">
        <w:t xml:space="preserve"> Specifically, </w:t>
      </w:r>
      <w:r w:rsidR="00863132">
        <w:t xml:space="preserve">the Commission directed </w:t>
      </w:r>
      <w:r w:rsidRPr="007A0314">
        <w:t xml:space="preserve">the </w:t>
      </w:r>
      <w:r>
        <w:t>NANC</w:t>
      </w:r>
      <w:r w:rsidR="00863132">
        <w:t xml:space="preserve"> and </w:t>
      </w:r>
      <w:r w:rsidRPr="001C3F8E">
        <w:t xml:space="preserve">its </w:t>
      </w:r>
      <w:r>
        <w:t>NAOWG</w:t>
      </w:r>
      <w:r w:rsidRPr="001C3F8E">
        <w:t xml:space="preserve"> to consider technical issues surrounding how the </w:t>
      </w:r>
      <w:r>
        <w:t>database administrator</w:t>
      </w:r>
      <w:r w:rsidRPr="001C3F8E">
        <w:t xml:space="preserve"> can collect fees from callers that use the database.</w:t>
      </w:r>
    </w:p>
    <w:p w:rsidR="00BD30EE" w:rsidP="00BD30EE" w14:paraId="0EC38062" w14:textId="3C81985D">
      <w:pPr>
        <w:pStyle w:val="ParaNum"/>
        <w:numPr>
          <w:ilvl w:val="0"/>
          <w:numId w:val="7"/>
        </w:numPr>
        <w:tabs>
          <w:tab w:val="clear" w:pos="1080"/>
        </w:tabs>
      </w:pPr>
      <w:r w:rsidRPr="008F3531">
        <w:t xml:space="preserve">In a letter dated </w:t>
      </w:r>
      <w:r>
        <w:t>April 30</w:t>
      </w:r>
      <w:r w:rsidRPr="008F3531">
        <w:t xml:space="preserve">, </w:t>
      </w:r>
      <w:r>
        <w:t>2019</w:t>
      </w:r>
      <w:r w:rsidRPr="008F3531">
        <w:t xml:space="preserve">, the </w:t>
      </w:r>
      <w:r>
        <w:t xml:space="preserve">NANC </w:t>
      </w:r>
      <w:r w:rsidRPr="008F3531">
        <w:t xml:space="preserve">requested </w:t>
      </w:r>
      <w:r>
        <w:t xml:space="preserve">an </w:t>
      </w:r>
      <w:r w:rsidRPr="008F3531">
        <w:t>extension of the deadline.</w:t>
      </w:r>
      <w:r>
        <w:rPr>
          <w:rStyle w:val="FootnoteReference"/>
        </w:rPr>
        <w:footnoteReference w:id="6"/>
      </w:r>
      <w:r>
        <w:t xml:space="preserve">  The </w:t>
      </w:r>
      <w:r w:rsidRPr="008F3531">
        <w:t>NANC ask</w:t>
      </w:r>
      <w:r>
        <w:t xml:space="preserve">ed </w:t>
      </w:r>
      <w:r w:rsidRPr="008F3531">
        <w:t xml:space="preserve">that the deadline by which it must present </w:t>
      </w:r>
      <w:r>
        <w:t xml:space="preserve">the required </w:t>
      </w:r>
      <w:r w:rsidRPr="008F3531">
        <w:t>recommendations to the Commission</w:t>
      </w:r>
      <w:r>
        <w:t xml:space="preserve"> </w:t>
      </w:r>
      <w:r w:rsidRPr="008F3531">
        <w:t xml:space="preserve">be extended from </w:t>
      </w:r>
      <w:r>
        <w:t>June 13</w:t>
      </w:r>
      <w:r w:rsidRPr="008F3531">
        <w:t xml:space="preserve">, </w:t>
      </w:r>
      <w:r>
        <w:t>2019,</w:t>
      </w:r>
      <w:r w:rsidRPr="008F3531">
        <w:t xml:space="preserve"> to </w:t>
      </w:r>
      <w:r w:rsidRPr="00AB6B21">
        <w:t>April 13, 2020.</w:t>
      </w:r>
      <w:r>
        <w:rPr>
          <w:rStyle w:val="FootnoteReference"/>
        </w:rPr>
        <w:footnoteReference w:id="7"/>
      </w:r>
      <w:r w:rsidR="00C94EBC">
        <w:t xml:space="preserve"> </w:t>
      </w:r>
      <w:r w:rsidR="00F76656">
        <w:t xml:space="preserve"> On June 12, 2019</w:t>
      </w:r>
      <w:r w:rsidR="00674EE3">
        <w:t>,</w:t>
      </w:r>
      <w:r w:rsidR="00F76656">
        <w:t xml:space="preserve"> the</w:t>
      </w:r>
      <w:r w:rsidR="00917E67">
        <w:t xml:space="preserve"> Bureaus</w:t>
      </w:r>
      <w:r w:rsidR="00F76656">
        <w:t xml:space="preserve"> granted the NANC an additional three months, until September 13, 2019, </w:t>
      </w:r>
      <w:r w:rsidRPr="00C56197" w:rsidR="00C56197">
        <w:t>to provide its reassigned numbers database recommendations to the Commission</w:t>
      </w:r>
      <w:r w:rsidR="00F76656">
        <w:t>.</w:t>
      </w:r>
      <w:r>
        <w:rPr>
          <w:rStyle w:val="FootnoteReference"/>
        </w:rPr>
        <w:footnoteReference w:id="8"/>
      </w:r>
      <w:r w:rsidR="00F76656">
        <w:t xml:space="preserve">  The </w:t>
      </w:r>
      <w:r w:rsidR="00917E67">
        <w:t>Bureaus</w:t>
      </w:r>
      <w:r w:rsidR="00F76656">
        <w:t xml:space="preserve"> also required that the NANC provide</w:t>
      </w:r>
      <w:r w:rsidR="00182D25">
        <w:t>,</w:t>
      </w:r>
      <w:r w:rsidR="00F76656">
        <w:t xml:space="preserve"> by July 12, </w:t>
      </w:r>
      <w:r w:rsidR="00F76656">
        <w:t>2019</w:t>
      </w:r>
      <w:r w:rsidR="00182D25">
        <w:t>,</w:t>
      </w:r>
      <w:r w:rsidR="00F76656">
        <w:t xml:space="preserve"> a </w:t>
      </w:r>
      <w:r w:rsidR="00182D25">
        <w:t>progress report</w:t>
      </w:r>
      <w:r w:rsidR="00F76656">
        <w:t xml:space="preserve"> so that the Commission could evaluate its progress toward the deadline.</w:t>
      </w:r>
      <w:r>
        <w:rPr>
          <w:rStyle w:val="FootnoteReference"/>
        </w:rPr>
        <w:footnoteReference w:id="9"/>
      </w:r>
    </w:p>
    <w:p w:rsidR="002B1FB3" w:rsidP="00BD30EE" w14:paraId="48855A0C" w14:textId="2127925C">
      <w:pPr>
        <w:pStyle w:val="ParaNum"/>
        <w:numPr>
          <w:ilvl w:val="0"/>
          <w:numId w:val="7"/>
        </w:numPr>
        <w:tabs>
          <w:tab w:val="clear" w:pos="1080"/>
        </w:tabs>
      </w:pPr>
      <w:r>
        <w:t xml:space="preserve">In a letter dated </w:t>
      </w:r>
      <w:r w:rsidR="00F76656">
        <w:t>July 11, 2019</w:t>
      </w:r>
      <w:r>
        <w:t>,</w:t>
      </w:r>
      <w:r w:rsidR="00F76656">
        <w:t xml:space="preserve"> the NANC </w:t>
      </w:r>
      <w:r w:rsidR="000906EE">
        <w:t xml:space="preserve">Chair </w:t>
      </w:r>
      <w:r w:rsidR="00F76656">
        <w:t>provided the Commission a status report that indicated that the NAOWG was making progress but that an additional extension would likely be needed to complete the NAOWG’s work.</w:t>
      </w:r>
      <w:r>
        <w:rPr>
          <w:rStyle w:val="FootnoteReference"/>
        </w:rPr>
        <w:footnoteReference w:id="10"/>
      </w:r>
      <w:r>
        <w:t xml:space="preserve">  </w:t>
      </w:r>
      <w:r w:rsidR="00182D25">
        <w:t>Thereafter, o</w:t>
      </w:r>
      <w:r>
        <w:t xml:space="preserve">n August 14, 2019, the </w:t>
      </w:r>
      <w:r w:rsidR="000906EE">
        <w:t xml:space="preserve">NAOWG </w:t>
      </w:r>
      <w:r w:rsidR="00D82C5B">
        <w:t xml:space="preserve">submitted </w:t>
      </w:r>
      <w:r>
        <w:t xml:space="preserve">a letter requesting an additional </w:t>
      </w:r>
      <w:r w:rsidR="009164F5">
        <w:t xml:space="preserve">seven-month </w:t>
      </w:r>
      <w:r>
        <w:t>extension of the deadline</w:t>
      </w:r>
      <w:r w:rsidR="00D82C5B">
        <w:t>,</w:t>
      </w:r>
      <w:r w:rsidR="009164F5">
        <w:t xml:space="preserve"> </w:t>
      </w:r>
      <w:r w:rsidR="00D82C5B">
        <w:t xml:space="preserve">to </w:t>
      </w:r>
      <w:r w:rsidR="009164F5">
        <w:t>April 13, 2020</w:t>
      </w:r>
      <w:r w:rsidR="008414C9">
        <w:t xml:space="preserve"> (the date requested in its earlier extension request)</w:t>
      </w:r>
      <w:r>
        <w:t>.</w:t>
      </w:r>
      <w:r>
        <w:rPr>
          <w:rStyle w:val="FootnoteReference"/>
        </w:rPr>
        <w:footnoteReference w:id="11"/>
      </w:r>
    </w:p>
    <w:p w:rsidR="00BD30EE" w:rsidP="002B1FB3" w14:paraId="7D20F222" w14:textId="1F17CAC3">
      <w:pPr>
        <w:pStyle w:val="ParaNum"/>
        <w:numPr>
          <w:ilvl w:val="0"/>
          <w:numId w:val="7"/>
        </w:numPr>
        <w:tabs>
          <w:tab w:val="clear" w:pos="1080"/>
        </w:tabs>
      </w:pPr>
      <w:r>
        <w:t>The NA</w:t>
      </w:r>
      <w:r w:rsidR="000906EE">
        <w:t>OWG</w:t>
      </w:r>
      <w:r>
        <w:t xml:space="preserve"> </w:t>
      </w:r>
      <w:r w:rsidR="000906EE">
        <w:t xml:space="preserve">asserts </w:t>
      </w:r>
      <w:r>
        <w:t xml:space="preserve">that although it </w:t>
      </w:r>
      <w:r w:rsidR="006C762F">
        <w:t xml:space="preserve">has </w:t>
      </w:r>
      <w:r>
        <w:t xml:space="preserve">continued to work diligently, additional time is necessary to complete its work on the </w:t>
      </w:r>
      <w:r w:rsidR="002B1FB3">
        <w:t xml:space="preserve">database’s </w:t>
      </w:r>
      <w:r w:rsidR="00182D25">
        <w:t>T</w:t>
      </w:r>
      <w:r>
        <w:t xml:space="preserve">echnical </w:t>
      </w:r>
      <w:r w:rsidR="00182D25">
        <w:t>R</w:t>
      </w:r>
      <w:r>
        <w:t xml:space="preserve">equirements </w:t>
      </w:r>
      <w:r w:rsidR="00182D25">
        <w:t>D</w:t>
      </w:r>
      <w:r>
        <w:t xml:space="preserve">ocument </w:t>
      </w:r>
      <w:r w:rsidR="002B1FB3">
        <w:t>and to make recommendations on the funding</w:t>
      </w:r>
      <w:r w:rsidR="00112B0A">
        <w:t>,</w:t>
      </w:r>
      <w:r w:rsidR="001257F9">
        <w:t xml:space="preserve"> </w:t>
      </w:r>
      <w:r w:rsidR="002B1FB3">
        <w:t>pricing</w:t>
      </w:r>
      <w:r w:rsidR="00112B0A">
        <w:t>,</w:t>
      </w:r>
      <w:r w:rsidR="009E724A">
        <w:t xml:space="preserve"> and </w:t>
      </w:r>
      <w:r w:rsidR="002B1FB3">
        <w:t>fee structure issues.</w:t>
      </w:r>
      <w:r>
        <w:rPr>
          <w:rStyle w:val="FootnoteReference"/>
        </w:rPr>
        <w:footnoteReference w:id="12"/>
      </w:r>
      <w:r w:rsidR="002B1FB3">
        <w:t xml:space="preserve">  </w:t>
      </w:r>
      <w:r w:rsidR="002E6821">
        <w:t xml:space="preserve">In addition, the </w:t>
      </w:r>
      <w:r w:rsidR="000906EE">
        <w:t>NAOWG claims</w:t>
      </w:r>
      <w:r w:rsidR="002E6821">
        <w:t xml:space="preserve"> that </w:t>
      </w:r>
      <w:r w:rsidR="002B1FB3">
        <w:t xml:space="preserve">progress has been slow because of the complexity of the task, which has been made greater by a reluctance by </w:t>
      </w:r>
      <w:r w:rsidR="009164F5">
        <w:t>vendors of similar databases to provide assistance out of fear of disqualification from bidding on the reassigned numbers database contract.</w:t>
      </w:r>
      <w:r>
        <w:rPr>
          <w:rStyle w:val="FootnoteReference"/>
        </w:rPr>
        <w:footnoteReference w:id="13"/>
      </w:r>
      <w:r w:rsidR="002E6821">
        <w:t xml:space="preserve">  In support of its request, the </w:t>
      </w:r>
      <w:r w:rsidR="000906EE">
        <w:t xml:space="preserve">NAOWG </w:t>
      </w:r>
      <w:r w:rsidR="002E6821">
        <w:t>argues that it has been diligently engaged in meeting the Commission’s deadline, conferencing for</w:t>
      </w:r>
      <w:r w:rsidR="00DB5D39">
        <w:t xml:space="preserve"> approximately four</w:t>
      </w:r>
      <w:r w:rsidR="002E6821">
        <w:t xml:space="preserve"> hours each week</w:t>
      </w:r>
      <w:r w:rsidR="007522E4">
        <w:t>, and resolving details which, if left unresolved, would be deferred to another time</w:t>
      </w:r>
      <w:r w:rsidR="00B8218D">
        <w:t>.</w:t>
      </w:r>
      <w:r>
        <w:rPr>
          <w:rStyle w:val="FootnoteReference"/>
        </w:rPr>
        <w:footnoteReference w:id="14"/>
      </w:r>
    </w:p>
    <w:p w:rsidR="00204A59" w:rsidRPr="003B5D84" w:rsidP="00BD30EE" w14:paraId="73F60DF1" w14:textId="0458474F">
      <w:pPr>
        <w:pStyle w:val="ParaNum"/>
        <w:numPr>
          <w:ilvl w:val="0"/>
          <w:numId w:val="7"/>
        </w:numPr>
        <w:tabs>
          <w:tab w:val="clear" w:pos="1080"/>
        </w:tabs>
      </w:pPr>
      <w:r w:rsidRPr="00327911">
        <w:t>Section 1.46 of the Commission’s rules provides that “[i]t is the policy of the</w:t>
      </w:r>
      <w:r>
        <w:t xml:space="preserve"> </w:t>
      </w:r>
      <w:r w:rsidRPr="00327911">
        <w:t>Commission that extensions of time are not routinely granted.”</w:t>
      </w:r>
      <w:r>
        <w:rPr>
          <w:rStyle w:val="FootnoteReference"/>
        </w:rPr>
        <w:footnoteReference w:id="15"/>
      </w:r>
      <w:r w:rsidRPr="00327911">
        <w:t xml:space="preserve"> </w:t>
      </w:r>
      <w:r>
        <w:t xml:space="preserve"> In this instance, however,</w:t>
      </w:r>
      <w:r w:rsidR="00F6671E">
        <w:t xml:space="preserve"> it is important that the Commission receive a </w:t>
      </w:r>
      <w:r w:rsidR="000906EE">
        <w:t xml:space="preserve">complete </w:t>
      </w:r>
      <w:r w:rsidR="00F6671E">
        <w:t>set of technical recommendations in order to establish an operational database</w:t>
      </w:r>
      <w:r w:rsidR="000906EE">
        <w:t xml:space="preserve"> efficiently</w:t>
      </w:r>
      <w:r w:rsidR="00F6671E">
        <w:t>.</w:t>
      </w:r>
      <w:r>
        <w:t xml:space="preserve"> </w:t>
      </w:r>
      <w:r w:rsidR="00C65180">
        <w:t xml:space="preserve"> At the same time, it is important that </w:t>
      </w:r>
      <w:r w:rsidR="00C65180">
        <w:rPr>
          <w:szCs w:val="22"/>
        </w:rPr>
        <w:t>the Reassigned Numbers Database be launched as quickly as possible for the reasons set forth in the</w:t>
      </w:r>
      <w:r w:rsidR="00C94EBC">
        <w:rPr>
          <w:szCs w:val="22"/>
        </w:rPr>
        <w:t xml:space="preserve"> </w:t>
      </w:r>
      <w:r w:rsidRPr="00C94EBC" w:rsidR="000906EE">
        <w:rPr>
          <w:i/>
          <w:szCs w:val="22"/>
        </w:rPr>
        <w:t>Second Report and Order</w:t>
      </w:r>
      <w:r w:rsidR="00C65180">
        <w:rPr>
          <w:szCs w:val="22"/>
        </w:rPr>
        <w:t>.</w:t>
      </w:r>
      <w:r>
        <w:rPr>
          <w:rStyle w:val="FootnoteReference"/>
          <w:szCs w:val="22"/>
        </w:rPr>
        <w:footnoteReference w:id="16"/>
      </w:r>
    </w:p>
    <w:p w:rsidR="00237A90" w:rsidP="00B06372" w14:paraId="0AEC5EC9" w14:textId="0BAF2560">
      <w:pPr>
        <w:pStyle w:val="ParaNum"/>
        <w:numPr>
          <w:ilvl w:val="0"/>
          <w:numId w:val="7"/>
        </w:numPr>
        <w:tabs>
          <w:tab w:val="clear" w:pos="1080"/>
        </w:tabs>
      </w:pPr>
      <w:r>
        <w:rPr>
          <w:szCs w:val="22"/>
        </w:rPr>
        <w:t>Balancing these</w:t>
      </w:r>
      <w:r w:rsidR="005F7987">
        <w:rPr>
          <w:szCs w:val="22"/>
        </w:rPr>
        <w:t xml:space="preserve"> considerations</w:t>
      </w:r>
      <w:r w:rsidR="008F0FE1">
        <w:rPr>
          <w:szCs w:val="22"/>
        </w:rPr>
        <w:t xml:space="preserve"> and </w:t>
      </w:r>
      <w:r w:rsidR="008F0FE1">
        <w:rPr>
          <w:szCs w:val="22"/>
        </w:rPr>
        <w:t>taking into account</w:t>
      </w:r>
      <w:r w:rsidR="008F0FE1">
        <w:rPr>
          <w:szCs w:val="22"/>
        </w:rPr>
        <w:t xml:space="preserve"> arguments raised by Somos</w:t>
      </w:r>
      <w:r w:rsidR="00FB1CE1">
        <w:rPr>
          <w:szCs w:val="22"/>
        </w:rPr>
        <w:t>, Inc.</w:t>
      </w:r>
      <w:r w:rsidR="008F0FE1">
        <w:rPr>
          <w:szCs w:val="22"/>
        </w:rPr>
        <w:t xml:space="preserve"> (as discussed below)</w:t>
      </w:r>
      <w:r>
        <w:rPr>
          <w:szCs w:val="22"/>
        </w:rPr>
        <w:t>, we</w:t>
      </w:r>
      <w:r w:rsidRPr="00327911" w:rsidR="00F776F9">
        <w:t xml:space="preserve"> </w:t>
      </w:r>
      <w:r w:rsidR="003B5D84">
        <w:t xml:space="preserve">grant the NANC an additional </w:t>
      </w:r>
      <w:r w:rsidR="007522E4">
        <w:t>four</w:t>
      </w:r>
      <w:r w:rsidR="003B5D84">
        <w:t xml:space="preserve"> months</w:t>
      </w:r>
      <w:r w:rsidRPr="00AB6B21" w:rsidR="00F776F9">
        <w:t xml:space="preserve">, until </w:t>
      </w:r>
      <w:r w:rsidR="007522E4">
        <w:t>January</w:t>
      </w:r>
      <w:r w:rsidR="00204A59">
        <w:t xml:space="preserve"> </w:t>
      </w:r>
      <w:r w:rsidRPr="00AB6B21" w:rsidR="00AB6B21">
        <w:t>13</w:t>
      </w:r>
      <w:r w:rsidRPr="00AB6B21" w:rsidR="00F776F9">
        <w:t>, 20</w:t>
      </w:r>
      <w:r w:rsidR="007522E4">
        <w:t>20</w:t>
      </w:r>
      <w:r w:rsidR="00F776F9">
        <w:t>,</w:t>
      </w:r>
      <w:r w:rsidRPr="00327911" w:rsidR="00F776F9">
        <w:t xml:space="preserve"> </w:t>
      </w:r>
      <w:r w:rsidRPr="00736466" w:rsidR="00F776F9">
        <w:t xml:space="preserve">to </w:t>
      </w:r>
      <w:r w:rsidR="007522E4">
        <w:t xml:space="preserve">complete its work on the </w:t>
      </w:r>
      <w:r w:rsidR="000906EE">
        <w:t>Technical Requirements Document</w:t>
      </w:r>
      <w:r w:rsidR="007522E4">
        <w:t xml:space="preserve"> associated with the </w:t>
      </w:r>
      <w:r w:rsidR="00112B0A">
        <w:t>R</w:t>
      </w:r>
      <w:r w:rsidR="00F776F9">
        <w:t xml:space="preserve">eassigned </w:t>
      </w:r>
      <w:r w:rsidR="00112B0A">
        <w:t>N</w:t>
      </w:r>
      <w:r w:rsidR="00F776F9">
        <w:t xml:space="preserve">umbers </w:t>
      </w:r>
      <w:r w:rsidR="00112B0A">
        <w:t>D</w:t>
      </w:r>
      <w:r w:rsidR="00F776F9">
        <w:t>atabase</w:t>
      </w:r>
      <w:r w:rsidR="000906EE">
        <w:t xml:space="preserve"> and to present its recommendations to the Commission</w:t>
      </w:r>
      <w:r w:rsidR="004B1EE6">
        <w:t>.</w:t>
      </w:r>
      <w:r w:rsidR="00240653">
        <w:t xml:space="preserve">  </w:t>
      </w:r>
      <w:r w:rsidRPr="00537D78" w:rsidR="000906EE">
        <w:t xml:space="preserve">The additional time will ensure the development and consideration of a complete record </w:t>
      </w:r>
      <w:r w:rsidR="000906EE">
        <w:t xml:space="preserve">on </w:t>
      </w:r>
      <w:r w:rsidRPr="00537D78" w:rsidR="000906EE">
        <w:t xml:space="preserve">the complex technical aspects of the database’s establishment, operation, and funding.  The additional time is also necessary for </w:t>
      </w:r>
      <w:r w:rsidR="000906EE">
        <w:t xml:space="preserve">the NAOWG’s, and in turn the </w:t>
      </w:r>
      <w:r w:rsidRPr="00537D78" w:rsidR="000906EE">
        <w:t>NANC’s</w:t>
      </w:r>
      <w:r w:rsidR="000906EE">
        <w:t>,</w:t>
      </w:r>
      <w:r w:rsidRPr="00537D78" w:rsidR="000906EE">
        <w:t xml:space="preserve"> development of fully informed recommendations and thus serves the public interest.</w:t>
      </w:r>
      <w:r w:rsidR="000906EE">
        <w:t xml:space="preserve">  To ensure that we can monitor the NANC’s progress and encourage timely completion, we condition the entirety of the extension on the NAOWG submitting an adequate work plan, including a detailed timeline, by September 30, 2019, showing how the NANC will complete its work by the specified dates.</w:t>
      </w:r>
    </w:p>
    <w:p w:rsidR="00634782" w:rsidP="00B06372" w14:paraId="06AA3E16" w14:textId="1A53544B">
      <w:pPr>
        <w:pStyle w:val="ParaNum"/>
        <w:numPr>
          <w:ilvl w:val="0"/>
          <w:numId w:val="7"/>
        </w:numPr>
        <w:tabs>
          <w:tab w:val="clear" w:pos="1080"/>
        </w:tabs>
      </w:pPr>
      <w:r>
        <w:t xml:space="preserve">We do not believe that a grant of the </w:t>
      </w:r>
      <w:r w:rsidR="000906EE">
        <w:t xml:space="preserve">NAOWG’s </w:t>
      </w:r>
      <w:r>
        <w:t xml:space="preserve">requested seven months is warranted under the circumstances.  In the </w:t>
      </w:r>
      <w:r w:rsidR="000906EE">
        <w:t xml:space="preserve">NAOWG’s </w:t>
      </w:r>
      <w:r>
        <w:t xml:space="preserve">extension request, it notes that the </w:t>
      </w:r>
      <w:r w:rsidR="000906EE">
        <w:t>NAOWG</w:t>
      </w:r>
      <w:r>
        <w:t xml:space="preserve"> will likely complete the </w:t>
      </w:r>
      <w:r w:rsidR="000906EE">
        <w:t>Technical Requirements Document</w:t>
      </w:r>
      <w:r>
        <w:t xml:space="preserve"> by the end of year</w:t>
      </w:r>
      <w:r w:rsidR="000906EE">
        <w:t>.</w:t>
      </w:r>
      <w:r>
        <w:rPr>
          <w:rStyle w:val="FootnoteReference"/>
        </w:rPr>
        <w:footnoteReference w:id="17"/>
      </w:r>
      <w:r>
        <w:t xml:space="preserve"> </w:t>
      </w:r>
      <w:r w:rsidR="000906EE">
        <w:t xml:space="preserve"> We find, therefore, that </w:t>
      </w:r>
      <w:r>
        <w:t>the Bureau</w:t>
      </w:r>
      <w:r w:rsidR="005A1556">
        <w:t>s’</w:t>
      </w:r>
      <w:r>
        <w:t xml:space="preserve"> four-month extension allows sufficient time for the NAOWG to complete its work, seek </w:t>
      </w:r>
      <w:r>
        <w:t xml:space="preserve">agreement from the NANC, and present the </w:t>
      </w:r>
      <w:r w:rsidR="000906EE">
        <w:t>Technical Requirements Document</w:t>
      </w:r>
      <w:r>
        <w:t xml:space="preserve"> to the Commission by the </w:t>
      </w:r>
      <w:r w:rsidR="000906EE">
        <w:t>January 13, 2020 deadline we establish herein</w:t>
      </w:r>
      <w:r>
        <w:t xml:space="preserve">.  </w:t>
      </w:r>
      <w:r w:rsidR="00EF1F8F">
        <w:t xml:space="preserve">We also grant the </w:t>
      </w:r>
      <w:r w:rsidR="005A1556">
        <w:t xml:space="preserve">NAOWG </w:t>
      </w:r>
      <w:r w:rsidR="00EF1F8F">
        <w:t>an additional five months, until February 13, 2020, to</w:t>
      </w:r>
      <w:r w:rsidRPr="00EF1F8F" w:rsidR="00EF1F8F">
        <w:rPr>
          <w:color w:val="000000"/>
          <w:sz w:val="27"/>
          <w:szCs w:val="27"/>
        </w:rPr>
        <w:t xml:space="preserve"> </w:t>
      </w:r>
      <w:r w:rsidRPr="00EF1F8F" w:rsidR="00EF1F8F">
        <w:t xml:space="preserve">complete its work on </w:t>
      </w:r>
      <w:r w:rsidR="00DB36AA">
        <w:t xml:space="preserve">recommendations for </w:t>
      </w:r>
      <w:r w:rsidRPr="00EF1F8F" w:rsidR="00EF1F8F">
        <w:t>the mechanisms for the fee structure and pricing for users of the databas</w:t>
      </w:r>
      <w:r w:rsidR="00EF1F8F">
        <w:t>e.</w:t>
      </w:r>
      <w:r>
        <w:t xml:space="preserve">  We are mindful of the need to establish an operational database as soon as possible and believe that this is sufficient time for </w:t>
      </w:r>
      <w:r w:rsidR="00CF5AAE">
        <w:t>th</w:t>
      </w:r>
      <w:r w:rsidR="00A64844">
        <w:t xml:space="preserve">e remaining </w:t>
      </w:r>
      <w:r>
        <w:t>work to be completed.</w:t>
      </w:r>
    </w:p>
    <w:p w:rsidR="00BD30EE" w:rsidP="00BD30EE" w14:paraId="4181BFAD" w14:textId="143D1414">
      <w:pPr>
        <w:pStyle w:val="ParaNum"/>
        <w:numPr>
          <w:ilvl w:val="0"/>
          <w:numId w:val="7"/>
        </w:numPr>
        <w:tabs>
          <w:tab w:val="clear" w:pos="1080"/>
        </w:tabs>
      </w:pPr>
      <w:r w:rsidRPr="005A1556">
        <w:t>We commend the NAOWG for its work thus far on these complex issues.  Given the importance of this matter, we encourage the NAOWG to continue to work expeditiously to meet the extended timeframe we set herein.  We remind the NAOWG that although we have now granted two extensions, extensions are not routinely granted and we fully expect it to complete its work within the additional time now allotted.</w:t>
      </w:r>
    </w:p>
    <w:p w:rsidR="00DF5F1F" w:rsidP="00DF5F1F" w14:paraId="7B6DDD94" w14:textId="65499F4F">
      <w:pPr>
        <w:pStyle w:val="ParaNum"/>
        <w:numPr>
          <w:ilvl w:val="0"/>
          <w:numId w:val="7"/>
        </w:numPr>
        <w:tabs>
          <w:tab w:val="clear" w:pos="1080"/>
        </w:tabs>
      </w:pPr>
      <w:r>
        <w:t xml:space="preserve">Somos, Inc. filed an ex parte </w:t>
      </w:r>
      <w:r w:rsidR="00605F07">
        <w:t xml:space="preserve">letter </w:t>
      </w:r>
      <w:r>
        <w:t>with the Commission in which it challenged the need for the NANC to receive any additional time to complete its work.</w:t>
      </w:r>
      <w:r>
        <w:rPr>
          <w:rStyle w:val="FootnoteReference"/>
        </w:rPr>
        <w:footnoteReference w:id="18"/>
      </w:r>
      <w:r>
        <w:t xml:space="preserve">  Specifically, Somos argues, among other things, that the reassigned numbers database will not be difficult to set up</w:t>
      </w:r>
      <w:r w:rsidR="00FA510A">
        <w:t>, based on its experience with administration of toll</w:t>
      </w:r>
      <w:r w:rsidR="00FB1CE1">
        <w:t xml:space="preserve"> </w:t>
      </w:r>
      <w:r w:rsidR="00FA510A">
        <w:t>free numbers,</w:t>
      </w:r>
      <w:r>
        <w:t xml:space="preserve"> and that the Commission could outsource the NAOWG’s remaining tasks to bidders.</w:t>
      </w:r>
      <w:r>
        <w:rPr>
          <w:rStyle w:val="FootnoteReference"/>
        </w:rPr>
        <w:footnoteReference w:id="19"/>
      </w:r>
      <w:r>
        <w:t xml:space="preserve">  </w:t>
      </w:r>
      <w:r w:rsidR="005A1556">
        <w:t xml:space="preserve">We treat </w:t>
      </w:r>
      <w:r>
        <w:t xml:space="preserve">Somos’s filing </w:t>
      </w:r>
      <w:r w:rsidR="005A1556">
        <w:t xml:space="preserve">as an opposition and note that it </w:t>
      </w:r>
      <w:r>
        <w:t xml:space="preserve">was untimely </w:t>
      </w:r>
      <w:r w:rsidR="00605F07">
        <w:t xml:space="preserve">filed </w:t>
      </w:r>
      <w:r w:rsidR="00D70424">
        <w:t>later than</w:t>
      </w:r>
      <w:r>
        <w:t xml:space="preserve"> the 10-day deadline specified pursuant to section 1.45(b) of the Commission’s rules.</w:t>
      </w:r>
      <w:r>
        <w:rPr>
          <w:rStyle w:val="FootnoteReference"/>
        </w:rPr>
        <w:footnoteReference w:id="20"/>
      </w:r>
      <w:r>
        <w:t xml:space="preserve">  Even if we were to consider Somos’s opposition on the merits, however, we find it unpersuasive because we </w:t>
      </w:r>
      <w:r w:rsidR="005A1556">
        <w:t xml:space="preserve">accept the NAOWG’s expert view that preparing the Technical Requirements Document poses significant complexities and that preparing a detailed TRD will benefit the procurement.  </w:t>
      </w:r>
      <w:r w:rsidR="00065138">
        <w:t xml:space="preserve">We </w:t>
      </w:r>
      <w:r>
        <w:t>believe that there are complexities to the Reassigned Numbers Database</w:t>
      </w:r>
      <w:r w:rsidR="00D70424">
        <w:t xml:space="preserve">, as described in the NANC’s requests, </w:t>
      </w:r>
      <w:r w:rsidR="00FA510A">
        <w:t xml:space="preserve">that are different from a </w:t>
      </w:r>
      <w:r w:rsidR="00FA510A">
        <w:t>toll</w:t>
      </w:r>
      <w:r w:rsidR="00FB1CE1">
        <w:t xml:space="preserve"> </w:t>
      </w:r>
      <w:r w:rsidR="00FA510A">
        <w:t>free</w:t>
      </w:r>
      <w:r w:rsidR="00FA510A">
        <w:t xml:space="preserve"> number database and </w:t>
      </w:r>
      <w:r w:rsidR="00D70424">
        <w:t>that</w:t>
      </w:r>
      <w:r w:rsidR="00FA510A">
        <w:t xml:space="preserve"> </w:t>
      </w:r>
      <w:r w:rsidR="00D70424">
        <w:t>necessitate the NANC’s expertise and the additional time it seeks.  Indeed, the NANC is the Commission’s expert advisory body on these matters and we see nothing in Somos’ filing that</w:t>
      </w:r>
      <w:r w:rsidR="00527C45">
        <w:t xml:space="preserve"> would justify reversing the Commission’s directive to consult the NANC on the relevant issues,</w:t>
      </w:r>
      <w:r>
        <w:rPr>
          <w:rStyle w:val="FootnoteReference"/>
        </w:rPr>
        <w:footnoteReference w:id="21"/>
      </w:r>
      <w:r w:rsidR="00D70424">
        <w:t xml:space="preserve"> </w:t>
      </w:r>
      <w:r w:rsidR="00527C45">
        <w:t xml:space="preserve">or that </w:t>
      </w:r>
      <w:r w:rsidR="00D70424">
        <w:t>persuades us that additional time is unnecessary</w:t>
      </w:r>
      <w:r w:rsidR="00527C45">
        <w:t xml:space="preserve">.  </w:t>
      </w:r>
      <w:r>
        <w:t>Moreover, we are concerned that outsourcing the remaining tasks to bidders could negatively impact the procurement</w:t>
      </w:r>
      <w:r w:rsidRPr="00CA39CB" w:rsidR="00CA39CB">
        <w:t xml:space="preserve"> </w:t>
      </w:r>
      <w:r w:rsidR="00CA39CB">
        <w:t xml:space="preserve">because doing so would require bidders to </w:t>
      </w:r>
      <w:r w:rsidR="003858AD">
        <w:t>speculate</w:t>
      </w:r>
      <w:r w:rsidR="00CA39CB">
        <w:t xml:space="preserve"> </w:t>
      </w:r>
      <w:r w:rsidR="003858AD">
        <w:t>o</w:t>
      </w:r>
      <w:r w:rsidR="00CA39CB">
        <w:t xml:space="preserve">n the </w:t>
      </w:r>
      <w:r w:rsidR="003858AD">
        <w:t>matters</w:t>
      </w:r>
      <w:r w:rsidR="00CA39CB">
        <w:t xml:space="preserve"> </w:t>
      </w:r>
      <w:r w:rsidR="003858AD">
        <w:t xml:space="preserve">the NANC has </w:t>
      </w:r>
      <w:r w:rsidR="00CA39CB">
        <w:t xml:space="preserve">not </w:t>
      </w:r>
      <w:r w:rsidR="003858AD">
        <w:t>addressed</w:t>
      </w:r>
      <w:r w:rsidR="00CA39CB">
        <w:t xml:space="preserve"> and make it extremely difficult for the Commission to consistently compare bids.  </w:t>
      </w:r>
      <w:r w:rsidR="000A427F">
        <w:t>As</w:t>
      </w:r>
      <w:r w:rsidR="00CA39CB">
        <w:t xml:space="preserve"> noted above, </w:t>
      </w:r>
      <w:r w:rsidR="000A427F">
        <w:t xml:space="preserve">however, </w:t>
      </w:r>
      <w:r w:rsidR="00CA39CB">
        <w:t xml:space="preserve">we agree with Somos insofar as its filing suggests that </w:t>
      </w:r>
      <w:r w:rsidR="000A427F">
        <w:t xml:space="preserve">the </w:t>
      </w:r>
      <w:r w:rsidR="00CA39CB">
        <w:t>NANC does not need the full seven months that it requested.</w:t>
      </w:r>
      <w:r w:rsidR="00527C45">
        <w:t xml:space="preserve"> </w:t>
      </w:r>
    </w:p>
    <w:p w:rsidR="00F776F9" w:rsidP="00BD30EE" w14:paraId="29A323B2" w14:textId="25DC575A">
      <w:pPr>
        <w:pStyle w:val="ParaNum"/>
        <w:numPr>
          <w:ilvl w:val="0"/>
          <w:numId w:val="7"/>
        </w:numPr>
        <w:tabs>
          <w:tab w:val="clear" w:pos="1080"/>
        </w:tabs>
      </w:pPr>
      <w:r w:rsidRPr="00327911">
        <w:t xml:space="preserve">Accordingly, IT IS ORDERED, pursuant to section 1.46 of the Commission’s rules, 47 CFR § 1.46, </w:t>
      </w:r>
      <w:r w:rsidR="00704991">
        <w:t>and the authority delegated by sections</w:t>
      </w:r>
      <w:r w:rsidR="00240653">
        <w:t xml:space="preserve"> </w:t>
      </w:r>
      <w:r w:rsidR="00535FFC">
        <w:t xml:space="preserve">0.91, </w:t>
      </w:r>
      <w:r w:rsidR="00240653">
        <w:t>0.141</w:t>
      </w:r>
      <w:r w:rsidR="00535FFC">
        <w:t xml:space="preserve">, 0.291, and </w:t>
      </w:r>
      <w:r w:rsidR="00240653">
        <w:t>0.361</w:t>
      </w:r>
      <w:r w:rsidR="00535FFC">
        <w:t xml:space="preserve"> of the Commission’s rules,</w:t>
      </w:r>
      <w:r w:rsidR="00704991">
        <w:t xml:space="preserve"> </w:t>
      </w:r>
      <w:r w:rsidRPr="00327911" w:rsidR="00704991">
        <w:t>47 CFR §§</w:t>
      </w:r>
      <w:r w:rsidR="00704991">
        <w:t xml:space="preserve"> </w:t>
      </w:r>
      <w:r w:rsidR="00240653">
        <w:t>0.</w:t>
      </w:r>
      <w:r w:rsidR="00535FFC">
        <w:t>91, 0.</w:t>
      </w:r>
      <w:r w:rsidR="00240653">
        <w:t>141,</w:t>
      </w:r>
      <w:r w:rsidR="00535FFC">
        <w:t xml:space="preserve"> 0.291,</w:t>
      </w:r>
      <w:r w:rsidR="00240653">
        <w:t xml:space="preserve"> 0.3</w:t>
      </w:r>
      <w:r w:rsidR="00535FFC">
        <w:t>61</w:t>
      </w:r>
      <w:r w:rsidR="00704991">
        <w:t>,</w:t>
      </w:r>
      <w:r w:rsidRPr="00327911" w:rsidR="00704991">
        <w:t xml:space="preserve"> </w:t>
      </w:r>
      <w:r w:rsidRPr="00327911">
        <w:t xml:space="preserve">that </w:t>
      </w:r>
      <w:r>
        <w:t>the NANC request for an extension of time,</w:t>
      </w:r>
      <w:r w:rsidRPr="00327911">
        <w:t xml:space="preserve"> filed on </w:t>
      </w:r>
      <w:r w:rsidR="00EF1F8F">
        <w:t>August 14</w:t>
      </w:r>
      <w:r w:rsidRPr="00240653">
        <w:t>, 2019,</w:t>
      </w:r>
      <w:r>
        <w:t xml:space="preserve"> </w:t>
      </w:r>
      <w:r w:rsidRPr="00327911">
        <w:t>IS GRANTED</w:t>
      </w:r>
      <w:r w:rsidR="00B80AC5">
        <w:t xml:space="preserve"> to the extent described herein</w:t>
      </w:r>
      <w:r w:rsidRPr="00327911">
        <w:t>, and</w:t>
      </w:r>
      <w:r w:rsidR="00EF1F8F">
        <w:t>, condition</w:t>
      </w:r>
      <w:r w:rsidR="009D2EAF">
        <w:t>ed</w:t>
      </w:r>
      <w:r w:rsidR="00EF1F8F">
        <w:t xml:space="preserve"> on the filing of an adequate work plan by September </w:t>
      </w:r>
      <w:r w:rsidR="004A28E3">
        <w:t>30</w:t>
      </w:r>
      <w:r w:rsidR="00EF1F8F">
        <w:t>, 2019,</w:t>
      </w:r>
      <w:r w:rsidRPr="00327911">
        <w:t xml:space="preserve"> the deadline for filing the </w:t>
      </w:r>
      <w:r>
        <w:t xml:space="preserve">required </w:t>
      </w:r>
      <w:r w:rsidR="00EB691C">
        <w:t>recommendations</w:t>
      </w:r>
      <w:r w:rsidR="00704991">
        <w:t xml:space="preserve"> with the Commission</w:t>
      </w:r>
      <w:r>
        <w:t xml:space="preserve"> </w:t>
      </w:r>
      <w:r w:rsidRPr="00327911">
        <w:t>is extended until</w:t>
      </w:r>
      <w:r>
        <w:t xml:space="preserve"> </w:t>
      </w:r>
      <w:r w:rsidR="00EF1F8F">
        <w:t>January 13</w:t>
      </w:r>
      <w:r w:rsidRPr="00AB6B21">
        <w:t>, 20</w:t>
      </w:r>
      <w:r w:rsidR="00EF1F8F">
        <w:t>20</w:t>
      </w:r>
      <w:r w:rsidR="00292174">
        <w:t>,</w:t>
      </w:r>
      <w:r w:rsidR="00EF1F8F">
        <w:t xml:space="preserve"> for </w:t>
      </w:r>
      <w:r w:rsidR="00373E84">
        <w:t xml:space="preserve">the </w:t>
      </w:r>
      <w:r w:rsidR="00EF1F8F">
        <w:t>NANC’s technical requirement recommendations and February 13, 2020</w:t>
      </w:r>
      <w:r w:rsidR="00292174">
        <w:t>,</w:t>
      </w:r>
      <w:r w:rsidR="00EF1F8F">
        <w:t xml:space="preserve"> for the NANC’s recommendations associated with the fee structure and pricing for users of the database.</w:t>
      </w:r>
    </w:p>
    <w:p w:rsidR="00F776F9" w:rsidP="008A57AC" w14:paraId="110620D0" w14:textId="734E5B00">
      <w:pPr>
        <w:pStyle w:val="ParaNum"/>
      </w:pPr>
      <w:r w:rsidRPr="00442F8D">
        <w:t>IT IS FURTHER ORDERED that this Order SHALL BE EFFECTIVE upon release.</w:t>
      </w:r>
    </w:p>
    <w:p w:rsidR="00C56197" w:rsidP="00C56197" w14:paraId="7E89F231" w14:textId="34E5C97C">
      <w:pPr>
        <w:pStyle w:val="ParaNum"/>
      </w:pPr>
      <w:r w:rsidRPr="00F166F0">
        <w:t>To request materials in accessible formats for people with disabilities (Braille, large print,</w:t>
      </w:r>
      <w:r>
        <w:t xml:space="preserve"> </w:t>
      </w:r>
      <w:r w:rsidRPr="00F166F0">
        <w:t>electronic files, audio format), send an e-mail to fcc504@fcc.gov or call the Consumer and Governmental</w:t>
      </w:r>
      <w:r>
        <w:t xml:space="preserve"> </w:t>
      </w:r>
      <w:r w:rsidRPr="00F166F0">
        <w:t>Affairs Bureau at 202-418-0530 (voice), 202-418-0432 (TTY).</w:t>
      </w:r>
    </w:p>
    <w:p w:rsidR="00C56197" w:rsidRPr="00F166F0" w:rsidP="008E6FEE" w14:paraId="6E6F7994" w14:textId="77777777">
      <w:pPr>
        <w:pStyle w:val="ParaNum"/>
        <w:numPr>
          <w:ilvl w:val="0"/>
          <w:numId w:val="0"/>
        </w:numPr>
        <w:ind w:left="720"/>
      </w:pPr>
    </w:p>
    <w:p w:rsidR="00F776F9" w:rsidRPr="00F166F0" w:rsidP="00F776F9" w14:paraId="400EB9BD" w14:textId="77777777">
      <w:pPr>
        <w:pStyle w:val="ParaNum"/>
        <w:numPr>
          <w:ilvl w:val="0"/>
          <w:numId w:val="0"/>
        </w:numPr>
        <w:spacing w:after="0"/>
        <w:ind w:left="4680"/>
      </w:pPr>
      <w:r w:rsidRPr="00F166F0">
        <w:t>FEDERAL COMMUNICATIONS COMMISSION</w:t>
      </w:r>
    </w:p>
    <w:p w:rsidR="00F776F9" w:rsidP="00F776F9" w14:paraId="0FF84E52" w14:textId="4598134F">
      <w:pPr>
        <w:pStyle w:val="ParaNum"/>
        <w:numPr>
          <w:ilvl w:val="0"/>
          <w:numId w:val="0"/>
        </w:numPr>
        <w:spacing w:after="0"/>
        <w:ind w:left="4680"/>
      </w:pPr>
    </w:p>
    <w:p w:rsidR="00C56197" w:rsidP="00F776F9" w14:paraId="762990F1" w14:textId="33AA6630">
      <w:pPr>
        <w:pStyle w:val="ParaNum"/>
        <w:numPr>
          <w:ilvl w:val="0"/>
          <w:numId w:val="0"/>
        </w:numPr>
        <w:spacing w:after="0"/>
        <w:ind w:left="4680"/>
      </w:pPr>
    </w:p>
    <w:p w:rsidR="00C56197" w:rsidP="00F776F9" w14:paraId="2B1F0400" w14:textId="77777777">
      <w:pPr>
        <w:pStyle w:val="ParaNum"/>
        <w:numPr>
          <w:ilvl w:val="0"/>
          <w:numId w:val="0"/>
        </w:numPr>
        <w:spacing w:after="0"/>
        <w:ind w:left="4680"/>
      </w:pPr>
    </w:p>
    <w:p w:rsidR="00F776F9" w:rsidP="00F776F9" w14:paraId="43E15E48" w14:textId="77777777">
      <w:pPr>
        <w:pStyle w:val="ParaNum"/>
        <w:numPr>
          <w:ilvl w:val="0"/>
          <w:numId w:val="0"/>
        </w:numPr>
        <w:spacing w:after="0"/>
        <w:ind w:left="4680"/>
      </w:pPr>
    </w:p>
    <w:p w:rsidR="00F776F9" w:rsidRPr="00F166F0" w:rsidP="00F776F9" w14:paraId="37EAB65D" w14:textId="77777777">
      <w:pPr>
        <w:pStyle w:val="ParaNum"/>
        <w:numPr>
          <w:ilvl w:val="0"/>
          <w:numId w:val="0"/>
        </w:numPr>
        <w:spacing w:after="0"/>
        <w:ind w:left="4680"/>
      </w:pPr>
      <w:r>
        <w:t xml:space="preserve">Patrick Webre, </w:t>
      </w:r>
      <w:r w:rsidRPr="00F166F0">
        <w:t>Chief</w:t>
      </w:r>
    </w:p>
    <w:p w:rsidR="00F776F9" w:rsidP="00F776F9" w14:paraId="4262EF31" w14:textId="77777777">
      <w:pPr>
        <w:pStyle w:val="ParaNum"/>
        <w:numPr>
          <w:ilvl w:val="0"/>
          <w:numId w:val="0"/>
        </w:numPr>
        <w:spacing w:after="0"/>
        <w:ind w:left="4680"/>
      </w:pPr>
      <w:r w:rsidRPr="00F166F0">
        <w:t>Consumer and Governmental Affairs Bureau</w:t>
      </w:r>
    </w:p>
    <w:p w:rsidR="00F776F9" w:rsidP="00F776F9" w14:paraId="687F09BC" w14:textId="452859A4">
      <w:pPr>
        <w:pStyle w:val="ParaNum"/>
        <w:numPr>
          <w:ilvl w:val="0"/>
          <w:numId w:val="0"/>
        </w:numPr>
        <w:spacing w:after="0"/>
        <w:ind w:left="4680"/>
      </w:pPr>
    </w:p>
    <w:p w:rsidR="008E6FEE" w:rsidP="00F776F9" w14:paraId="3803BBD3" w14:textId="02495FED">
      <w:pPr>
        <w:pStyle w:val="ParaNum"/>
        <w:numPr>
          <w:ilvl w:val="0"/>
          <w:numId w:val="0"/>
        </w:numPr>
        <w:spacing w:after="0"/>
        <w:ind w:left="4680"/>
      </w:pPr>
    </w:p>
    <w:p w:rsidR="008E6FEE" w:rsidP="00F776F9" w14:paraId="53F1CB82" w14:textId="77777777">
      <w:pPr>
        <w:pStyle w:val="ParaNum"/>
        <w:numPr>
          <w:ilvl w:val="0"/>
          <w:numId w:val="0"/>
        </w:numPr>
        <w:spacing w:after="0"/>
        <w:ind w:left="4680"/>
      </w:pPr>
    </w:p>
    <w:p w:rsidR="00F776F9" w:rsidP="00F776F9" w14:paraId="6CA55074" w14:textId="77777777">
      <w:pPr>
        <w:pStyle w:val="ParaNum"/>
        <w:numPr>
          <w:ilvl w:val="0"/>
          <w:numId w:val="0"/>
        </w:numPr>
        <w:spacing w:after="0"/>
        <w:ind w:left="4680"/>
      </w:pPr>
    </w:p>
    <w:p w:rsidR="00F776F9" w:rsidRPr="00F166F0" w:rsidP="00F776F9" w14:paraId="1D0C6635" w14:textId="110FEB35">
      <w:pPr>
        <w:pStyle w:val="ParaNum"/>
        <w:numPr>
          <w:ilvl w:val="0"/>
          <w:numId w:val="0"/>
        </w:numPr>
        <w:spacing w:after="0"/>
        <w:ind w:left="4680"/>
      </w:pPr>
      <w:r>
        <w:t>Kris A</w:t>
      </w:r>
      <w:r w:rsidR="00F373D2">
        <w:t>nne</w:t>
      </w:r>
      <w:r>
        <w:t xml:space="preserve"> Monteith, </w:t>
      </w:r>
      <w:r w:rsidRPr="00F166F0">
        <w:t>Chief</w:t>
      </w:r>
    </w:p>
    <w:p w:rsidR="00520A3A" w:rsidRPr="00520A3A" w:rsidP="001753C6" w14:paraId="7FB9C0AA" w14:textId="77777777">
      <w:pPr>
        <w:pStyle w:val="ParaNum"/>
        <w:numPr>
          <w:ilvl w:val="0"/>
          <w:numId w:val="0"/>
        </w:numPr>
        <w:spacing w:after="0"/>
        <w:ind w:left="4680"/>
      </w:pPr>
      <w:r>
        <w:t>Wireline Competition Bureau</w:t>
      </w:r>
      <w:bookmarkEnd w:id="2"/>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62F" w:rsidP="0055614C" w14:paraId="6518A1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C762F" w14:paraId="7CEF00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62F" w14:paraId="3D940CF8" w14:textId="77777777">
    <w:pPr>
      <w:pStyle w:val="Footer"/>
      <w:jc w:val="center"/>
    </w:pPr>
    <w:r>
      <w:fldChar w:fldCharType="begin"/>
    </w:r>
    <w:r>
      <w:instrText xml:space="preserve"> PAGE   \* MERGEFORMAT </w:instrText>
    </w:r>
    <w:r>
      <w:fldChar w:fldCharType="separate"/>
    </w:r>
    <w:r w:rsidR="00292174">
      <w:rPr>
        <w:noProof/>
      </w:rPr>
      <w:t>3</w:t>
    </w:r>
    <w:r>
      <w:rPr>
        <w:noProof/>
      </w:rPr>
      <w:fldChar w:fldCharType="end"/>
    </w:r>
  </w:p>
  <w:p w:rsidR="006C762F" w14:paraId="73C24C2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62F" w14:paraId="3AAF64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57F8" w14:paraId="0F00C1CF" w14:textId="77777777">
      <w:r>
        <w:separator/>
      </w:r>
    </w:p>
  </w:footnote>
  <w:footnote w:type="continuationSeparator" w:id="1">
    <w:p w:rsidR="00B057F8" w:rsidP="00C721AC" w14:paraId="4DAF1109" w14:textId="77777777">
      <w:pPr>
        <w:spacing w:before="120"/>
        <w:rPr>
          <w:sz w:val="20"/>
        </w:rPr>
      </w:pPr>
      <w:r>
        <w:rPr>
          <w:sz w:val="20"/>
        </w:rPr>
        <w:t xml:space="preserve">(Continued from previous page)  </w:t>
      </w:r>
      <w:r>
        <w:rPr>
          <w:sz w:val="20"/>
        </w:rPr>
        <w:separator/>
      </w:r>
    </w:p>
  </w:footnote>
  <w:footnote w:type="continuationNotice" w:id="2">
    <w:p w:rsidR="00B057F8" w:rsidP="00C721AC" w14:paraId="778DA6B0" w14:textId="77777777">
      <w:pPr>
        <w:jc w:val="right"/>
        <w:rPr>
          <w:sz w:val="20"/>
        </w:rPr>
      </w:pPr>
      <w:r>
        <w:rPr>
          <w:sz w:val="20"/>
        </w:rPr>
        <w:t>(continued….)</w:t>
      </w:r>
    </w:p>
  </w:footnote>
  <w:footnote w:id="3">
    <w:p w:rsidR="006C762F" w:rsidP="00BD30EE" w14:paraId="0B7720E3" w14:textId="342A3A71">
      <w:pPr>
        <w:pStyle w:val="FootnoteText"/>
      </w:pPr>
      <w:r>
        <w:rPr>
          <w:rStyle w:val="FootnoteReference"/>
        </w:rPr>
        <w:footnoteRef/>
      </w:r>
      <w:r>
        <w:t xml:space="preserve"> Letter from Travis Kavulla, Chairman of the North American Numbering Council (NANC), to Patrick Webre, Chief, FCC Consumer and Governmental Affairs Bureau, and Kris Monteith, Chief, FCC Wireline Competition Bureau, at </w:t>
      </w:r>
      <w:r w:rsidRPr="00EF673A">
        <w:t>1 (</w:t>
      </w:r>
      <w:r w:rsidR="00BB7095">
        <w:t>Aug</w:t>
      </w:r>
      <w:r>
        <w:t xml:space="preserve">. </w:t>
      </w:r>
      <w:r w:rsidR="00BB7095">
        <w:t>14</w:t>
      </w:r>
      <w:r w:rsidRPr="00EF673A">
        <w:t>, 2019) (on file in CG Docket No. 17-59</w:t>
      </w:r>
      <w:r w:rsidRPr="004B2C39" w:rsidR="004B2C39">
        <w:t xml:space="preserve"> </w:t>
      </w:r>
      <w:r w:rsidR="004B2C39">
        <w:t>on Aug. 16, 2019</w:t>
      </w:r>
      <w:r w:rsidRPr="00EF673A">
        <w:t>) (</w:t>
      </w:r>
      <w:r w:rsidR="00E875BA">
        <w:t xml:space="preserve">Second </w:t>
      </w:r>
      <w:r w:rsidRPr="00EF673A">
        <w:t>Request for Extension)</w:t>
      </w:r>
      <w:r>
        <w:t>.</w:t>
      </w:r>
    </w:p>
  </w:footnote>
  <w:footnote w:id="4">
    <w:p w:rsidR="006C762F" w:rsidP="00DA2AF4" w14:paraId="74355E28" w14:textId="77777777">
      <w:pPr>
        <w:pStyle w:val="FootnoteText"/>
      </w:pPr>
      <w:r>
        <w:rPr>
          <w:rStyle w:val="FootnoteReference"/>
        </w:rPr>
        <w:footnoteRef/>
      </w:r>
      <w:r>
        <w:t xml:space="preserve"> </w:t>
      </w:r>
      <w:r w:rsidRPr="00EF673A">
        <w:rPr>
          <w:i/>
        </w:rPr>
        <w:t>Advanced Methods to Target and Eliminate Unlawful Robocalls</w:t>
      </w:r>
      <w:r w:rsidRPr="00EF673A">
        <w:t xml:space="preserve">, Second Report and Order, </w:t>
      </w:r>
      <w:bookmarkStart w:id="3" w:name="_Hlk8379403"/>
      <w:r>
        <w:t>33 FCC Rcd 12024</w:t>
      </w:r>
      <w:bookmarkEnd w:id="3"/>
      <w:r>
        <w:t xml:space="preserve">, 12029, 12051, paras. 11, 80 (2018) </w:t>
      </w:r>
      <w:r w:rsidRPr="00EF673A">
        <w:t>(</w:t>
      </w:r>
      <w:r w:rsidRPr="00240653">
        <w:rPr>
          <w:i/>
        </w:rPr>
        <w:t>Second Report and Order</w:t>
      </w:r>
      <w:r w:rsidRPr="00EF673A">
        <w:t>)</w:t>
      </w:r>
      <w:r>
        <w:t>.</w:t>
      </w:r>
    </w:p>
  </w:footnote>
  <w:footnote w:id="5">
    <w:p w:rsidR="006C762F" w:rsidRPr="009F6DC7" w14:paraId="3E6A1F7D" w14:textId="725997DD">
      <w:pPr>
        <w:pStyle w:val="FootnoteText"/>
      </w:pPr>
      <w:r>
        <w:rPr>
          <w:rStyle w:val="FootnoteReference"/>
        </w:rPr>
        <w:footnoteRef/>
      </w:r>
      <w:r>
        <w:t xml:space="preserve"> </w:t>
      </w:r>
      <w:r>
        <w:rPr>
          <w:i/>
        </w:rPr>
        <w:t>Id.</w:t>
      </w:r>
      <w:r>
        <w:t xml:space="preserve"> at 12045-46, paras. 59-62.</w:t>
      </w:r>
    </w:p>
  </w:footnote>
  <w:footnote w:id="6">
    <w:p w:rsidR="00EC41C8" w:rsidP="00EC41C8" w14:paraId="52BF0A77" w14:textId="77777777">
      <w:pPr>
        <w:pStyle w:val="FootnoteText"/>
      </w:pPr>
      <w:r>
        <w:rPr>
          <w:rStyle w:val="FootnoteReference"/>
        </w:rPr>
        <w:footnoteRef/>
      </w:r>
      <w:r>
        <w:t xml:space="preserve"> Letter from Travis Kavulla, Chairman of the North American Numbering Council (NANC), to Patrick Webre, Chief, FCC Consumer and Governmental Affairs Bureau, and Kris Monteith, Chief, FCC Wireline Competition Bureau, at </w:t>
      </w:r>
      <w:r w:rsidRPr="00EF673A">
        <w:t>1 (</w:t>
      </w:r>
      <w:r>
        <w:t>Apr. 30</w:t>
      </w:r>
      <w:r w:rsidRPr="00EF673A">
        <w:t>, 2019) (on file in CG Docket No. 17-59)</w:t>
      </w:r>
      <w:r>
        <w:t>.</w:t>
      </w:r>
    </w:p>
  </w:footnote>
  <w:footnote w:id="7">
    <w:p w:rsidR="00EC41C8" w:rsidRPr="006B062D" w:rsidP="00EC41C8" w14:paraId="0601598A" w14:textId="77777777">
      <w:pPr>
        <w:pStyle w:val="FootnoteText"/>
      </w:pPr>
      <w:r>
        <w:rPr>
          <w:rStyle w:val="FootnoteReference"/>
        </w:rPr>
        <w:footnoteRef/>
      </w:r>
      <w:r>
        <w:t xml:space="preserve"> </w:t>
      </w:r>
      <w:r>
        <w:rPr>
          <w:i/>
        </w:rPr>
        <w:t>Id</w:t>
      </w:r>
      <w:r>
        <w:t>.</w:t>
      </w:r>
    </w:p>
  </w:footnote>
  <w:footnote w:id="8">
    <w:p w:rsidR="006C762F" w14:paraId="2B92E284" w14:textId="14F32BF3">
      <w:pPr>
        <w:pStyle w:val="FootnoteText"/>
      </w:pPr>
      <w:r>
        <w:rPr>
          <w:rStyle w:val="FootnoteReference"/>
        </w:rPr>
        <w:footnoteRef/>
      </w:r>
      <w:r>
        <w:t xml:space="preserve"> </w:t>
      </w:r>
      <w:r w:rsidRPr="001257F9">
        <w:rPr>
          <w:i/>
        </w:rPr>
        <w:t>See</w:t>
      </w:r>
      <w:r w:rsidRPr="00EF1F8F">
        <w:t xml:space="preserve"> </w:t>
      </w:r>
      <w:r w:rsidRPr="006A45E4">
        <w:rPr>
          <w:i/>
          <w:iCs/>
        </w:rPr>
        <w:t>Advanced Methods to Target and Eliminate Unlawful Robocalls</w:t>
      </w:r>
      <w:r w:rsidRPr="00EF1F8F">
        <w:t xml:space="preserve">, CG Docket No.17-59, </w:t>
      </w:r>
      <w:r>
        <w:t>Order,</w:t>
      </w:r>
      <w:r w:rsidRPr="00EF1F8F">
        <w:t xml:space="preserve"> </w:t>
      </w:r>
      <w:r w:rsidRPr="0006149A" w:rsidR="0006149A">
        <w:t>2019 WL 2463233</w:t>
      </w:r>
      <w:r w:rsidR="0006149A">
        <w:t xml:space="preserve"> </w:t>
      </w:r>
      <w:r w:rsidRPr="00EF1F8F">
        <w:t xml:space="preserve">(rel. </w:t>
      </w:r>
      <w:r>
        <w:t>June 12</w:t>
      </w:r>
      <w:r w:rsidRPr="00EF1F8F">
        <w:t>, 201</w:t>
      </w:r>
      <w:r>
        <w:t>9</w:t>
      </w:r>
      <w:r w:rsidRPr="00EF1F8F">
        <w:t>)</w:t>
      </w:r>
      <w:r>
        <w:t>.</w:t>
      </w:r>
    </w:p>
  </w:footnote>
  <w:footnote w:id="9">
    <w:p w:rsidR="006C762F" w:rsidRPr="006A45E4" w14:paraId="156DEE4F" w14:textId="7DDD16D9">
      <w:pPr>
        <w:pStyle w:val="FootnoteText"/>
      </w:pPr>
      <w:r>
        <w:rPr>
          <w:rStyle w:val="FootnoteReference"/>
        </w:rPr>
        <w:footnoteRef/>
      </w:r>
      <w:r>
        <w:t xml:space="preserve"> </w:t>
      </w:r>
      <w:r>
        <w:rPr>
          <w:i/>
          <w:iCs/>
        </w:rPr>
        <w:t xml:space="preserve">Id. </w:t>
      </w:r>
      <w:r>
        <w:t>at 2, para 7.</w:t>
      </w:r>
    </w:p>
  </w:footnote>
  <w:footnote w:id="10">
    <w:p w:rsidR="006C762F" w14:paraId="3ED16ABC" w14:textId="2CC807A4">
      <w:pPr>
        <w:pStyle w:val="FootnoteText"/>
      </w:pPr>
      <w:r>
        <w:rPr>
          <w:rStyle w:val="FootnoteReference"/>
        </w:rPr>
        <w:footnoteRef/>
      </w:r>
      <w:r>
        <w:t xml:space="preserve"> Letter from Travis Kavulla, Chairman of the North American Numbering Council (NANC), to Patrick Webre, Chief, FCC Consumer and Governmental Affairs Bureau, and Kris Monteith, Chief, FCC Wireline Competition Bureau, at 2</w:t>
      </w:r>
      <w:r w:rsidRPr="00EF673A">
        <w:t xml:space="preserve"> (</w:t>
      </w:r>
      <w:r>
        <w:t>July 11</w:t>
      </w:r>
      <w:r w:rsidRPr="00EF673A">
        <w:t>, 2019)</w:t>
      </w:r>
      <w:r>
        <w:t>.</w:t>
      </w:r>
    </w:p>
  </w:footnote>
  <w:footnote w:id="11">
    <w:p w:rsidR="006C762F" w14:paraId="65ADE8F2" w14:textId="5F293595">
      <w:pPr>
        <w:pStyle w:val="FootnoteText"/>
      </w:pPr>
      <w:r>
        <w:rPr>
          <w:rStyle w:val="FootnoteReference"/>
        </w:rPr>
        <w:footnoteRef/>
      </w:r>
      <w:r>
        <w:t xml:space="preserve"> Second </w:t>
      </w:r>
      <w:r w:rsidRPr="00EF673A">
        <w:t>Request for Extension</w:t>
      </w:r>
      <w:r w:rsidR="008B5A7F">
        <w:t xml:space="preserve"> at 3</w:t>
      </w:r>
      <w:r>
        <w:t>.</w:t>
      </w:r>
    </w:p>
  </w:footnote>
  <w:footnote w:id="12">
    <w:p w:rsidR="006C762F" w14:paraId="5E31ECDD" w14:textId="2CBBC43D">
      <w:pPr>
        <w:pStyle w:val="FootnoteText"/>
      </w:pPr>
      <w:r>
        <w:rPr>
          <w:rStyle w:val="FootnoteReference"/>
        </w:rPr>
        <w:footnoteRef/>
      </w:r>
      <w:r>
        <w:t xml:space="preserve"> </w:t>
      </w:r>
      <w:r w:rsidRPr="002B1FB3">
        <w:rPr>
          <w:i/>
          <w:iCs/>
        </w:rPr>
        <w:t>Id</w:t>
      </w:r>
      <w:r>
        <w:t>.</w:t>
      </w:r>
    </w:p>
  </w:footnote>
  <w:footnote w:id="13">
    <w:p w:rsidR="006C762F" w:rsidP="00F776F9" w14:paraId="12955C8F" w14:textId="77777777">
      <w:pPr>
        <w:pStyle w:val="FootnoteText"/>
      </w:pPr>
      <w:r>
        <w:rPr>
          <w:rStyle w:val="FootnoteReference"/>
        </w:rPr>
        <w:footnoteRef/>
      </w:r>
      <w:r>
        <w:t xml:space="preserve"> </w:t>
      </w:r>
      <w:r>
        <w:rPr>
          <w:i/>
        </w:rPr>
        <w:t>Id</w:t>
      </w:r>
      <w:r>
        <w:t>.</w:t>
      </w:r>
    </w:p>
  </w:footnote>
  <w:footnote w:id="14">
    <w:p w:rsidR="006C762F" w:rsidP="00F776F9" w14:paraId="070C92F9" w14:textId="77777777">
      <w:pPr>
        <w:pStyle w:val="FootnoteText"/>
      </w:pPr>
      <w:r>
        <w:rPr>
          <w:rStyle w:val="FootnoteReference"/>
        </w:rPr>
        <w:footnoteRef/>
      </w:r>
      <w:r>
        <w:t xml:space="preserve"> </w:t>
      </w:r>
      <w:r>
        <w:rPr>
          <w:i/>
        </w:rPr>
        <w:t>Id</w:t>
      </w:r>
      <w:r>
        <w:t>.</w:t>
      </w:r>
    </w:p>
  </w:footnote>
  <w:footnote w:id="15">
    <w:p w:rsidR="006C762F" w:rsidP="00F776F9" w14:paraId="086F16B4" w14:textId="77777777">
      <w:pPr>
        <w:pStyle w:val="FootnoteText"/>
      </w:pPr>
      <w:r>
        <w:rPr>
          <w:rStyle w:val="FootnoteReference"/>
        </w:rPr>
        <w:footnoteRef/>
      </w:r>
      <w:r>
        <w:t xml:space="preserve"> 47 CFR § 1.46.</w:t>
      </w:r>
    </w:p>
  </w:footnote>
  <w:footnote w:id="16">
    <w:p w:rsidR="006C762F" w:rsidRPr="008204F5" w14:paraId="28C6AC5E" w14:textId="77777777">
      <w:pPr>
        <w:pStyle w:val="FootnoteText"/>
      </w:pPr>
      <w:r>
        <w:rPr>
          <w:rStyle w:val="FootnoteReference"/>
        </w:rPr>
        <w:footnoteRef/>
      </w:r>
      <w:r>
        <w:t xml:space="preserve"> </w:t>
      </w:r>
      <w:r w:rsidRPr="00240653">
        <w:rPr>
          <w:i/>
        </w:rPr>
        <w:t>Second Report and Order</w:t>
      </w:r>
      <w:r>
        <w:t xml:space="preserve">, 33 FCC Rcd at </w:t>
      </w:r>
      <w:r w:rsidRPr="003D45E1">
        <w:t>12046</w:t>
      </w:r>
      <w:r>
        <w:t>, para. 64.</w:t>
      </w:r>
    </w:p>
  </w:footnote>
  <w:footnote w:id="17">
    <w:p w:rsidR="00B06372" w:rsidP="00B06372" w14:paraId="31742F96" w14:textId="77777777">
      <w:pPr>
        <w:pStyle w:val="FootnoteText"/>
      </w:pPr>
      <w:r>
        <w:rPr>
          <w:rStyle w:val="FootnoteReference"/>
        </w:rPr>
        <w:footnoteRef/>
      </w:r>
      <w:r>
        <w:t xml:space="preserve"> Second </w:t>
      </w:r>
      <w:r w:rsidRPr="00EF673A">
        <w:t>Request for Extension</w:t>
      </w:r>
      <w:r>
        <w:t xml:space="preserve"> at 3.</w:t>
      </w:r>
    </w:p>
  </w:footnote>
  <w:footnote w:id="18">
    <w:p w:rsidR="00DF5F1F" w:rsidP="00DF5F1F" w14:paraId="1760A1DD" w14:textId="761BC03D">
      <w:pPr>
        <w:pStyle w:val="FootnoteText"/>
      </w:pPr>
      <w:r>
        <w:rPr>
          <w:rStyle w:val="FootnoteReference"/>
        </w:rPr>
        <w:footnoteRef/>
      </w:r>
      <w:r>
        <w:t xml:space="preserve"> </w:t>
      </w:r>
      <w:r w:rsidRPr="00407635">
        <w:t xml:space="preserve">Letter from </w:t>
      </w:r>
      <w:r>
        <w:t>Melanie L. Bostwick</w:t>
      </w:r>
      <w:r w:rsidRPr="00407635">
        <w:t xml:space="preserve">, </w:t>
      </w:r>
      <w:r>
        <w:t>Counsel</w:t>
      </w:r>
      <w:r w:rsidRPr="00407635">
        <w:t xml:space="preserve">, </w:t>
      </w:r>
      <w:r>
        <w:t>Somos, Inc.</w:t>
      </w:r>
      <w:r w:rsidRPr="00407635">
        <w:t xml:space="preserve">, to Marlene H. Dortch, Secretary, FCC, </w:t>
      </w:r>
      <w:r>
        <w:t>CG</w:t>
      </w:r>
      <w:r w:rsidRPr="00407635">
        <w:t xml:space="preserve"> Docket No. </w:t>
      </w:r>
      <w:r>
        <w:t>17-59</w:t>
      </w:r>
      <w:r w:rsidRPr="00407635">
        <w:t xml:space="preserve"> (filed </w:t>
      </w:r>
      <w:r>
        <w:t>Aug</w:t>
      </w:r>
      <w:r w:rsidRPr="00407635">
        <w:t xml:space="preserve">. </w:t>
      </w:r>
      <w:r>
        <w:t>29</w:t>
      </w:r>
      <w:r w:rsidRPr="00407635">
        <w:t>, 201</w:t>
      </w:r>
      <w:r>
        <w:t>9</w:t>
      </w:r>
      <w:r w:rsidRPr="00407635">
        <w:t>)</w:t>
      </w:r>
      <w:r>
        <w:t xml:space="preserve">.  </w:t>
      </w:r>
      <w:r w:rsidR="00E72643">
        <w:t xml:space="preserve">Somos also argued that the Commission should not separate the administration of the Reassigned Numbers Database from the North American Numbering Plan and Pooling Administration.  We do not address those arguments as they are irrelevant to </w:t>
      </w:r>
      <w:r w:rsidR="003858AD">
        <w:t xml:space="preserve">the instant </w:t>
      </w:r>
      <w:r w:rsidR="00E72643">
        <w:t>decision.</w:t>
      </w:r>
    </w:p>
  </w:footnote>
  <w:footnote w:id="19">
    <w:p w:rsidR="00DF5F1F" w:rsidRPr="002768AF" w:rsidP="00DF5F1F" w14:paraId="712E483D" w14:textId="77777777">
      <w:pPr>
        <w:pStyle w:val="FootnoteText"/>
      </w:pPr>
      <w:r>
        <w:rPr>
          <w:rStyle w:val="FootnoteReference"/>
        </w:rPr>
        <w:footnoteRef/>
      </w:r>
      <w:r>
        <w:t xml:space="preserve"> </w:t>
      </w:r>
      <w:r>
        <w:rPr>
          <w:i/>
        </w:rPr>
        <w:t>Id.</w:t>
      </w:r>
      <w:r>
        <w:t xml:space="preserve"> at 2-4. </w:t>
      </w:r>
    </w:p>
  </w:footnote>
  <w:footnote w:id="20">
    <w:p w:rsidR="00605F07" w:rsidRPr="00605F07" w14:paraId="2739622E" w14:textId="5BEB246C">
      <w:pPr>
        <w:pStyle w:val="FootnoteText"/>
      </w:pPr>
      <w:r>
        <w:rPr>
          <w:rStyle w:val="FootnoteReference"/>
        </w:rPr>
        <w:footnoteRef/>
      </w:r>
      <w:r>
        <w:t xml:space="preserve"> </w:t>
      </w:r>
      <w:r>
        <w:rPr>
          <w:i/>
        </w:rPr>
        <w:t>See</w:t>
      </w:r>
      <w:r w:rsidRPr="00C94EBC">
        <w:t xml:space="preserve"> 47 CFR § 1.45(b)</w:t>
      </w:r>
      <w:r>
        <w:t>.</w:t>
      </w:r>
    </w:p>
  </w:footnote>
  <w:footnote w:id="21">
    <w:p w:rsidR="00527C45" w14:paraId="3725263A" w14:textId="39B572D4">
      <w:pPr>
        <w:pStyle w:val="FootnoteText"/>
      </w:pPr>
      <w:r>
        <w:rPr>
          <w:rStyle w:val="FootnoteReference"/>
        </w:rPr>
        <w:footnoteRef/>
      </w:r>
      <w:r>
        <w:t xml:space="preserve"> We note that the time for seeking reconsideration of that decision </w:t>
      </w:r>
      <w:r w:rsidR="00FA510A">
        <w:t xml:space="preserve">by the Commission </w:t>
      </w:r>
      <w:r>
        <w:t>has lapsed.</w:t>
      </w:r>
      <w:r w:rsidR="00FA510A">
        <w:t xml:space="preserve">  </w:t>
      </w:r>
      <w:r w:rsidR="00FA510A">
        <w:rPr>
          <w:i/>
        </w:rPr>
        <w:t xml:space="preserve">See </w:t>
      </w:r>
      <w:r w:rsidR="00FA510A">
        <w:t>47 U.S.C. § 405; 47 C.F.R. § 1.429(d).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62F" w:rsidP="00810B6F" w14:paraId="51B4B827" w14:textId="2F42B650">
    <w:pPr>
      <w:pStyle w:val="Header"/>
      <w:rPr>
        <w:b w:val="0"/>
      </w:rPr>
    </w:pPr>
    <w:r>
      <w:tab/>
      <w:t>Federal Communications Commission</w:t>
    </w:r>
    <w:r>
      <w:tab/>
      <w:t xml:space="preserve">DA </w:t>
    </w:r>
    <w:r w:rsidRPr="00304535">
      <w:t>19-</w:t>
    </w:r>
    <w:r w:rsidR="005C66B7">
      <w:t>905</w:t>
    </w:r>
  </w:p>
  <w:p w:rsidR="006C762F" w14:paraId="1D097F85"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6C762F" w14:paraId="106DD2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762F" w:rsidP="00810B6F" w14:paraId="3FF91F8B" w14:textId="0B1158C0">
    <w:pPr>
      <w:pStyle w:val="Header"/>
      <w:rPr>
        <w:b w:val="0"/>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Pr>
        <w:spacing w:val="-2"/>
      </w:rPr>
      <w:t xml:space="preserve">DA </w:t>
    </w:r>
    <w:r w:rsidRPr="00304535">
      <w:rPr>
        <w:spacing w:val="-2"/>
      </w:rPr>
      <w:t>19-</w:t>
    </w:r>
    <w:r w:rsidR="005C66B7">
      <w:rPr>
        <w:spacing w:val="-2"/>
      </w:rPr>
      <w:t>905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1A5E"/>
    <w:rsid w:val="00031860"/>
    <w:rsid w:val="00036039"/>
    <w:rsid w:val="00037F90"/>
    <w:rsid w:val="0004488D"/>
    <w:rsid w:val="000515F9"/>
    <w:rsid w:val="0005656D"/>
    <w:rsid w:val="0006149A"/>
    <w:rsid w:val="00065138"/>
    <w:rsid w:val="0007476B"/>
    <w:rsid w:val="00077AF5"/>
    <w:rsid w:val="000875BF"/>
    <w:rsid w:val="000906EE"/>
    <w:rsid w:val="00092A80"/>
    <w:rsid w:val="00094A18"/>
    <w:rsid w:val="00096D8C"/>
    <w:rsid w:val="000A427F"/>
    <w:rsid w:val="000A5173"/>
    <w:rsid w:val="000B2D0C"/>
    <w:rsid w:val="000B5863"/>
    <w:rsid w:val="000C0B65"/>
    <w:rsid w:val="000D5068"/>
    <w:rsid w:val="000E05FE"/>
    <w:rsid w:val="000E3D42"/>
    <w:rsid w:val="00104CE6"/>
    <w:rsid w:val="00111AA4"/>
    <w:rsid w:val="00112B0A"/>
    <w:rsid w:val="00122BD5"/>
    <w:rsid w:val="00124529"/>
    <w:rsid w:val="001257F9"/>
    <w:rsid w:val="00133F79"/>
    <w:rsid w:val="00143FF9"/>
    <w:rsid w:val="00166138"/>
    <w:rsid w:val="00171164"/>
    <w:rsid w:val="001753C6"/>
    <w:rsid w:val="00182D25"/>
    <w:rsid w:val="00191D58"/>
    <w:rsid w:val="001947F1"/>
    <w:rsid w:val="00194A66"/>
    <w:rsid w:val="001A059B"/>
    <w:rsid w:val="001C2191"/>
    <w:rsid w:val="001C3F8E"/>
    <w:rsid w:val="001D44DB"/>
    <w:rsid w:val="001D6BCF"/>
    <w:rsid w:val="001E01CA"/>
    <w:rsid w:val="001E13CE"/>
    <w:rsid w:val="00203A60"/>
    <w:rsid w:val="00204A59"/>
    <w:rsid w:val="00222391"/>
    <w:rsid w:val="00237A90"/>
    <w:rsid w:val="00240653"/>
    <w:rsid w:val="00243719"/>
    <w:rsid w:val="00260A0F"/>
    <w:rsid w:val="00262C66"/>
    <w:rsid w:val="00264005"/>
    <w:rsid w:val="00270FD2"/>
    <w:rsid w:val="00271AF6"/>
    <w:rsid w:val="002727B1"/>
    <w:rsid w:val="00275CF5"/>
    <w:rsid w:val="002768AF"/>
    <w:rsid w:val="0028301F"/>
    <w:rsid w:val="00283709"/>
    <w:rsid w:val="00285017"/>
    <w:rsid w:val="00292174"/>
    <w:rsid w:val="002A2D2E"/>
    <w:rsid w:val="002A376F"/>
    <w:rsid w:val="002A76EC"/>
    <w:rsid w:val="002B1FB3"/>
    <w:rsid w:val="002C00E8"/>
    <w:rsid w:val="002C6660"/>
    <w:rsid w:val="002C6963"/>
    <w:rsid w:val="002D1455"/>
    <w:rsid w:val="002D15CB"/>
    <w:rsid w:val="002D2E94"/>
    <w:rsid w:val="002D3191"/>
    <w:rsid w:val="002D40F6"/>
    <w:rsid w:val="002D7CA6"/>
    <w:rsid w:val="002E6821"/>
    <w:rsid w:val="00304535"/>
    <w:rsid w:val="0031583D"/>
    <w:rsid w:val="00316676"/>
    <w:rsid w:val="00327911"/>
    <w:rsid w:val="00343749"/>
    <w:rsid w:val="00354964"/>
    <w:rsid w:val="003643A6"/>
    <w:rsid w:val="003660ED"/>
    <w:rsid w:val="00366CA4"/>
    <w:rsid w:val="00367868"/>
    <w:rsid w:val="00372C7A"/>
    <w:rsid w:val="00373E84"/>
    <w:rsid w:val="003858AD"/>
    <w:rsid w:val="003A2954"/>
    <w:rsid w:val="003B0550"/>
    <w:rsid w:val="003B1900"/>
    <w:rsid w:val="003B5D84"/>
    <w:rsid w:val="003B6130"/>
    <w:rsid w:val="003B694F"/>
    <w:rsid w:val="003C0055"/>
    <w:rsid w:val="003D45E1"/>
    <w:rsid w:val="003F171C"/>
    <w:rsid w:val="00407635"/>
    <w:rsid w:val="00412FC5"/>
    <w:rsid w:val="00422276"/>
    <w:rsid w:val="004242F1"/>
    <w:rsid w:val="0044222F"/>
    <w:rsid w:val="00442F8D"/>
    <w:rsid w:val="00445A00"/>
    <w:rsid w:val="00451B0F"/>
    <w:rsid w:val="00480744"/>
    <w:rsid w:val="004824B1"/>
    <w:rsid w:val="004969A8"/>
    <w:rsid w:val="004A220C"/>
    <w:rsid w:val="004A28E3"/>
    <w:rsid w:val="004B1EE6"/>
    <w:rsid w:val="004B2C39"/>
    <w:rsid w:val="004C0FCD"/>
    <w:rsid w:val="004C2EE3"/>
    <w:rsid w:val="004E4A22"/>
    <w:rsid w:val="004F0A44"/>
    <w:rsid w:val="00503760"/>
    <w:rsid w:val="00511968"/>
    <w:rsid w:val="00515845"/>
    <w:rsid w:val="00520A3A"/>
    <w:rsid w:val="00527C45"/>
    <w:rsid w:val="00535FFC"/>
    <w:rsid w:val="00537D78"/>
    <w:rsid w:val="00550489"/>
    <w:rsid w:val="0055614C"/>
    <w:rsid w:val="00562A88"/>
    <w:rsid w:val="00566D06"/>
    <w:rsid w:val="0057071D"/>
    <w:rsid w:val="00597548"/>
    <w:rsid w:val="005A1556"/>
    <w:rsid w:val="005A7915"/>
    <w:rsid w:val="005B3B98"/>
    <w:rsid w:val="005C333C"/>
    <w:rsid w:val="005C4BBE"/>
    <w:rsid w:val="005C66B7"/>
    <w:rsid w:val="005E14C2"/>
    <w:rsid w:val="005F7987"/>
    <w:rsid w:val="00605F07"/>
    <w:rsid w:val="00607BA5"/>
    <w:rsid w:val="0061180A"/>
    <w:rsid w:val="00623C1A"/>
    <w:rsid w:val="006251F1"/>
    <w:rsid w:val="00626EB6"/>
    <w:rsid w:val="00634782"/>
    <w:rsid w:val="00634ACA"/>
    <w:rsid w:val="00634E72"/>
    <w:rsid w:val="00643D8F"/>
    <w:rsid w:val="00643F24"/>
    <w:rsid w:val="00655D03"/>
    <w:rsid w:val="00661CD3"/>
    <w:rsid w:val="00662503"/>
    <w:rsid w:val="00673C70"/>
    <w:rsid w:val="00674AC0"/>
    <w:rsid w:val="00674EE3"/>
    <w:rsid w:val="0068175F"/>
    <w:rsid w:val="00683388"/>
    <w:rsid w:val="00683F84"/>
    <w:rsid w:val="00685F14"/>
    <w:rsid w:val="006A45E4"/>
    <w:rsid w:val="006A47BC"/>
    <w:rsid w:val="006A6A81"/>
    <w:rsid w:val="006B062D"/>
    <w:rsid w:val="006C762F"/>
    <w:rsid w:val="006F24DC"/>
    <w:rsid w:val="006F7393"/>
    <w:rsid w:val="00701536"/>
    <w:rsid w:val="0070224F"/>
    <w:rsid w:val="00704991"/>
    <w:rsid w:val="007115F7"/>
    <w:rsid w:val="00736466"/>
    <w:rsid w:val="007522E4"/>
    <w:rsid w:val="007578B6"/>
    <w:rsid w:val="007607A3"/>
    <w:rsid w:val="00762359"/>
    <w:rsid w:val="00785689"/>
    <w:rsid w:val="0078699F"/>
    <w:rsid w:val="00790D2A"/>
    <w:rsid w:val="0079754B"/>
    <w:rsid w:val="00797C35"/>
    <w:rsid w:val="007A0314"/>
    <w:rsid w:val="007A1E6D"/>
    <w:rsid w:val="007A6CE0"/>
    <w:rsid w:val="007B0EB2"/>
    <w:rsid w:val="007B472F"/>
    <w:rsid w:val="007D5E1E"/>
    <w:rsid w:val="007F4E2B"/>
    <w:rsid w:val="007F701E"/>
    <w:rsid w:val="0080151F"/>
    <w:rsid w:val="00810B6F"/>
    <w:rsid w:val="008204F5"/>
    <w:rsid w:val="00822CE0"/>
    <w:rsid w:val="00830B55"/>
    <w:rsid w:val="00834A71"/>
    <w:rsid w:val="00834A97"/>
    <w:rsid w:val="008414C9"/>
    <w:rsid w:val="00841AB1"/>
    <w:rsid w:val="008559E8"/>
    <w:rsid w:val="00863132"/>
    <w:rsid w:val="008733DF"/>
    <w:rsid w:val="00874769"/>
    <w:rsid w:val="008832A9"/>
    <w:rsid w:val="008912E6"/>
    <w:rsid w:val="008A24F4"/>
    <w:rsid w:val="008A2EFA"/>
    <w:rsid w:val="008A57AC"/>
    <w:rsid w:val="008B5A7F"/>
    <w:rsid w:val="008C68F1"/>
    <w:rsid w:val="008D26FE"/>
    <w:rsid w:val="008E5084"/>
    <w:rsid w:val="008E6FEE"/>
    <w:rsid w:val="008F0FE1"/>
    <w:rsid w:val="008F3531"/>
    <w:rsid w:val="00902C8F"/>
    <w:rsid w:val="009038B3"/>
    <w:rsid w:val="00913BD2"/>
    <w:rsid w:val="009164F5"/>
    <w:rsid w:val="00917E67"/>
    <w:rsid w:val="00921803"/>
    <w:rsid w:val="00926503"/>
    <w:rsid w:val="00934C7A"/>
    <w:rsid w:val="00944501"/>
    <w:rsid w:val="00965902"/>
    <w:rsid w:val="009726D8"/>
    <w:rsid w:val="009A0B94"/>
    <w:rsid w:val="009B710A"/>
    <w:rsid w:val="009D2EAF"/>
    <w:rsid w:val="009D7308"/>
    <w:rsid w:val="009E724A"/>
    <w:rsid w:val="009F3C55"/>
    <w:rsid w:val="009F6DC7"/>
    <w:rsid w:val="009F76DB"/>
    <w:rsid w:val="00A05283"/>
    <w:rsid w:val="00A114CA"/>
    <w:rsid w:val="00A32C3B"/>
    <w:rsid w:val="00A360D1"/>
    <w:rsid w:val="00A45F4F"/>
    <w:rsid w:val="00A57E32"/>
    <w:rsid w:val="00A600A9"/>
    <w:rsid w:val="00A60843"/>
    <w:rsid w:val="00A64844"/>
    <w:rsid w:val="00AA55B7"/>
    <w:rsid w:val="00AA5B9E"/>
    <w:rsid w:val="00AA62FB"/>
    <w:rsid w:val="00AB2407"/>
    <w:rsid w:val="00AB53DF"/>
    <w:rsid w:val="00AB6B21"/>
    <w:rsid w:val="00AE34D2"/>
    <w:rsid w:val="00AE3C2E"/>
    <w:rsid w:val="00AE4449"/>
    <w:rsid w:val="00AF21E9"/>
    <w:rsid w:val="00AF50EE"/>
    <w:rsid w:val="00B057F8"/>
    <w:rsid w:val="00B06372"/>
    <w:rsid w:val="00B07E5C"/>
    <w:rsid w:val="00B110FE"/>
    <w:rsid w:val="00B2778A"/>
    <w:rsid w:val="00B47D3C"/>
    <w:rsid w:val="00B51D40"/>
    <w:rsid w:val="00B80AC5"/>
    <w:rsid w:val="00B811F7"/>
    <w:rsid w:val="00B8218D"/>
    <w:rsid w:val="00B82446"/>
    <w:rsid w:val="00B86543"/>
    <w:rsid w:val="00BA093A"/>
    <w:rsid w:val="00BA5DC6"/>
    <w:rsid w:val="00BA6196"/>
    <w:rsid w:val="00BB7095"/>
    <w:rsid w:val="00BC6D8C"/>
    <w:rsid w:val="00BC76FB"/>
    <w:rsid w:val="00BD217F"/>
    <w:rsid w:val="00BD30EE"/>
    <w:rsid w:val="00BE5E1E"/>
    <w:rsid w:val="00BF7900"/>
    <w:rsid w:val="00C217AD"/>
    <w:rsid w:val="00C34006"/>
    <w:rsid w:val="00C36036"/>
    <w:rsid w:val="00C36B4C"/>
    <w:rsid w:val="00C4109A"/>
    <w:rsid w:val="00C426B1"/>
    <w:rsid w:val="00C56197"/>
    <w:rsid w:val="00C64024"/>
    <w:rsid w:val="00C65180"/>
    <w:rsid w:val="00C66160"/>
    <w:rsid w:val="00C721AC"/>
    <w:rsid w:val="00C76D79"/>
    <w:rsid w:val="00C9099D"/>
    <w:rsid w:val="00C90D6A"/>
    <w:rsid w:val="00C94EBC"/>
    <w:rsid w:val="00CA19B9"/>
    <w:rsid w:val="00CA247E"/>
    <w:rsid w:val="00CA2D72"/>
    <w:rsid w:val="00CA39CB"/>
    <w:rsid w:val="00CA6D21"/>
    <w:rsid w:val="00CB0E97"/>
    <w:rsid w:val="00CC72B6"/>
    <w:rsid w:val="00CD4798"/>
    <w:rsid w:val="00CD541A"/>
    <w:rsid w:val="00CE2536"/>
    <w:rsid w:val="00CF4DE3"/>
    <w:rsid w:val="00CF5AAE"/>
    <w:rsid w:val="00D0218D"/>
    <w:rsid w:val="00D2301D"/>
    <w:rsid w:val="00D23436"/>
    <w:rsid w:val="00D25FB5"/>
    <w:rsid w:val="00D3537D"/>
    <w:rsid w:val="00D44223"/>
    <w:rsid w:val="00D4436C"/>
    <w:rsid w:val="00D61059"/>
    <w:rsid w:val="00D70424"/>
    <w:rsid w:val="00D82C5B"/>
    <w:rsid w:val="00DA2529"/>
    <w:rsid w:val="00DA2AF4"/>
    <w:rsid w:val="00DB130A"/>
    <w:rsid w:val="00DB2EBB"/>
    <w:rsid w:val="00DB36AA"/>
    <w:rsid w:val="00DB5C9E"/>
    <w:rsid w:val="00DB5D39"/>
    <w:rsid w:val="00DB7AE4"/>
    <w:rsid w:val="00DC10A1"/>
    <w:rsid w:val="00DC655F"/>
    <w:rsid w:val="00DD0B59"/>
    <w:rsid w:val="00DD7EBD"/>
    <w:rsid w:val="00DF5F1F"/>
    <w:rsid w:val="00DF62B6"/>
    <w:rsid w:val="00DF7CA7"/>
    <w:rsid w:val="00E0273C"/>
    <w:rsid w:val="00E07225"/>
    <w:rsid w:val="00E15E81"/>
    <w:rsid w:val="00E164CF"/>
    <w:rsid w:val="00E26F79"/>
    <w:rsid w:val="00E34C48"/>
    <w:rsid w:val="00E359C1"/>
    <w:rsid w:val="00E41240"/>
    <w:rsid w:val="00E476C5"/>
    <w:rsid w:val="00E479A4"/>
    <w:rsid w:val="00E52591"/>
    <w:rsid w:val="00E5409F"/>
    <w:rsid w:val="00E542F6"/>
    <w:rsid w:val="00E62D24"/>
    <w:rsid w:val="00E72643"/>
    <w:rsid w:val="00E875BA"/>
    <w:rsid w:val="00E95368"/>
    <w:rsid w:val="00E9589A"/>
    <w:rsid w:val="00EB691C"/>
    <w:rsid w:val="00EC195D"/>
    <w:rsid w:val="00EC41C8"/>
    <w:rsid w:val="00ED4AF7"/>
    <w:rsid w:val="00EE6488"/>
    <w:rsid w:val="00EF1F8F"/>
    <w:rsid w:val="00EF673A"/>
    <w:rsid w:val="00F00DB4"/>
    <w:rsid w:val="00F021FA"/>
    <w:rsid w:val="00F07422"/>
    <w:rsid w:val="00F166F0"/>
    <w:rsid w:val="00F263A1"/>
    <w:rsid w:val="00F373D2"/>
    <w:rsid w:val="00F41EEF"/>
    <w:rsid w:val="00F520F7"/>
    <w:rsid w:val="00F62E97"/>
    <w:rsid w:val="00F64209"/>
    <w:rsid w:val="00F65D9B"/>
    <w:rsid w:val="00F6671E"/>
    <w:rsid w:val="00F71E4C"/>
    <w:rsid w:val="00F73A67"/>
    <w:rsid w:val="00F76656"/>
    <w:rsid w:val="00F776F9"/>
    <w:rsid w:val="00F77976"/>
    <w:rsid w:val="00F82C5E"/>
    <w:rsid w:val="00F92CAA"/>
    <w:rsid w:val="00F93BF5"/>
    <w:rsid w:val="00FA1268"/>
    <w:rsid w:val="00FA3F91"/>
    <w:rsid w:val="00FA510A"/>
    <w:rsid w:val="00FA6D9D"/>
    <w:rsid w:val="00FB1CE1"/>
    <w:rsid w:val="00FC2D8B"/>
    <w:rsid w:val="00FE540C"/>
    <w:rsid w:val="00FE590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
    <w:link w:val="FootnoteText"/>
    <w:locked/>
    <w:rsid w:val="00F776F9"/>
  </w:style>
  <w:style w:type="character" w:customStyle="1" w:styleId="ParaNumChar1">
    <w:name w:val="ParaNum Char1"/>
    <w:link w:val="ParaNum"/>
    <w:rsid w:val="00F776F9"/>
    <w:rPr>
      <w:snapToGrid w:val="0"/>
      <w:kern w:val="28"/>
      <w:sz w:val="22"/>
    </w:rPr>
  </w:style>
  <w:style w:type="paragraph" w:styleId="BalloonText">
    <w:name w:val="Balloon Text"/>
    <w:basedOn w:val="Normal"/>
    <w:link w:val="BalloonTextChar"/>
    <w:rsid w:val="00DA2AF4"/>
    <w:rPr>
      <w:rFonts w:ascii="Lucida Grande" w:hAnsi="Lucida Grande"/>
      <w:sz w:val="18"/>
      <w:szCs w:val="18"/>
    </w:rPr>
  </w:style>
  <w:style w:type="character" w:customStyle="1" w:styleId="BalloonTextChar">
    <w:name w:val="Balloon Text Char"/>
    <w:basedOn w:val="DefaultParagraphFont"/>
    <w:link w:val="BalloonText"/>
    <w:rsid w:val="00DA2AF4"/>
    <w:rPr>
      <w:rFonts w:ascii="Lucida Grande" w:hAnsi="Lucida Grande"/>
      <w:snapToGrid w:val="0"/>
      <w:kern w:val="28"/>
      <w:sz w:val="18"/>
      <w:szCs w:val="18"/>
    </w:rPr>
  </w:style>
  <w:style w:type="character" w:styleId="CommentReference">
    <w:name w:val="annotation reference"/>
    <w:basedOn w:val="DefaultParagraphFont"/>
    <w:rsid w:val="002D15CB"/>
    <w:rPr>
      <w:sz w:val="18"/>
      <w:szCs w:val="18"/>
    </w:rPr>
  </w:style>
  <w:style w:type="paragraph" w:styleId="CommentText">
    <w:name w:val="annotation text"/>
    <w:basedOn w:val="Normal"/>
    <w:link w:val="CommentTextChar"/>
    <w:rsid w:val="002D15CB"/>
    <w:rPr>
      <w:sz w:val="24"/>
      <w:szCs w:val="24"/>
    </w:rPr>
  </w:style>
  <w:style w:type="character" w:customStyle="1" w:styleId="CommentTextChar">
    <w:name w:val="Comment Text Char"/>
    <w:basedOn w:val="DefaultParagraphFont"/>
    <w:link w:val="CommentText"/>
    <w:rsid w:val="002D15CB"/>
    <w:rPr>
      <w:snapToGrid w:val="0"/>
      <w:kern w:val="28"/>
      <w:sz w:val="24"/>
      <w:szCs w:val="24"/>
    </w:rPr>
  </w:style>
  <w:style w:type="paragraph" w:styleId="CommentSubject">
    <w:name w:val="annotation subject"/>
    <w:basedOn w:val="CommentText"/>
    <w:next w:val="CommentText"/>
    <w:link w:val="CommentSubjectChar"/>
    <w:rsid w:val="002D15CB"/>
    <w:rPr>
      <w:b/>
      <w:bCs/>
      <w:sz w:val="20"/>
      <w:szCs w:val="20"/>
    </w:rPr>
  </w:style>
  <w:style w:type="character" w:customStyle="1" w:styleId="CommentSubjectChar">
    <w:name w:val="Comment Subject Char"/>
    <w:basedOn w:val="CommentTextChar"/>
    <w:link w:val="CommentSubject"/>
    <w:rsid w:val="002D15CB"/>
    <w:rPr>
      <w:b/>
      <w:bCs/>
      <w:snapToGrid w:val="0"/>
      <w:kern w:val="28"/>
      <w:sz w:val="24"/>
      <w:szCs w:val="24"/>
    </w:rPr>
  </w:style>
  <w:style w:type="paragraph" w:styleId="Revision">
    <w:name w:val="Revision"/>
    <w:hidden/>
    <w:uiPriority w:val="99"/>
    <w:semiHidden/>
    <w:rsid w:val="004A28E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