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AB74D1" w:rsidP="00AB74D1">
            <w:pPr>
              <w:widowControl/>
            </w:pPr>
            <w:r>
              <w:t>FLINT HILLS RESOURCES CORPUS CHRISTI, LLC</w:t>
            </w:r>
          </w:p>
          <w:p w:rsidR="00AB74D1" w:rsidP="00AB74D1">
            <w:pPr>
              <w:widowControl/>
            </w:pPr>
          </w:p>
          <w:p w:rsidR="004C2EE3" w:rsidRPr="007115F7" w:rsidP="00AB74D1">
            <w:pPr>
              <w:tabs>
                <w:tab w:val="center" w:pos="4680"/>
              </w:tabs>
              <w:suppressAutoHyphens/>
              <w:rPr>
                <w:spacing w:val="-2"/>
              </w:rPr>
            </w:pPr>
            <w:r>
              <w:t>Requests for Waiver of 900 MHz Application Freeze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AB74D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725E52">
              <w:rPr>
                <w:spacing w:val="-2"/>
              </w:rPr>
              <w:t>File No</w:t>
            </w:r>
            <w:r>
              <w:rPr>
                <w:spacing w:val="-2"/>
              </w:rPr>
              <w:t>s</w:t>
            </w:r>
            <w:r w:rsidRPr="00725E52">
              <w:rPr>
                <w:spacing w:val="-2"/>
              </w:rPr>
              <w:t xml:space="preserve">. </w:t>
            </w:r>
            <w:r w:rsidRPr="0096725C">
              <w:rPr>
                <w:spacing w:val="-2"/>
              </w:rPr>
              <w:t>000</w:t>
            </w:r>
            <w:r>
              <w:rPr>
                <w:spacing w:val="-2"/>
              </w:rPr>
              <w:t>8695770 and 0008695803</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A6CDE">
        <w:rPr>
          <w:b/>
          <w:spacing w:val="-2"/>
        </w:rPr>
        <w:t>September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A6CDE">
        <w:rPr>
          <w:b/>
          <w:spacing w:val="-2"/>
        </w:rPr>
        <w:t>September 12, 2019</w:t>
      </w:r>
    </w:p>
    <w:p w:rsidR="00822CE0"/>
    <w:p w:rsidR="004C2EE3">
      <w:pPr>
        <w:rPr>
          <w:spacing w:val="-2"/>
        </w:rPr>
      </w:pPr>
      <w:r>
        <w:t xml:space="preserve">By </w:t>
      </w:r>
      <w:r w:rsidR="004E4A22">
        <w:t>the</w:t>
      </w:r>
      <w:r w:rsidR="002A2D2E">
        <w:t xml:space="preserve"> </w:t>
      </w:r>
      <w:r w:rsidR="00AB74D1">
        <w:t xml:space="preserve">Deputy Chief, Mobility Division, Wireless Telecommunications </w:t>
      </w:r>
      <w:r w:rsidR="00AB74D1">
        <w:rPr>
          <w:spacing w:val="-2"/>
        </w:rPr>
        <w:t>Bureau</w:t>
      </w:r>
      <w:r>
        <w:rPr>
          <w:spacing w:val="-2"/>
        </w:rPr>
        <w:t>:</w:t>
      </w:r>
    </w:p>
    <w:p w:rsidR="00822CE0">
      <w:pPr>
        <w:rPr>
          <w:spacing w:val="-2"/>
        </w:rPr>
      </w:pPr>
    </w:p>
    <w:p w:rsidR="008C302D" w:rsidP="008C302D">
      <w:pPr>
        <w:pStyle w:val="ParaNum"/>
      </w:pPr>
      <w:r w:rsidRPr="00C23F7C">
        <w:rPr>
          <w:i/>
        </w:rPr>
        <w:t xml:space="preserve">Introduction.  </w:t>
      </w:r>
      <w:r w:rsidRPr="005B46EA">
        <w:t xml:space="preserve">In this </w:t>
      </w:r>
      <w:r w:rsidRPr="00AF7123">
        <w:rPr>
          <w:i/>
        </w:rPr>
        <w:t>Order</w:t>
      </w:r>
      <w:r w:rsidRPr="005B46EA">
        <w:t>,</w:t>
      </w:r>
      <w:r>
        <w:rPr>
          <w:i/>
        </w:rPr>
        <w:t xml:space="preserve"> </w:t>
      </w:r>
      <w:r>
        <w:t>we address the above-captioned applications</w:t>
      </w:r>
      <w:r w:rsidRPr="00BF1A31">
        <w:t xml:space="preserve"> </w:t>
      </w:r>
      <w:r>
        <w:t xml:space="preserve">filed by </w:t>
      </w:r>
      <w:bookmarkStart w:id="1" w:name="_Hlk17125411"/>
      <w:r>
        <w:t xml:space="preserve">Flint Hills Resources Corpus Christi, LLC </w:t>
      </w:r>
      <w:bookmarkEnd w:id="1"/>
      <w:r>
        <w:t>(FHR),</w:t>
      </w:r>
      <w:r>
        <w:rPr>
          <w:rStyle w:val="FootnoteReference"/>
        </w:rPr>
        <w:footnoteReference w:id="3"/>
      </w:r>
      <w:r>
        <w:t xml:space="preserve"> for </w:t>
      </w:r>
      <w:r w:rsidRPr="00566153">
        <w:t>896-901/935-940 MHz (900 MHz) band</w:t>
      </w:r>
      <w:r>
        <w:t xml:space="preserve"> </w:t>
      </w:r>
      <w:r w:rsidRPr="00A04361">
        <w:t>Business</w:t>
      </w:r>
      <w:r>
        <w:t>/</w:t>
      </w:r>
      <w:r w:rsidRPr="00A04361">
        <w:t xml:space="preserve">Industrial/Land Transportation </w:t>
      </w:r>
      <w:r>
        <w:t>channels</w:t>
      </w:r>
      <w:r w:rsidRPr="00376B0E">
        <w:t xml:space="preserve"> and associated request</w:t>
      </w:r>
      <w:r>
        <w:t>s</w:t>
      </w:r>
      <w:r w:rsidRPr="00376B0E">
        <w:t xml:space="preserve"> for waiver of the current 900 MHz application freeze</w:t>
      </w:r>
      <w:r>
        <w:t>.</w:t>
      </w:r>
      <w:r>
        <w:rPr>
          <w:rStyle w:val="FootnoteReference"/>
        </w:rPr>
        <w:footnoteReference w:id="4"/>
      </w:r>
      <w:r>
        <w:t xml:space="preserve">  </w:t>
      </w:r>
      <w:r w:rsidRPr="00890E41">
        <w:t xml:space="preserve">For the reasons discussed herein, we grant </w:t>
      </w:r>
      <w:r>
        <w:t>FHR</w:t>
      </w:r>
      <w:r w:rsidRPr="00890E41">
        <w:t>’s waiver request</w:t>
      </w:r>
      <w:r>
        <w:t>s as conditioned</w:t>
      </w:r>
      <w:r w:rsidRPr="00990E30">
        <w:t xml:space="preserve"> below</w:t>
      </w:r>
      <w:r w:rsidRPr="001E423D">
        <w:t xml:space="preserve"> and will process the applications</w:t>
      </w:r>
      <w:r>
        <w:t>.</w:t>
      </w:r>
    </w:p>
    <w:p w:rsidR="008C302D" w:rsidP="008C302D">
      <w:pPr>
        <w:pStyle w:val="ParaNum"/>
      </w:pPr>
      <w:r w:rsidRPr="00A55E4E">
        <w:rPr>
          <w:i/>
        </w:rPr>
        <w:t xml:space="preserve">Background.  </w:t>
      </w:r>
      <w:bookmarkStart w:id="2" w:name="_Hlk524011488"/>
      <w:r>
        <w:t>FHR is a refining, chemical, and biofuel company that employs a 900 MHz radio system for day-to-day and emergency communications at its three facilities in Corpus Christi, Texas.</w:t>
      </w:r>
      <w:r>
        <w:rPr>
          <w:rStyle w:val="FootnoteReference"/>
        </w:rPr>
        <w:footnoteReference w:id="5"/>
      </w:r>
      <w:r>
        <w:t xml:space="preserve">  In addition, the 900 MHz system is used for emergency communications by the Refinery Terminal Fire Company, a non-profit private cooperative that protects 55 local facilities.</w:t>
      </w:r>
      <w:r>
        <w:rPr>
          <w:rStyle w:val="FootnoteReference"/>
        </w:rPr>
        <w:footnoteReference w:id="6"/>
      </w:r>
      <w:r>
        <w:t xml:space="preserve">  FHR’s system is licensed for a total of 33 channels at four sites.</w:t>
      </w:r>
      <w:r>
        <w:rPr>
          <w:rStyle w:val="FootnoteReference"/>
        </w:rPr>
        <w:footnoteReference w:id="7"/>
      </w:r>
      <w:r>
        <w:t xml:space="preserve">  </w:t>
      </w:r>
    </w:p>
    <w:p w:rsidR="008C302D" w:rsidRPr="00057B7F" w:rsidP="008C302D">
      <w:pPr>
        <w:pStyle w:val="ParaNum"/>
      </w:pPr>
      <w:bookmarkStart w:id="3" w:name="_Hlk18399363"/>
      <w:bookmarkEnd w:id="2"/>
      <w:r>
        <w:rPr>
          <w:snapToGrid/>
        </w:rPr>
        <w:t>I</w:t>
      </w:r>
      <w:r w:rsidRPr="007B6C1B">
        <w:rPr>
          <w:snapToGrid/>
        </w:rPr>
        <w:t xml:space="preserve">n September 2018, the </w:t>
      </w:r>
      <w:r>
        <w:rPr>
          <w:snapToGrid/>
        </w:rPr>
        <w:t xml:space="preserve">Wireless Telecommunications </w:t>
      </w:r>
      <w:r w:rsidRPr="007B6C1B">
        <w:rPr>
          <w:snapToGrid/>
        </w:rPr>
        <w:t xml:space="preserve">Bureau </w:t>
      </w:r>
      <w:r>
        <w:rPr>
          <w:snapToGrid/>
        </w:rPr>
        <w:t xml:space="preserve">announced </w:t>
      </w:r>
      <w:r w:rsidRPr="007B6C1B">
        <w:rPr>
          <w:snapToGrid/>
        </w:rPr>
        <w:t>a temporary freeze</w:t>
      </w:r>
      <w:r>
        <w:rPr>
          <w:snapToGrid/>
        </w:rPr>
        <w:t xml:space="preserve"> on the acceptance of applications for new or expanded use of 900 MHz band frequencies.</w:t>
      </w:r>
      <w:r>
        <w:rPr>
          <w:rStyle w:val="FootnoteReference"/>
          <w:snapToGrid/>
        </w:rPr>
        <w:footnoteReference w:id="8"/>
      </w:r>
      <w:bookmarkEnd w:id="3"/>
      <w:r>
        <w:rPr>
          <w:snapToGrid/>
        </w:rPr>
        <w:t xml:space="preserve">  </w:t>
      </w:r>
      <w:bookmarkStart w:id="5" w:name="_Hlk18399447"/>
      <w:r w:rsidRPr="009A5064">
        <w:rPr>
          <w:snapToGrid/>
        </w:rPr>
        <w:t xml:space="preserve">The purpose of the freeze is to preserve the current landscape of authorized operations in the 900 MHz band pending Commission </w:t>
      </w:r>
      <w:r w:rsidRPr="007B6C1B">
        <w:t xml:space="preserve">action as part of </w:t>
      </w:r>
      <w:r>
        <w:t>its</w:t>
      </w:r>
      <w:r w:rsidRPr="007B6C1B">
        <w:t xml:space="preserve"> inquiry into potential rule changes to promote next</w:t>
      </w:r>
      <w:r>
        <w:t>-</w:t>
      </w:r>
      <w:r w:rsidRPr="007B6C1B">
        <w:t>generation technologies and services in the band.</w:t>
      </w:r>
      <w:r>
        <w:rPr>
          <w:rStyle w:val="FootnoteReference"/>
          <w:snapToGrid/>
        </w:rPr>
        <w:footnoteReference w:id="9"/>
      </w:r>
      <w:r>
        <w:t xml:space="preserve">  </w:t>
      </w:r>
      <w:bookmarkStart w:id="6" w:name="_Hlk18400307"/>
      <w:bookmarkEnd w:id="5"/>
      <w:r w:rsidRPr="007B6C1B">
        <w:rPr>
          <w:snapToGrid/>
          <w:kern w:val="0"/>
        </w:rPr>
        <w:t xml:space="preserve">The </w:t>
      </w:r>
      <w:r w:rsidRPr="007B6C1B">
        <w:rPr>
          <w:i/>
          <w:snapToGrid/>
          <w:kern w:val="0"/>
        </w:rPr>
        <w:t xml:space="preserve">Public Notice </w:t>
      </w:r>
      <w:r>
        <w:rPr>
          <w:snapToGrid/>
          <w:kern w:val="0"/>
        </w:rPr>
        <w:t xml:space="preserve">noted that </w:t>
      </w:r>
      <w:r w:rsidRPr="00A20AE9">
        <w:t>licensees have recourse via the Commission's waiver provisions to request an exception to the freeze.</w:t>
      </w:r>
      <w:r>
        <w:rPr>
          <w:sz w:val="20"/>
          <w:vertAlign w:val="superscript"/>
        </w:rPr>
        <w:footnoteReference w:id="10"/>
      </w:r>
      <w:r>
        <w:rPr>
          <w:snapToGrid/>
          <w:kern w:val="0"/>
        </w:rPr>
        <w:t xml:space="preserve">  </w:t>
      </w:r>
      <w:bookmarkStart w:id="7" w:name="_Hlk18399469"/>
      <w:bookmarkEnd w:id="6"/>
      <w:r>
        <w:t xml:space="preserve">In March 2019, the Commission </w:t>
      </w:r>
      <w:r w:rsidRPr="007B6C1B">
        <w:t xml:space="preserve">the Commission released a </w:t>
      </w:r>
      <w:r w:rsidRPr="007B6C1B">
        <w:rPr>
          <w:i/>
        </w:rPr>
        <w:t>Notice of Proposed Rulemaking</w:t>
      </w:r>
      <w:r w:rsidRPr="007B6C1B">
        <w:t xml:space="preserve"> proposing to realign the 900 MHz band to create </w:t>
      </w:r>
      <w:r w:rsidRPr="009A5064">
        <w:rPr>
          <w:snapToGrid/>
        </w:rPr>
        <w:t>a 3/3 megahertz broadband segment, while reserving the remaining 2/2 megahertz of spectrum for narrowband operations.</w:t>
      </w:r>
      <w:r>
        <w:rPr>
          <w:rStyle w:val="FootnoteReference"/>
          <w:snapToGrid/>
        </w:rPr>
        <w:footnoteReference w:id="11"/>
      </w:r>
      <w:bookmarkEnd w:id="7"/>
      <w:r w:rsidRPr="009A5064">
        <w:rPr>
          <w:snapToGrid/>
        </w:rPr>
        <w:t xml:space="preserve"> </w:t>
      </w:r>
      <w:r>
        <w:rPr>
          <w:snapToGrid/>
        </w:rPr>
        <w:t xml:space="preserve"> </w:t>
      </w:r>
    </w:p>
    <w:p w:rsidR="008C302D" w:rsidP="008C302D">
      <w:pPr>
        <w:pStyle w:val="ParaNum"/>
      </w:pPr>
      <w:r>
        <w:t>FHR states that its legacy narrowband 900 MHz system relies on equipment and software that have been discontinued and are no longer supported by the manufacturers and that it has enough spare equipment to keep its network operational only through the end of 2019.</w:t>
      </w:r>
      <w:bookmarkStart w:id="9" w:name="_Hlk18418595"/>
      <w:r>
        <w:rPr>
          <w:rStyle w:val="FootnoteReference"/>
        </w:rPr>
        <w:footnoteReference w:id="12"/>
      </w:r>
      <w:r>
        <w:t xml:space="preserve"> </w:t>
      </w:r>
      <w:bookmarkEnd w:id="9"/>
      <w:r>
        <w:t xml:space="preserve"> FHR therefore proposes to replace the legacy system with a new 900 MHz system, which it</w:t>
      </w:r>
      <w:r w:rsidRPr="00772704">
        <w:t xml:space="preserve"> </w:t>
      </w:r>
      <w:r>
        <w:t>plans to implement in parallel with the existing system in order to ensure uninterrupted service.</w:t>
      </w:r>
      <w:r>
        <w:rPr>
          <w:rStyle w:val="FootnoteReference"/>
        </w:rPr>
        <w:footnoteReference w:id="13"/>
      </w:r>
      <w:r>
        <w:t xml:space="preserve">  In June 2019, FHR</w:t>
      </w:r>
      <w:r w:rsidRPr="00057B7F">
        <w:rPr>
          <w:spacing w:val="-2"/>
        </w:rPr>
        <w:t xml:space="preserve"> filed applications for </w:t>
      </w:r>
      <w:r>
        <w:rPr>
          <w:spacing w:val="-2"/>
        </w:rPr>
        <w:t xml:space="preserve">a total of </w:t>
      </w:r>
      <w:r w:rsidRPr="00057B7F">
        <w:rPr>
          <w:spacing w:val="-2"/>
        </w:rPr>
        <w:t xml:space="preserve">33 900 MHz channels at the same locations </w:t>
      </w:r>
      <w:r>
        <w:rPr>
          <w:spacing w:val="-2"/>
        </w:rPr>
        <w:t xml:space="preserve">where it </w:t>
      </w:r>
      <w:r w:rsidRPr="00057B7F">
        <w:rPr>
          <w:spacing w:val="-2"/>
        </w:rPr>
        <w:t xml:space="preserve">currently </w:t>
      </w:r>
      <w:r>
        <w:rPr>
          <w:spacing w:val="-2"/>
        </w:rPr>
        <w:t xml:space="preserve">is </w:t>
      </w:r>
      <w:r w:rsidRPr="00057B7F">
        <w:rPr>
          <w:spacing w:val="-2"/>
        </w:rPr>
        <w:t xml:space="preserve">licensed, and </w:t>
      </w:r>
      <w:r>
        <w:rPr>
          <w:spacing w:val="-2"/>
        </w:rPr>
        <w:t xml:space="preserve">it </w:t>
      </w:r>
      <w:r w:rsidRPr="00057B7F">
        <w:rPr>
          <w:spacing w:val="-2"/>
        </w:rPr>
        <w:t xml:space="preserve">requested a waiver of the 900 MHz application freeze.  </w:t>
      </w:r>
    </w:p>
    <w:p w:rsidR="008C302D" w:rsidRPr="00772704" w:rsidP="008C302D">
      <w:pPr>
        <w:pStyle w:val="ParaNum"/>
      </w:pPr>
      <w:r>
        <w:t xml:space="preserve">Most of FHR’s current 900 MHz narrowband channels are located in the 3/3 megahertz segment that would transition to broadband use under the </w:t>
      </w:r>
      <w:r w:rsidRPr="005B46EA">
        <w:t>Commission’s</w:t>
      </w:r>
      <w:r w:rsidRPr="00E63F2B">
        <w:t xml:space="preserve"> </w:t>
      </w:r>
      <w:r>
        <w:t>proposal.  All of the new channels requested by FHR would be located in the segments that would continue to be used for narrowband operations under the Commission’s proposal.  FHR argues that grant of its applications and waiver requests would eliminate the need to re-build its communications system twice, first due to its age and then due to realignment of the 900 MHz band.</w:t>
      </w:r>
      <w:r>
        <w:rPr>
          <w:rStyle w:val="FootnoteReference"/>
        </w:rPr>
        <w:footnoteReference w:id="14"/>
      </w:r>
      <w:r>
        <w:t xml:space="preserve">  It states that it will return all 33 currently</w:t>
      </w:r>
      <w:r w:rsidR="00EB3B0B">
        <w:t xml:space="preserve"> </w:t>
      </w:r>
      <w:r>
        <w:t>licensed 900 MHz channels to the Commission after it transitions to the new system.</w:t>
      </w:r>
      <w:r>
        <w:rPr>
          <w:rStyle w:val="FootnoteReference"/>
        </w:rPr>
        <w:footnoteReference w:id="15"/>
      </w:r>
    </w:p>
    <w:p w:rsidR="008C302D" w:rsidP="008C302D">
      <w:pPr>
        <w:pStyle w:val="ParaNum"/>
      </w:pPr>
      <w:r>
        <w:t>FHR states that it considered other frequency bands for its replacement communications system but found that UHF frequencies do not provide adequate signal coverage and penetration throughout its facilities.</w:t>
      </w:r>
      <w:r>
        <w:rPr>
          <w:rStyle w:val="FootnoteReference"/>
        </w:rPr>
        <w:footnoteReference w:id="16"/>
      </w:r>
      <w:r>
        <w:t xml:space="preserve">  In addition, 800 MHz band frequencies in the Corpus Christi area are subject to the application freeze in National Public Safety Planning Advisory Committee regions along the U.S.-Mexico border.</w:t>
      </w:r>
      <w:r>
        <w:rPr>
          <w:rStyle w:val="FootnoteReference"/>
        </w:rPr>
        <w:footnoteReference w:id="17"/>
      </w:r>
      <w:r>
        <w:t xml:space="preserve">  FHR also considered procuring service from a commercial provider, but concluded that the risk of dropped service and delayed communication rendered this option unsuitable for critical communications.</w:t>
      </w:r>
      <w:r>
        <w:rPr>
          <w:rStyle w:val="FootnoteReference"/>
        </w:rPr>
        <w:footnoteReference w:id="18"/>
      </w:r>
      <w:r>
        <w:t xml:space="preserve">  </w:t>
      </w:r>
    </w:p>
    <w:p w:rsidR="008C302D" w:rsidP="008C302D">
      <w:pPr>
        <w:pStyle w:val="ParaNum"/>
      </w:pPr>
      <w:r w:rsidRPr="00D77C5E">
        <w:rPr>
          <w:i/>
        </w:rPr>
        <w:t>Discussion.</w:t>
      </w:r>
      <w:r>
        <w:t xml:space="preserve">  </w:t>
      </w:r>
      <w:r w:rsidRPr="00890E41">
        <w:t>To obtain a waiver of the Commission's rules, a petitioner must demonstrate either that</w:t>
      </w:r>
      <w:r>
        <w:t xml:space="preserve">: </w:t>
      </w:r>
      <w:r w:rsidRPr="00890E41">
        <w:t xml:space="preserve">(i)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w:t>
      </w:r>
      <w:r w:rsidRPr="00890E41">
        <w:t>alternative.</w:t>
      </w:r>
      <w:r>
        <w:rPr>
          <w:vertAlign w:val="superscript"/>
        </w:rPr>
        <w:footnoteReference w:id="19"/>
      </w:r>
      <w:r w:rsidRPr="00890E41">
        <w:t xml:space="preserve">  We conclude that </w:t>
      </w:r>
      <w:r>
        <w:t>FHR has met the first prong of the waiver standard and it</w:t>
      </w:r>
      <w:r w:rsidRPr="00890E41">
        <w:t>s request</w:t>
      </w:r>
      <w:r>
        <w:t>s</w:t>
      </w:r>
      <w:r w:rsidRPr="00890E41">
        <w:t xml:space="preserve"> should be granted</w:t>
      </w:r>
      <w:r>
        <w:t>, as conditioned below.</w:t>
      </w:r>
    </w:p>
    <w:p w:rsidR="008C302D" w:rsidP="008C302D">
      <w:pPr>
        <w:pStyle w:val="ParaNum"/>
      </w:pPr>
      <w:r>
        <w:t xml:space="preserve">The purpose of the 900 MHz application freeze is to </w:t>
      </w:r>
      <w:r w:rsidRPr="009A5064">
        <w:rPr>
          <w:snapToGrid/>
        </w:rPr>
        <w:t>preserve the current landscape of authorized operations in the band</w:t>
      </w:r>
      <w:r>
        <w:rPr>
          <w:snapToGrid/>
        </w:rPr>
        <w:t xml:space="preserve"> while the Commission considers potential rule changes.</w:t>
      </w:r>
      <w:r>
        <w:rPr>
          <w:rStyle w:val="FootnoteReference"/>
          <w:snapToGrid/>
        </w:rPr>
        <w:footnoteReference w:id="20"/>
      </w:r>
      <w:r>
        <w:rPr>
          <w:snapToGrid/>
        </w:rPr>
        <w:t xml:space="preserve">  Because FHR will cancel its existing 900 MHz licenses after the new system is operational, the effect on the 900 MHz licensing landscape will be limited, and ultimately there will be no net increase in 900 MHz channels held by FHR as a result of granting these waiver requests.  Thus, the purpose of the freeze would not be served by application to the present case.</w:t>
      </w:r>
    </w:p>
    <w:p w:rsidR="008C302D" w:rsidP="008C302D">
      <w:pPr>
        <w:pStyle w:val="ParaNum"/>
      </w:pPr>
      <w:r>
        <w:t xml:space="preserve">In addition, grant of the waiver requests is in the public interest.  </w:t>
      </w:r>
      <w:r w:rsidRPr="00365DCB">
        <w:t xml:space="preserve">FHR needs to </w:t>
      </w:r>
      <w:r>
        <w:t>replace</w:t>
      </w:r>
      <w:r w:rsidRPr="00365DCB">
        <w:t xml:space="preserve"> its radio system </w:t>
      </w:r>
      <w:r>
        <w:t xml:space="preserve">by the end of this year </w:t>
      </w:r>
      <w:r w:rsidRPr="00365DCB">
        <w:t>in order to ensure safe, reliable communications,</w:t>
      </w:r>
      <w:r>
        <w:t xml:space="preserve"> including emergency communications for fire protection services,</w:t>
      </w:r>
      <w:r w:rsidRPr="00365DCB">
        <w:t xml:space="preserve"> which will promote the safety of its workers and of people in neighboring communities that could be affected by an incident at </w:t>
      </w:r>
      <w:r>
        <w:t>its facilities</w:t>
      </w:r>
      <w:r w:rsidRPr="00365DCB">
        <w:t>.</w:t>
      </w:r>
      <w:r>
        <w:rPr>
          <w:rStyle w:val="FootnoteReference"/>
        </w:rPr>
        <w:footnoteReference w:id="21"/>
      </w:r>
      <w:r>
        <w:t xml:space="preserve">  </w:t>
      </w:r>
      <w:r w:rsidRPr="00890E41">
        <w:t xml:space="preserve">During the transition period, functionality must be ensured </w:t>
      </w:r>
      <w:r>
        <w:t>f</w:t>
      </w:r>
      <w:r w:rsidRPr="00890E41">
        <w:t>o</w:t>
      </w:r>
      <w:r>
        <w:t>r</w:t>
      </w:r>
      <w:r w:rsidRPr="00890E41">
        <w:t xml:space="preserve"> both the old and new systems.</w:t>
      </w:r>
      <w:r>
        <w:rPr>
          <w:rStyle w:val="FootnoteReference"/>
        </w:rPr>
        <w:footnoteReference w:id="22"/>
      </w:r>
      <w:r>
        <w:t xml:space="preserve">  </w:t>
      </w:r>
    </w:p>
    <w:p w:rsidR="008C302D" w:rsidRPr="008C302D" w:rsidP="008C302D">
      <w:pPr>
        <w:pStyle w:val="ParaNum"/>
        <w:rPr>
          <w:rFonts w:ascii="Verdana" w:hAnsi="Verdana"/>
          <w:sz w:val="19"/>
          <w:szCs w:val="19"/>
        </w:rPr>
      </w:pPr>
      <w:r>
        <w:t xml:space="preserve">We grant the requests </w:t>
      </w:r>
      <w:r w:rsidRPr="00926958">
        <w:t xml:space="preserve">on the express condition that </w:t>
      </w:r>
      <w:r>
        <w:t>FHR cancel its licenses for Stations</w:t>
      </w:r>
      <w:r w:rsidRPr="00926958">
        <w:t xml:space="preserve"> </w:t>
      </w:r>
      <w:r>
        <w:t>W</w:t>
      </w:r>
      <w:r w:rsidRPr="00A55E4E">
        <w:t>QA</w:t>
      </w:r>
      <w:r>
        <w:t>W</w:t>
      </w:r>
      <w:r w:rsidRPr="00A55E4E">
        <w:t>222</w:t>
      </w:r>
      <w:r>
        <w:t xml:space="preserve">, </w:t>
      </w:r>
      <w:r w:rsidRPr="00A55E4E">
        <w:t xml:space="preserve">WQBJ582, WPLX984, </w:t>
      </w:r>
      <w:r>
        <w:t xml:space="preserve">and </w:t>
      </w:r>
      <w:r w:rsidRPr="00A55E4E">
        <w:t>WQUN818</w:t>
      </w:r>
      <w:r>
        <w:t xml:space="preserve"> by </w:t>
      </w:r>
      <w:r w:rsidRPr="005D145B">
        <w:t>December 31, 2019, the date by which FHR indicates that its legacy system would need to be replaced.</w:t>
      </w:r>
      <w:r>
        <w:rPr>
          <w:vertAlign w:val="superscript"/>
        </w:rPr>
        <w:footnoteReference w:id="23"/>
      </w:r>
      <w:r w:rsidRPr="005D145B">
        <w:t xml:space="preserve"> </w:t>
      </w:r>
      <w:r>
        <w:t xml:space="preserve"> A failure to cancel the existing licenses as required shall constitute a failure to meet a condition of the licenses granted pursuant to the above-captioned applications and thus grounds for declaring that the licenses granted pursuant to the above-captioned applications terminated.  Failure to meet this condition may also result in monetary sanctions or other enforcement action by the Commission.</w:t>
      </w:r>
    </w:p>
    <w:p w:rsidR="008C302D" w:rsidP="008C302D">
      <w:pPr>
        <w:pStyle w:val="ParaNum"/>
      </w:pPr>
      <w:r>
        <w:t>Accordingly, IT IS ORDERED, pursuant to s</w:t>
      </w:r>
      <w:r w:rsidRPr="005301EF">
        <w:t>ection 4(i) of the Communications Act of 1934, as am</w:t>
      </w:r>
      <w:r>
        <w:t>ended, 47 U.S.C. § 154(i), and s</w:t>
      </w:r>
      <w:r w:rsidRPr="005301EF">
        <w:t>ection 1.925 of the Commission’s rules, 47 CFR § 1.925,</w:t>
      </w:r>
      <w:r>
        <w:t xml:space="preserve"> that the </w:t>
      </w:r>
      <w:r w:rsidRPr="005301EF">
        <w:t>Request</w:t>
      </w:r>
      <w:r>
        <w:t>s for Waiver of Application Freeze</w:t>
      </w:r>
      <w:r w:rsidRPr="005301EF">
        <w:t xml:space="preserve"> filed </w:t>
      </w:r>
      <w:r>
        <w:t>on June 18, 2019,</w:t>
      </w:r>
      <w:r w:rsidRPr="005301EF">
        <w:t xml:space="preserve"> by </w:t>
      </w:r>
      <w:r w:rsidRPr="00AF6DA0">
        <w:t>Flint Hill</w:t>
      </w:r>
      <w:r>
        <w:t>s</w:t>
      </w:r>
      <w:r w:rsidRPr="00AF6DA0">
        <w:t xml:space="preserve"> Resources</w:t>
      </w:r>
      <w:r>
        <w:t xml:space="preserve"> Corpus Christi</w:t>
      </w:r>
      <w:r w:rsidRPr="00AF6DA0">
        <w:t>, L</w:t>
      </w:r>
      <w:r>
        <w:t>LC,</w:t>
      </w:r>
      <w:r w:rsidRPr="005301EF">
        <w:t xml:space="preserve"> </w:t>
      </w:r>
      <w:r>
        <w:t>in connection with</w:t>
      </w:r>
      <w:r w:rsidRPr="005301EF">
        <w:t xml:space="preserve"> </w:t>
      </w:r>
      <w:r>
        <w:t xml:space="preserve">applications FCC </w:t>
      </w:r>
      <w:r w:rsidRPr="0097033A">
        <w:t>File No</w:t>
      </w:r>
      <w:r>
        <w:t>s</w:t>
      </w:r>
      <w:r w:rsidRPr="0097033A">
        <w:t xml:space="preserve">. </w:t>
      </w:r>
      <w:r w:rsidRPr="00D1227F">
        <w:t xml:space="preserve">0008695770 and 0008695803 </w:t>
      </w:r>
      <w:r>
        <w:t xml:space="preserve">ARE GRANTED </w:t>
      </w:r>
      <w:r w:rsidRPr="00A55D2D">
        <w:t xml:space="preserve">ON THE CONDITION set forth in paragraph </w:t>
      </w:r>
      <w:r>
        <w:t xml:space="preserve">10 and applications </w:t>
      </w:r>
      <w:r w:rsidRPr="00A55D2D">
        <w:t xml:space="preserve">FCC File Nos. 0008695770 and 0008695803 </w:t>
      </w:r>
      <w:r w:rsidRPr="005301EF">
        <w:t xml:space="preserve">SHALL BE </w:t>
      </w:r>
      <w:r>
        <w:t>PROCESSED</w:t>
      </w:r>
      <w:r w:rsidRPr="005301EF">
        <w:t xml:space="preserve"> in accordance with thi</w:t>
      </w:r>
      <w:r>
        <w:t xml:space="preserve">s decision </w:t>
      </w:r>
      <w:r w:rsidRPr="005301EF">
        <w:t>and the Commission’s rules.</w:t>
      </w:r>
    </w:p>
    <w:p w:rsidR="008C302D" w:rsidP="008C302D">
      <w:pPr>
        <w:pStyle w:val="ParaNum"/>
      </w:pPr>
      <w:r>
        <w:t>This action is taken under delegated authority pursuant to sections 0.131 and 0.331 of the Commission’s rules, 47 CFR §§ 0.131, 0.331.</w:t>
      </w:r>
    </w:p>
    <w:p w:rsidR="00AB74D1" w:rsidP="00AB74D1">
      <w:pPr>
        <w:ind w:left="4320"/>
      </w:pPr>
      <w:r>
        <w:t>FEDERAL COMMUNICATIONS COMMISSION</w:t>
      </w:r>
    </w:p>
    <w:p w:rsidR="00AB74D1" w:rsidP="00AB74D1">
      <w:pPr>
        <w:ind w:left="4320"/>
      </w:pPr>
    </w:p>
    <w:p w:rsidR="00AB74D1" w:rsidP="00AB74D1">
      <w:pPr>
        <w:ind w:left="4320"/>
      </w:pPr>
    </w:p>
    <w:p w:rsidR="00AB74D1" w:rsidP="00AB74D1">
      <w:pPr>
        <w:ind w:left="4320"/>
      </w:pPr>
    </w:p>
    <w:p w:rsidR="00AB74D1" w:rsidP="00AB74D1">
      <w:pPr>
        <w:ind w:left="4320"/>
      </w:pPr>
    </w:p>
    <w:p w:rsidR="00AB74D1" w:rsidP="00AB74D1">
      <w:pPr>
        <w:ind w:left="4320"/>
        <w:rPr>
          <w:szCs w:val="22"/>
        </w:rPr>
      </w:pPr>
      <w:r>
        <w:t>Scot Stone</w:t>
      </w:r>
    </w:p>
    <w:p w:rsidR="00AB74D1" w:rsidP="00AB74D1">
      <w:pPr>
        <w:ind w:left="4320"/>
      </w:pPr>
      <w:r>
        <w:t>Deputy Chief, Mobility Division</w:t>
      </w:r>
    </w:p>
    <w:p w:rsidR="00AB74D1" w:rsidP="00AB74D1">
      <w:pPr>
        <w:ind w:left="4320"/>
      </w:pPr>
      <w:r>
        <w:t>Wireless Telecommunications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22BE">
      <w:r>
        <w:separator/>
      </w:r>
    </w:p>
  </w:footnote>
  <w:footnote w:type="continuationSeparator" w:id="1">
    <w:p w:rsidR="001822BE" w:rsidP="00C721AC">
      <w:pPr>
        <w:spacing w:before="120"/>
        <w:rPr>
          <w:sz w:val="20"/>
        </w:rPr>
      </w:pPr>
      <w:r>
        <w:rPr>
          <w:sz w:val="20"/>
        </w:rPr>
        <w:separator/>
      </w:r>
    </w:p>
  </w:footnote>
  <w:footnote w:type="continuationNotice" w:id="2">
    <w:p w:rsidR="001822BE" w:rsidRPr="00A47D33" w:rsidP="00A47D33">
      <w:pPr>
        <w:pStyle w:val="Footer"/>
      </w:pPr>
    </w:p>
  </w:footnote>
  <w:footnote w:id="3">
    <w:p w:rsidR="008C302D" w:rsidP="008C302D">
      <w:pPr>
        <w:pStyle w:val="FootnoteText"/>
      </w:pPr>
      <w:r>
        <w:rPr>
          <w:rStyle w:val="FootnoteReference"/>
        </w:rPr>
        <w:footnoteRef/>
      </w:r>
      <w:r>
        <w:t xml:space="preserve"> </w:t>
      </w:r>
      <w:r>
        <w:rPr>
          <w:i/>
        </w:rPr>
        <w:t>See</w:t>
      </w:r>
      <w:r>
        <w:t xml:space="preserve"> FCC File Nos. </w:t>
      </w:r>
      <w:r w:rsidRPr="0096725C">
        <w:t>0008</w:t>
      </w:r>
      <w:r>
        <w:t>56995770</w:t>
      </w:r>
      <w:r w:rsidRPr="0096725C">
        <w:t xml:space="preserve"> </w:t>
      </w:r>
      <w:r>
        <w:t>and 0008695803 (both filed June 18, 2019), Request for Waiver of Application Freeze (Waiver Request), Supplement to Waiver Request (filed Aug. 22, 2019) (Supplement).</w:t>
      </w:r>
    </w:p>
  </w:footnote>
  <w:footnote w:id="4">
    <w:p w:rsidR="008C302D" w:rsidP="008C302D">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xml:space="preserve">, Public Notice, </w:t>
      </w:r>
      <w:r w:rsidRPr="00964785">
        <w:t xml:space="preserve">33 FCC </w:t>
      </w:r>
      <w:r w:rsidRPr="00964785">
        <w:t>Rcd</w:t>
      </w:r>
      <w:r w:rsidRPr="00964785">
        <w:t xml:space="preserve"> 8735</w:t>
      </w:r>
      <w:r>
        <w:t xml:space="preserve"> (WTB 2018) (</w:t>
      </w:r>
      <w:r>
        <w:rPr>
          <w:i/>
        </w:rPr>
        <w:t>Freeze Public Notice</w:t>
      </w:r>
      <w:r>
        <w:t xml:space="preserve">), </w:t>
      </w:r>
      <w:r>
        <w:rPr>
          <w:i/>
        </w:rPr>
        <w:t>recon. pending</w:t>
      </w:r>
      <w:r>
        <w:t xml:space="preserve">.  </w:t>
      </w:r>
    </w:p>
  </w:footnote>
  <w:footnote w:id="5">
    <w:p w:rsidR="008C302D" w:rsidP="008C302D">
      <w:pPr>
        <w:pStyle w:val="FootnoteText"/>
      </w:pPr>
      <w:r>
        <w:rPr>
          <w:rStyle w:val="FootnoteReference"/>
        </w:rPr>
        <w:footnoteRef/>
      </w:r>
      <w:r>
        <w:t xml:space="preserve"> </w:t>
      </w:r>
      <w:r>
        <w:rPr>
          <w:i/>
        </w:rPr>
        <w:t xml:space="preserve">See </w:t>
      </w:r>
      <w:r w:rsidRPr="00AD0FB6">
        <w:t xml:space="preserve">Waiver Request at </w:t>
      </w:r>
      <w:r>
        <w:t>1-2.</w:t>
      </w:r>
    </w:p>
  </w:footnote>
  <w:footnote w:id="6">
    <w:p w:rsidR="008C302D" w:rsidRPr="00F37852" w:rsidP="008C302D">
      <w:pPr>
        <w:pStyle w:val="FootnoteText"/>
      </w:pPr>
      <w:r>
        <w:rPr>
          <w:rStyle w:val="FootnoteReference"/>
        </w:rPr>
        <w:footnoteRef/>
      </w:r>
      <w:r>
        <w:t xml:space="preserve"> </w:t>
      </w:r>
      <w:r>
        <w:rPr>
          <w:i/>
        </w:rPr>
        <w:t>Id.</w:t>
      </w:r>
      <w:r>
        <w:t xml:space="preserve"> at 2.</w:t>
      </w:r>
    </w:p>
  </w:footnote>
  <w:footnote w:id="7">
    <w:p w:rsidR="008C302D" w:rsidP="008C302D">
      <w:pPr>
        <w:pStyle w:val="FootnoteText"/>
      </w:pPr>
      <w:r>
        <w:rPr>
          <w:rStyle w:val="FootnoteReference"/>
        </w:rPr>
        <w:footnoteRef/>
      </w:r>
      <w:r>
        <w:t xml:space="preserve"> </w:t>
      </w:r>
      <w:r>
        <w:rPr>
          <w:i/>
        </w:rPr>
        <w:t>Id.</w:t>
      </w:r>
      <w:r>
        <w:t xml:space="preserve">; </w:t>
      </w:r>
      <w:r>
        <w:rPr>
          <w:i/>
        </w:rPr>
        <w:t xml:space="preserve">see </w:t>
      </w:r>
      <w:r w:rsidRPr="00A55E4E">
        <w:t xml:space="preserve">Call Signs </w:t>
      </w:r>
      <w:r>
        <w:t>W</w:t>
      </w:r>
      <w:r w:rsidRPr="00A55E4E">
        <w:t>QA</w:t>
      </w:r>
      <w:r>
        <w:t>W</w:t>
      </w:r>
      <w:r w:rsidRPr="00A55E4E">
        <w:t>222</w:t>
      </w:r>
      <w:r>
        <w:t xml:space="preserve">, </w:t>
      </w:r>
      <w:r w:rsidRPr="00A55E4E">
        <w:t xml:space="preserve">WQBJ582, WPLX984, </w:t>
      </w:r>
      <w:r>
        <w:t xml:space="preserve">and </w:t>
      </w:r>
      <w:r w:rsidRPr="00A55E4E">
        <w:t xml:space="preserve">WQUN818.  </w:t>
      </w:r>
    </w:p>
  </w:footnote>
  <w:footnote w:id="8">
    <w:p w:rsidR="008C302D" w:rsidRPr="00A20AE9" w:rsidP="008C302D">
      <w:pPr>
        <w:pStyle w:val="FootnoteText"/>
      </w:pPr>
      <w:r>
        <w:rPr>
          <w:rStyle w:val="FootnoteReference"/>
        </w:rPr>
        <w:footnoteRef/>
      </w:r>
      <w:r>
        <w:t xml:space="preserve"> </w:t>
      </w:r>
      <w:r>
        <w:rPr>
          <w:i/>
        </w:rPr>
        <w:t xml:space="preserve">See Freeze Public Notice, </w:t>
      </w:r>
      <w:r>
        <w:t xml:space="preserve">33 FCC </w:t>
      </w:r>
      <w:r>
        <w:t>Rcd</w:t>
      </w:r>
      <w:r>
        <w:t xml:space="preserve"> at</w:t>
      </w:r>
      <w:r w:rsidRPr="003427EB">
        <w:t xml:space="preserve"> </w:t>
      </w:r>
      <w:r>
        <w:t>8735-36</w:t>
      </w:r>
      <w:bookmarkStart w:id="4" w:name="_Hlk16790125"/>
      <w:r>
        <w:t>.</w:t>
      </w:r>
    </w:p>
    <w:bookmarkEnd w:id="4"/>
  </w:footnote>
  <w:footnote w:id="9">
    <w:p w:rsidR="008C302D" w:rsidP="008C302D">
      <w:pPr>
        <w:pStyle w:val="FootnoteText"/>
      </w:pPr>
      <w:r>
        <w:rPr>
          <w:rStyle w:val="FootnoteReference"/>
        </w:rPr>
        <w:footnoteRef/>
      </w:r>
      <w:r>
        <w:t xml:space="preserve"> </w:t>
      </w:r>
      <w:r>
        <w:rPr>
          <w:i/>
        </w:rPr>
        <w:t>Id.</w:t>
      </w:r>
      <w:r>
        <w:t xml:space="preserve"> at 8735 (citing </w:t>
      </w:r>
      <w:r w:rsidRPr="003427EB">
        <w:rPr>
          <w:i/>
        </w:rPr>
        <w:t>Review of the Commission’s Rules Governing the 896-901/935-940 MHz Band,</w:t>
      </w:r>
      <w:r w:rsidRPr="003D5D5F">
        <w:t xml:space="preserve"> </w:t>
      </w:r>
      <w:r w:rsidRPr="003427EB">
        <w:t>Notice of Inquiry,</w:t>
      </w:r>
      <w:r w:rsidRPr="003D5D5F">
        <w:t xml:space="preserve"> 32 FCC 6421 (2017)</w:t>
      </w:r>
      <w:r>
        <w:t>).</w:t>
      </w:r>
    </w:p>
  </w:footnote>
  <w:footnote w:id="10">
    <w:p w:rsidR="008C302D" w:rsidRPr="000A5C45" w:rsidP="008C302D">
      <w:pPr>
        <w:pStyle w:val="FootnoteText"/>
      </w:pPr>
      <w:r>
        <w:rPr>
          <w:rStyle w:val="FootnoteReference"/>
        </w:rPr>
        <w:footnoteRef/>
      </w:r>
      <w:r>
        <w:t xml:space="preserve"> </w:t>
      </w:r>
      <w:r>
        <w:rPr>
          <w:i/>
        </w:rPr>
        <w:t>See id.</w:t>
      </w:r>
      <w:r>
        <w:t xml:space="preserve"> at</w:t>
      </w:r>
      <w:r w:rsidRPr="003427EB">
        <w:t xml:space="preserve"> </w:t>
      </w:r>
      <w:r>
        <w:t>8736, n.4.</w:t>
      </w:r>
    </w:p>
  </w:footnote>
  <w:footnote w:id="11">
    <w:p w:rsidR="008C302D" w:rsidP="008C302D">
      <w:pPr>
        <w:pStyle w:val="FootnoteText"/>
      </w:pPr>
      <w:r>
        <w:rPr>
          <w:rStyle w:val="FootnoteReference"/>
        </w:rPr>
        <w:footnoteRef/>
      </w:r>
      <w:r>
        <w:t xml:space="preserve"> </w:t>
      </w:r>
      <w:r>
        <w:rPr>
          <w:i/>
        </w:rPr>
        <w:t xml:space="preserve">See </w:t>
      </w:r>
      <w:r w:rsidRPr="003427EB">
        <w:rPr>
          <w:i/>
        </w:rPr>
        <w:t>Review of the Commission’s Rules Governing the 896-901/935-940 MHz Band</w:t>
      </w:r>
      <w:r w:rsidRPr="004D55AF">
        <w:t>,</w:t>
      </w:r>
      <w:r w:rsidRPr="003427EB">
        <w:rPr>
          <w:i/>
        </w:rPr>
        <w:t xml:space="preserve"> </w:t>
      </w:r>
      <w:r w:rsidRPr="003427EB">
        <w:t>Notice of Proposed Rulemaking,</w:t>
      </w:r>
      <w:r>
        <w:t xml:space="preserve"> 34 FCC </w:t>
      </w:r>
      <w:r>
        <w:t>Rcd</w:t>
      </w:r>
      <w:r>
        <w:t xml:space="preserve"> 1550, </w:t>
      </w:r>
      <w:r>
        <w:rPr>
          <w:rFonts w:eastAsia="Calibri"/>
        </w:rPr>
        <w:t>1555, para. 15</w:t>
      </w:r>
      <w:r>
        <w:t xml:space="preserve"> (2019) (</w:t>
      </w:r>
      <w:bookmarkStart w:id="8" w:name="_Hlk18064185"/>
      <w:r w:rsidRPr="00F7521A">
        <w:rPr>
          <w:i/>
        </w:rPr>
        <w:t>900 MHz NPRM</w:t>
      </w:r>
      <w:bookmarkEnd w:id="8"/>
      <w:r>
        <w:t>).  The Commission proposed to</w:t>
      </w:r>
      <w:r w:rsidRPr="009A5064">
        <w:rPr>
          <w:rFonts w:eastAsia="Calibri"/>
        </w:rPr>
        <w:t xml:space="preserve"> </w:t>
      </w:r>
      <w:r w:rsidRPr="00DA6888">
        <w:rPr>
          <w:rFonts w:eastAsia="Calibri"/>
        </w:rPr>
        <w:t>designate 897.5-900.5 MHz/936.5-939.5 MHz as the broadband segment, leaving two separate narrowband segments: a 1.5/1.5 megahertz segment (896-897.5/935-936.5 MHz) below the broadband segment and a .5/.5 megahertz segment (900.5-901/939.5-940 MHz) above the broadband segment</w:t>
      </w:r>
      <w:r>
        <w:rPr>
          <w:rFonts w:eastAsia="Calibri"/>
        </w:rPr>
        <w:t>.</w:t>
      </w:r>
    </w:p>
  </w:footnote>
  <w:footnote w:id="12">
    <w:p w:rsidR="008C302D" w:rsidRPr="00A60F4B" w:rsidP="008C302D">
      <w:pPr>
        <w:pStyle w:val="FootnoteText"/>
      </w:pPr>
      <w:r>
        <w:rPr>
          <w:rStyle w:val="FootnoteReference"/>
        </w:rPr>
        <w:footnoteRef/>
      </w:r>
      <w:r>
        <w:t xml:space="preserve"> </w:t>
      </w:r>
      <w:r>
        <w:rPr>
          <w:i/>
        </w:rPr>
        <w:t xml:space="preserve">See </w:t>
      </w:r>
      <w:r w:rsidRPr="00391FCD">
        <w:t>Waiver Request at</w:t>
      </w:r>
      <w:r>
        <w:t xml:space="preserve"> 3, 6; Supplement at 1, Attachment A (documentation of Motorola’s cancellation of Trident Legacy products and of discontinuance of support for Kenwood radios).</w:t>
      </w:r>
    </w:p>
  </w:footnote>
  <w:footnote w:id="13">
    <w:p w:rsidR="008C302D" w:rsidP="008C302D">
      <w:pPr>
        <w:pStyle w:val="FootnoteText"/>
      </w:pPr>
      <w:r>
        <w:rPr>
          <w:rStyle w:val="FootnoteReference"/>
        </w:rPr>
        <w:footnoteRef/>
      </w:r>
      <w:r>
        <w:t xml:space="preserve"> </w:t>
      </w:r>
      <w:r>
        <w:rPr>
          <w:i/>
        </w:rPr>
        <w:t xml:space="preserve">See </w:t>
      </w:r>
      <w:r w:rsidRPr="00391FCD">
        <w:t>Waiver Request at</w:t>
      </w:r>
      <w:r>
        <w:t xml:space="preserve"> 6-7.</w:t>
      </w:r>
    </w:p>
  </w:footnote>
  <w:footnote w:id="14">
    <w:p w:rsidR="008C302D" w:rsidP="008C302D">
      <w:pPr>
        <w:pStyle w:val="FootnoteText"/>
      </w:pPr>
      <w:r>
        <w:rPr>
          <w:rStyle w:val="FootnoteReference"/>
        </w:rPr>
        <w:footnoteRef/>
      </w:r>
      <w:r>
        <w:t xml:space="preserve"> </w:t>
      </w:r>
      <w:r w:rsidRPr="00683081">
        <w:rPr>
          <w:i/>
        </w:rPr>
        <w:t>See</w:t>
      </w:r>
      <w:r w:rsidRPr="00391FCD">
        <w:t xml:space="preserve"> </w:t>
      </w:r>
      <w:r>
        <w:rPr>
          <w:i/>
        </w:rPr>
        <w:t xml:space="preserve">id. </w:t>
      </w:r>
      <w:r w:rsidRPr="00683081">
        <w:t xml:space="preserve">at </w:t>
      </w:r>
      <w:r>
        <w:t>4.</w:t>
      </w:r>
    </w:p>
  </w:footnote>
  <w:footnote w:id="15">
    <w:p w:rsidR="008C302D" w:rsidRPr="00A60F4B" w:rsidP="008C302D">
      <w:pPr>
        <w:pStyle w:val="FootnoteText"/>
      </w:pPr>
      <w:r>
        <w:rPr>
          <w:rStyle w:val="FootnoteReference"/>
        </w:rPr>
        <w:footnoteRef/>
      </w:r>
      <w:r>
        <w:t xml:space="preserve"> </w:t>
      </w:r>
      <w:bookmarkStart w:id="10" w:name="_Hlk17126097"/>
      <w:r>
        <w:rPr>
          <w:i/>
        </w:rPr>
        <w:t>See id</w:t>
      </w:r>
      <w:bookmarkEnd w:id="10"/>
      <w:r>
        <w:rPr>
          <w:i/>
        </w:rPr>
        <w:t>.</w:t>
      </w:r>
    </w:p>
  </w:footnote>
  <w:footnote w:id="16">
    <w:p w:rsidR="008C302D" w:rsidRPr="00057B7F" w:rsidP="008C302D">
      <w:pPr>
        <w:pStyle w:val="FootnoteText"/>
      </w:pPr>
      <w:r>
        <w:rPr>
          <w:rStyle w:val="FootnoteReference"/>
        </w:rPr>
        <w:footnoteRef/>
      </w:r>
      <w:r>
        <w:t xml:space="preserve"> </w:t>
      </w:r>
      <w:r>
        <w:rPr>
          <w:i/>
        </w:rPr>
        <w:t xml:space="preserve">See </w:t>
      </w:r>
      <w:r>
        <w:t>Supplement at 2.</w:t>
      </w:r>
    </w:p>
  </w:footnote>
  <w:footnote w:id="17">
    <w:p w:rsidR="008C302D" w:rsidP="008C302D">
      <w:pPr>
        <w:pStyle w:val="FootnoteText"/>
      </w:pPr>
      <w:r>
        <w:rPr>
          <w:rStyle w:val="FootnoteReference"/>
        </w:rPr>
        <w:footnoteRef/>
      </w:r>
      <w:r>
        <w:t xml:space="preserve"> </w:t>
      </w:r>
      <w:r w:rsidRPr="005B7627">
        <w:rPr>
          <w:i/>
        </w:rPr>
        <w:t>See Public Safety and Homeland Security Bureau Extends 800 MHz Application Freeze along Border with Mexico</w:t>
      </w:r>
      <w:r w:rsidRPr="005B7627">
        <w:t xml:space="preserve">, Public Notice, 32 FCC </w:t>
      </w:r>
      <w:r w:rsidRPr="005B7627">
        <w:t>Rcd</w:t>
      </w:r>
      <w:r w:rsidRPr="005B7627">
        <w:t xml:space="preserve"> 1817</w:t>
      </w:r>
      <w:r>
        <w:t>, 1819</w:t>
      </w:r>
      <w:r w:rsidRPr="005B7627">
        <w:t xml:space="preserve"> (PSHSB 2017)</w:t>
      </w:r>
      <w:r>
        <w:t>.</w:t>
      </w:r>
    </w:p>
  </w:footnote>
  <w:footnote w:id="18">
    <w:p w:rsidR="008C302D" w:rsidRPr="00057B7F" w:rsidP="008C302D">
      <w:pPr>
        <w:pStyle w:val="FootnoteText"/>
        <w:rPr>
          <w:i/>
        </w:rPr>
      </w:pPr>
      <w:r>
        <w:rPr>
          <w:rStyle w:val="FootnoteReference"/>
        </w:rPr>
        <w:footnoteRef/>
      </w:r>
      <w:r>
        <w:t xml:space="preserve"> </w:t>
      </w:r>
      <w:r>
        <w:rPr>
          <w:i/>
        </w:rPr>
        <w:t xml:space="preserve">See </w:t>
      </w:r>
      <w:r>
        <w:t xml:space="preserve">Supplement at 2-3; </w:t>
      </w:r>
      <w:r>
        <w:rPr>
          <w:i/>
        </w:rPr>
        <w:t>see also</w:t>
      </w:r>
      <w:r>
        <w:t xml:space="preserve">, </w:t>
      </w:r>
      <w:r>
        <w:rPr>
          <w:i/>
        </w:rPr>
        <w:t>e.g.</w:t>
      </w:r>
      <w:r>
        <w:t xml:space="preserve">, </w:t>
      </w:r>
      <w:r w:rsidRPr="00F7521A">
        <w:rPr>
          <w:i/>
        </w:rPr>
        <w:t>900 MHz NPRM</w:t>
      </w:r>
      <w:r>
        <w:t xml:space="preserve">, 34 FCC </w:t>
      </w:r>
      <w:r>
        <w:t>Rcd</w:t>
      </w:r>
      <w:r>
        <w:t xml:space="preserve"> at 1552, 1557, paras. 5, 18 (noting commenters’ statements that consumer-oriented wireless carriers do not provide sufficient coverage, connectivity, and reliability for critical infrastructure industries).</w:t>
      </w:r>
    </w:p>
  </w:footnote>
  <w:footnote w:id="19">
    <w:p w:rsidR="008C302D" w:rsidRPr="008D11AA" w:rsidP="008C302D">
      <w:pPr>
        <w:pStyle w:val="FootnoteText"/>
      </w:pPr>
      <w:r>
        <w:rPr>
          <w:rStyle w:val="FootnoteReference"/>
        </w:rPr>
        <w:footnoteRef/>
      </w:r>
      <w:r>
        <w:t xml:space="preserve"> </w:t>
      </w:r>
      <w:bookmarkStart w:id="11" w:name="_Hlk18402148"/>
      <w:r>
        <w:t>47 CFR § 1.925(b)(3).</w:t>
      </w:r>
      <w:bookmarkEnd w:id="11"/>
    </w:p>
  </w:footnote>
  <w:footnote w:id="20">
    <w:p w:rsidR="008C302D" w:rsidP="008C302D">
      <w:pPr>
        <w:pStyle w:val="FootnoteText"/>
      </w:pPr>
      <w:r>
        <w:rPr>
          <w:rStyle w:val="FootnoteReference"/>
        </w:rPr>
        <w:footnoteRef/>
      </w:r>
      <w:r>
        <w:t xml:space="preserve"> </w:t>
      </w:r>
      <w:r>
        <w:rPr>
          <w:i/>
        </w:rPr>
        <w:t xml:space="preserve">See Freeze Public Notice, </w:t>
      </w:r>
      <w:r>
        <w:t>33 FCC at</w:t>
      </w:r>
      <w:r w:rsidRPr="003427EB">
        <w:t xml:space="preserve"> </w:t>
      </w:r>
      <w:r>
        <w:t>8735.</w:t>
      </w:r>
    </w:p>
  </w:footnote>
  <w:footnote w:id="21">
    <w:p w:rsidR="008C302D" w:rsidRPr="00135681" w:rsidP="008C302D">
      <w:pPr>
        <w:pStyle w:val="FootnoteText"/>
      </w:pPr>
      <w:r>
        <w:rPr>
          <w:rStyle w:val="FootnoteReference"/>
        </w:rPr>
        <w:footnoteRef/>
      </w:r>
      <w:r>
        <w:t xml:space="preserve"> </w:t>
      </w:r>
      <w:r>
        <w:rPr>
          <w:i/>
        </w:rPr>
        <w:t>See</w:t>
      </w:r>
      <w:r>
        <w:t xml:space="preserve">, </w:t>
      </w:r>
      <w:r>
        <w:rPr>
          <w:i/>
        </w:rPr>
        <w:t>e.g.</w:t>
      </w:r>
      <w:r>
        <w:t xml:space="preserve">, </w:t>
      </w:r>
      <w:r>
        <w:rPr>
          <w:i/>
        </w:rPr>
        <w:t>Flint Hills Resources Pine Bend, LLC</w:t>
      </w:r>
      <w:r>
        <w:t xml:space="preserve">, Order, 34 FCC </w:t>
      </w:r>
      <w:r>
        <w:t>Rcd</w:t>
      </w:r>
      <w:r>
        <w:t xml:space="preserve"> 300, 302, para. 8 (WTB MD 2019) (</w:t>
      </w:r>
      <w:r>
        <w:rPr>
          <w:i/>
        </w:rPr>
        <w:t>FHR Pine Bend</w:t>
      </w:r>
      <w:r>
        <w:t xml:space="preserve">); </w:t>
      </w:r>
      <w:r w:rsidRPr="00EC6590">
        <w:rPr>
          <w:i/>
          <w:iCs/>
        </w:rPr>
        <w:t>Arizona Public Service Co.</w:t>
      </w:r>
      <w:r w:rsidRPr="00EC6590">
        <w:t xml:space="preserve">, Order, 32 FCC </w:t>
      </w:r>
      <w:r w:rsidRPr="00EC6590">
        <w:t>Rcd</w:t>
      </w:r>
      <w:r w:rsidRPr="00EC6590">
        <w:t xml:space="preserve"> 9437, 9440, para. 7 (WTB MD</w:t>
      </w:r>
      <w:r>
        <w:t xml:space="preserve"> 2017).</w:t>
      </w:r>
    </w:p>
  </w:footnote>
  <w:footnote w:id="22">
    <w:p w:rsidR="008C302D" w:rsidRPr="00135681" w:rsidP="008C302D">
      <w:pPr>
        <w:pStyle w:val="FootnoteText"/>
      </w:pPr>
      <w:r>
        <w:rPr>
          <w:rStyle w:val="FootnoteReference"/>
        </w:rPr>
        <w:footnoteRef/>
      </w:r>
      <w:r>
        <w:t xml:space="preserve"> </w:t>
      </w:r>
      <w:r>
        <w:rPr>
          <w:i/>
        </w:rPr>
        <w:t>FHR Pine Bend</w:t>
      </w:r>
      <w:r>
        <w:t xml:space="preserve">, 34 FCC </w:t>
      </w:r>
      <w:r>
        <w:t>Rcd</w:t>
      </w:r>
      <w:r>
        <w:t xml:space="preserve"> at 303, para. 9.</w:t>
      </w:r>
    </w:p>
  </w:footnote>
  <w:footnote w:id="23">
    <w:p w:rsidR="008C302D" w:rsidRPr="00A60F4B" w:rsidP="008C302D">
      <w:pPr>
        <w:pStyle w:val="FootnoteText"/>
      </w:pPr>
      <w:r>
        <w:rPr>
          <w:rStyle w:val="FootnoteReference"/>
        </w:rPr>
        <w:footnoteRef/>
      </w:r>
      <w:r>
        <w:t xml:space="preserve"> </w:t>
      </w:r>
      <w:r>
        <w:rPr>
          <w:i/>
        </w:rPr>
        <w:t xml:space="preserve">See </w:t>
      </w:r>
      <w:r w:rsidRPr="00391FCD">
        <w:t>Waiver Request at</w:t>
      </w:r>
      <w:r>
        <w:t xml:space="preserve"> 3, 6; Supplement at 1, Attachment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A6CDE">
      <w:t>DA 19-</w:t>
    </w:r>
    <w:r w:rsidR="000321F7">
      <w:t>908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0321F7">
      <w:rPr>
        <w:spacing w:val="-2"/>
      </w:rPr>
      <w:t>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1E1152"/>
    <w:multiLevelType w:val="hybridMultilevel"/>
    <w:tmpl w:val="0D2CC1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CB58A50A"/>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D1"/>
    <w:rsid w:val="000321F7"/>
    <w:rsid w:val="00036039"/>
    <w:rsid w:val="00037F90"/>
    <w:rsid w:val="00057B7F"/>
    <w:rsid w:val="000875BF"/>
    <w:rsid w:val="00096D8C"/>
    <w:rsid w:val="000A5C45"/>
    <w:rsid w:val="000C0B65"/>
    <w:rsid w:val="000E05FE"/>
    <w:rsid w:val="000E3D42"/>
    <w:rsid w:val="00122BD5"/>
    <w:rsid w:val="00133F79"/>
    <w:rsid w:val="00135681"/>
    <w:rsid w:val="001822BE"/>
    <w:rsid w:val="00194A66"/>
    <w:rsid w:val="001C04F0"/>
    <w:rsid w:val="001D6BCF"/>
    <w:rsid w:val="001E01CA"/>
    <w:rsid w:val="001E423D"/>
    <w:rsid w:val="00275CF5"/>
    <w:rsid w:val="0028301F"/>
    <w:rsid w:val="00285017"/>
    <w:rsid w:val="002A2D2E"/>
    <w:rsid w:val="002A3AA2"/>
    <w:rsid w:val="002C00E8"/>
    <w:rsid w:val="003427EB"/>
    <w:rsid w:val="00343749"/>
    <w:rsid w:val="00365DCB"/>
    <w:rsid w:val="003660ED"/>
    <w:rsid w:val="00376B0E"/>
    <w:rsid w:val="00391FCD"/>
    <w:rsid w:val="003B0550"/>
    <w:rsid w:val="003B694F"/>
    <w:rsid w:val="003D5D5F"/>
    <w:rsid w:val="003F171C"/>
    <w:rsid w:val="00412FC5"/>
    <w:rsid w:val="00422276"/>
    <w:rsid w:val="004242F1"/>
    <w:rsid w:val="00445A00"/>
    <w:rsid w:val="00451B0F"/>
    <w:rsid w:val="004C2EE3"/>
    <w:rsid w:val="004D55AF"/>
    <w:rsid w:val="004E4A22"/>
    <w:rsid w:val="00511968"/>
    <w:rsid w:val="005301EF"/>
    <w:rsid w:val="0055614C"/>
    <w:rsid w:val="00566153"/>
    <w:rsid w:val="00566D06"/>
    <w:rsid w:val="005B46EA"/>
    <w:rsid w:val="005B7627"/>
    <w:rsid w:val="005D145B"/>
    <w:rsid w:val="005E14C2"/>
    <w:rsid w:val="00607BA5"/>
    <w:rsid w:val="0061180A"/>
    <w:rsid w:val="00626EB6"/>
    <w:rsid w:val="00655D03"/>
    <w:rsid w:val="00683081"/>
    <w:rsid w:val="00683388"/>
    <w:rsid w:val="00683F84"/>
    <w:rsid w:val="006A6A81"/>
    <w:rsid w:val="006F7393"/>
    <w:rsid w:val="0070224F"/>
    <w:rsid w:val="007115F7"/>
    <w:rsid w:val="00725E52"/>
    <w:rsid w:val="00772704"/>
    <w:rsid w:val="00785689"/>
    <w:rsid w:val="0079754B"/>
    <w:rsid w:val="007A1E6D"/>
    <w:rsid w:val="007B0EB2"/>
    <w:rsid w:val="007B6C1B"/>
    <w:rsid w:val="00810B6F"/>
    <w:rsid w:val="00822CE0"/>
    <w:rsid w:val="00841AB1"/>
    <w:rsid w:val="00890E41"/>
    <w:rsid w:val="008C302D"/>
    <w:rsid w:val="008C68F1"/>
    <w:rsid w:val="008D11AA"/>
    <w:rsid w:val="00921803"/>
    <w:rsid w:val="00926503"/>
    <w:rsid w:val="00926958"/>
    <w:rsid w:val="00964785"/>
    <w:rsid w:val="0096725C"/>
    <w:rsid w:val="0097033A"/>
    <w:rsid w:val="009726D8"/>
    <w:rsid w:val="00990E30"/>
    <w:rsid w:val="009A5064"/>
    <w:rsid w:val="009D7308"/>
    <w:rsid w:val="009F76DB"/>
    <w:rsid w:val="00A04361"/>
    <w:rsid w:val="00A20AE9"/>
    <w:rsid w:val="00A32C3B"/>
    <w:rsid w:val="00A45F4F"/>
    <w:rsid w:val="00A47D33"/>
    <w:rsid w:val="00A55D2D"/>
    <w:rsid w:val="00A55E4E"/>
    <w:rsid w:val="00A600A9"/>
    <w:rsid w:val="00A60F4B"/>
    <w:rsid w:val="00AA55B7"/>
    <w:rsid w:val="00AA5B9E"/>
    <w:rsid w:val="00AA6CDE"/>
    <w:rsid w:val="00AB2407"/>
    <w:rsid w:val="00AB53DF"/>
    <w:rsid w:val="00AB74D1"/>
    <w:rsid w:val="00AD0FB6"/>
    <w:rsid w:val="00AF6DA0"/>
    <w:rsid w:val="00AF7123"/>
    <w:rsid w:val="00B07E5C"/>
    <w:rsid w:val="00B811F7"/>
    <w:rsid w:val="00BA5DC6"/>
    <w:rsid w:val="00BA6196"/>
    <w:rsid w:val="00BC6D8C"/>
    <w:rsid w:val="00BF1A31"/>
    <w:rsid w:val="00C23F7C"/>
    <w:rsid w:val="00C34006"/>
    <w:rsid w:val="00C36B4C"/>
    <w:rsid w:val="00C426B1"/>
    <w:rsid w:val="00C66160"/>
    <w:rsid w:val="00C721AC"/>
    <w:rsid w:val="00C90D6A"/>
    <w:rsid w:val="00CA247E"/>
    <w:rsid w:val="00CA6D21"/>
    <w:rsid w:val="00CC72B6"/>
    <w:rsid w:val="00D0218D"/>
    <w:rsid w:val="00D1227F"/>
    <w:rsid w:val="00D25FB5"/>
    <w:rsid w:val="00D44223"/>
    <w:rsid w:val="00D77C5E"/>
    <w:rsid w:val="00DA2529"/>
    <w:rsid w:val="00DA6888"/>
    <w:rsid w:val="00DB130A"/>
    <w:rsid w:val="00DB2EBB"/>
    <w:rsid w:val="00DC10A1"/>
    <w:rsid w:val="00DC655F"/>
    <w:rsid w:val="00DD0B59"/>
    <w:rsid w:val="00DD7EBD"/>
    <w:rsid w:val="00DF62B6"/>
    <w:rsid w:val="00E07225"/>
    <w:rsid w:val="00E5409F"/>
    <w:rsid w:val="00E63F2B"/>
    <w:rsid w:val="00EB3B0B"/>
    <w:rsid w:val="00EC6590"/>
    <w:rsid w:val="00EE6488"/>
    <w:rsid w:val="00F021FA"/>
    <w:rsid w:val="00F37852"/>
    <w:rsid w:val="00F62E97"/>
    <w:rsid w:val="00F64209"/>
    <w:rsid w:val="00F7521A"/>
    <w:rsid w:val="00F93BF5"/>
    <w:rsid w:val="00FB5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DCBAC1-7006-4398-90A1-D9A93EA9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Footnote Text Char Char,Footnote Text Char Char Char Char,Footnote Text Char Char Char Char Char Char,Footnote Text Char1 Char Char,Footnote Text Char1 Char Char Char Char,Footnote Text Char1 Char1 Char,Footnote Text Char2"/>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 Char Char,Footnote Text Char1 Char Char Char Char Char,Footnote Text Char2 Char"/>
    <w:link w:val="FootnoteText"/>
    <w:rsid w:val="00AB74D1"/>
  </w:style>
  <w:style w:type="character" w:customStyle="1" w:styleId="normaltextfont">
    <w:name w:val="normaltextfont"/>
    <w:rsid w:val="00AB74D1"/>
    <w:rPr>
      <w:rFonts w:ascii="Verdana" w:hAnsi="Verdana"/>
      <w:sz w:val="19"/>
      <w:szCs w:val="19"/>
    </w:rPr>
  </w:style>
  <w:style w:type="paragraph" w:styleId="ListParagraph">
    <w:name w:val="List Paragraph"/>
    <w:basedOn w:val="Normal"/>
    <w:uiPriority w:val="34"/>
    <w:qFormat/>
    <w:rsid w:val="008C302D"/>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