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8.10 -->
  <w:body>
    <w:p w:rsidR="004C2EE3">
      <w:pPr>
        <w:jc w:val="center"/>
        <w:rPr>
          <w:b/>
        </w:rPr>
      </w:pPr>
      <w:r w:rsidRPr="0070224F">
        <w:rPr>
          <w:rFonts w:ascii="Times New Roman Bold" w:hAnsi="Times New Roman Bold"/>
          <w:b/>
          <w:kern w:val="0"/>
          <w:szCs w:val="22"/>
        </w:rPr>
        <w:t>Before</w:t>
      </w:r>
      <w:r>
        <w:rPr>
          <w:b/>
        </w:rPr>
        <w:t xml:space="preserve"> the</w:t>
      </w:r>
    </w:p>
    <w:p w:rsidR="00921803" w:rsidP="00921803">
      <w:pPr>
        <w:pStyle w:val="StyleBoldCentered"/>
      </w:pPr>
      <w:r>
        <w:t>F</w:t>
      </w:r>
      <w:r>
        <w:rPr>
          <w:caps w:val="0"/>
        </w:rPr>
        <w:t>ederal Communications Commission</w:t>
      </w:r>
    </w:p>
    <w:p w:rsidR="004C2EE3" w:rsidP="00096D8C">
      <w:pPr>
        <w:pStyle w:val="StyleBoldCentered"/>
      </w:pPr>
      <w:r>
        <w:rPr>
          <w:caps w:val="0"/>
        </w:rPr>
        <w:t>Washington, D.C. 20554</w:t>
      </w:r>
    </w:p>
    <w:p w:rsidR="004C2EE3" w:rsidP="0070224F"/>
    <w:p w:rsidR="004C2EE3" w:rsidP="0070224F"/>
    <w:tbl>
      <w:tblPr>
        <w:tblW w:w="0" w:type="auto"/>
        <w:tblLayout w:type="fixed"/>
        <w:tblLook w:val="0000"/>
      </w:tblPr>
      <w:tblGrid>
        <w:gridCol w:w="4698"/>
        <w:gridCol w:w="630"/>
        <w:gridCol w:w="4248"/>
      </w:tblGrid>
      <w:tr>
        <w:tblPrEx>
          <w:tblW w:w="0" w:type="auto"/>
          <w:tblLayout w:type="fixed"/>
          <w:tblLook w:val="0000"/>
        </w:tblPrEx>
        <w:tc>
          <w:tcPr>
            <w:tcW w:w="4698" w:type="dxa"/>
          </w:tcPr>
          <w:p w:rsidR="004C2EE3">
            <w:pPr>
              <w:tabs>
                <w:tab w:val="center" w:pos="4680"/>
              </w:tabs>
              <w:suppressAutoHyphens/>
              <w:rPr>
                <w:spacing w:val="-2"/>
              </w:rPr>
            </w:pPr>
            <w:r>
              <w:rPr>
                <w:spacing w:val="-2"/>
              </w:rPr>
              <w:t>In the Matter of</w:t>
            </w:r>
          </w:p>
          <w:p w:rsidR="004C2EE3">
            <w:pPr>
              <w:tabs>
                <w:tab w:val="center" w:pos="4680"/>
              </w:tabs>
              <w:suppressAutoHyphens/>
              <w:rPr>
                <w:spacing w:val="-2"/>
              </w:rPr>
            </w:pPr>
          </w:p>
          <w:p w:rsidR="00BE11D2" w:rsidP="00BE11D2">
            <w:pPr>
              <w:widowControl/>
            </w:pPr>
            <w:r>
              <w:t>EVERSOURCE ENERGY SERVICE COMPANY</w:t>
            </w:r>
          </w:p>
          <w:p w:rsidR="00BE11D2" w:rsidP="00BE11D2">
            <w:pPr>
              <w:widowControl/>
            </w:pPr>
          </w:p>
          <w:p w:rsidR="004C2EE3" w:rsidRPr="007115F7" w:rsidP="00BE11D2">
            <w:pPr>
              <w:tabs>
                <w:tab w:val="center" w:pos="4680"/>
              </w:tabs>
              <w:suppressAutoHyphens/>
              <w:rPr>
                <w:spacing w:val="-2"/>
              </w:rPr>
            </w:pPr>
            <w:r>
              <w:t>Requests for Waiver of 900 MHz Application Freeze</w:t>
            </w:r>
          </w:p>
        </w:tc>
        <w:tc>
          <w:tcPr>
            <w:tcW w:w="630" w:type="dxa"/>
          </w:tcPr>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pPr>
              <w:tabs>
                <w:tab w:val="center" w:pos="4680"/>
              </w:tabs>
              <w:suppressAutoHyphens/>
              <w:rPr>
                <w:b/>
                <w:spacing w:val="-2"/>
              </w:rPr>
            </w:pPr>
            <w:r>
              <w:rPr>
                <w:b/>
                <w:spacing w:val="-2"/>
              </w:rPr>
              <w:t>)</w:t>
            </w:r>
          </w:p>
          <w:p w:rsidR="004C2EE3" w:rsidRPr="00F02E62">
            <w:pPr>
              <w:tabs>
                <w:tab w:val="center" w:pos="4680"/>
              </w:tabs>
              <w:suppressAutoHyphens/>
              <w:rPr>
                <w:b/>
                <w:spacing w:val="-2"/>
              </w:rPr>
            </w:pPr>
            <w:r>
              <w:rPr>
                <w:b/>
                <w:spacing w:val="-2"/>
              </w:rPr>
              <w:t>)</w:t>
            </w:r>
          </w:p>
        </w:tc>
        <w:tc>
          <w:tcPr>
            <w:tcW w:w="4248" w:type="dxa"/>
          </w:tcPr>
          <w:p w:rsidR="004C2EE3">
            <w:pPr>
              <w:tabs>
                <w:tab w:val="center" w:pos="4680"/>
              </w:tabs>
              <w:suppressAutoHyphens/>
              <w:rPr>
                <w:spacing w:val="-2"/>
              </w:rPr>
            </w:pPr>
          </w:p>
          <w:p w:rsidR="004C2EE3">
            <w:pPr>
              <w:pStyle w:val="TOAHeading"/>
              <w:tabs>
                <w:tab w:val="center" w:pos="4680"/>
                <w:tab w:val="clear" w:pos="9360"/>
              </w:tabs>
              <w:rPr>
                <w:spacing w:val="-2"/>
              </w:rPr>
            </w:pPr>
          </w:p>
          <w:p w:rsidR="004C2EE3">
            <w:pPr>
              <w:tabs>
                <w:tab w:val="center" w:pos="4680"/>
              </w:tabs>
              <w:suppressAutoHyphens/>
              <w:rPr>
                <w:spacing w:val="-2"/>
              </w:rPr>
            </w:pPr>
            <w:r w:rsidRPr="00725E52">
              <w:rPr>
                <w:spacing w:val="-2"/>
              </w:rPr>
              <w:t>File No</w:t>
            </w:r>
            <w:r>
              <w:rPr>
                <w:spacing w:val="-2"/>
              </w:rPr>
              <w:t>s</w:t>
            </w:r>
            <w:r w:rsidRPr="00725E52">
              <w:rPr>
                <w:spacing w:val="-2"/>
              </w:rPr>
              <w:t xml:space="preserve">. </w:t>
            </w:r>
            <w:r w:rsidRPr="0096725C">
              <w:rPr>
                <w:spacing w:val="-2"/>
              </w:rPr>
              <w:t>0008432381</w:t>
            </w:r>
            <w:r>
              <w:rPr>
                <w:spacing w:val="-2"/>
              </w:rPr>
              <w:t>, 0008750737</w:t>
            </w:r>
          </w:p>
        </w:tc>
      </w:tr>
    </w:tbl>
    <w:p w:rsidR="004C2EE3" w:rsidP="0070224F"/>
    <w:p w:rsidR="00841AB1" w:rsidP="00F021FA">
      <w:pPr>
        <w:pStyle w:val="StyleBoldCentered"/>
      </w:pPr>
      <w:r>
        <w:t>Order</w:t>
      </w:r>
    </w:p>
    <w:p w:rsidR="004C2EE3">
      <w:pPr>
        <w:tabs>
          <w:tab w:val="left" w:pos="-720"/>
        </w:tabs>
        <w:suppressAutoHyphens/>
        <w:spacing w:line="227" w:lineRule="auto"/>
        <w:rPr>
          <w:spacing w:val="-2"/>
        </w:rPr>
      </w:pPr>
    </w:p>
    <w:p w:rsidR="004C2EE3" w:rsidP="00133F79">
      <w:pPr>
        <w:tabs>
          <w:tab w:val="left" w:pos="720"/>
          <w:tab w:val="right" w:pos="9360"/>
        </w:tabs>
        <w:suppressAutoHyphens/>
        <w:spacing w:line="227" w:lineRule="auto"/>
        <w:rPr>
          <w:spacing w:val="-2"/>
        </w:rPr>
      </w:pPr>
      <w:r>
        <w:rPr>
          <w:b/>
          <w:spacing w:val="-2"/>
        </w:rPr>
        <w:t xml:space="preserve">Adopted:  </w:t>
      </w:r>
      <w:r w:rsidR="0088301D">
        <w:rPr>
          <w:b/>
          <w:spacing w:val="-2"/>
        </w:rPr>
        <w:t>September 12, 2019</w:t>
      </w:r>
      <w:r>
        <w:rPr>
          <w:b/>
          <w:spacing w:val="-2"/>
        </w:rPr>
        <w:tab/>
      </w:r>
      <w:r w:rsidR="00822CE0">
        <w:rPr>
          <w:b/>
          <w:spacing w:val="-2"/>
        </w:rPr>
        <w:t>Released</w:t>
      </w:r>
      <w:r>
        <w:rPr>
          <w:b/>
          <w:spacing w:val="-2"/>
        </w:rPr>
        <w:t>:</w:t>
      </w:r>
      <w:r w:rsidR="00822CE0">
        <w:rPr>
          <w:b/>
          <w:spacing w:val="-2"/>
        </w:rPr>
        <w:t xml:space="preserve"> </w:t>
      </w:r>
      <w:r>
        <w:rPr>
          <w:b/>
          <w:spacing w:val="-2"/>
        </w:rPr>
        <w:t xml:space="preserve"> </w:t>
      </w:r>
      <w:r w:rsidR="0088301D">
        <w:rPr>
          <w:b/>
          <w:spacing w:val="-2"/>
        </w:rPr>
        <w:t>September 12, 2019</w:t>
      </w:r>
    </w:p>
    <w:p w:rsidR="00822CE0"/>
    <w:p w:rsidR="004C2EE3">
      <w:pPr>
        <w:rPr>
          <w:spacing w:val="-2"/>
        </w:rPr>
      </w:pPr>
      <w:r>
        <w:t xml:space="preserve">By </w:t>
      </w:r>
      <w:r w:rsidR="004E4A22">
        <w:t>the</w:t>
      </w:r>
      <w:r w:rsidR="002A2D2E">
        <w:t xml:space="preserve"> </w:t>
      </w:r>
      <w:r w:rsidR="00BE11D2">
        <w:t xml:space="preserve">Deputy Chief, Mobility Division, Wireless Telecommunications </w:t>
      </w:r>
      <w:r w:rsidR="00BE11D2">
        <w:rPr>
          <w:spacing w:val="-2"/>
        </w:rPr>
        <w:t>Bureau</w:t>
      </w:r>
      <w:r>
        <w:rPr>
          <w:spacing w:val="-2"/>
        </w:rPr>
        <w:t>:</w:t>
      </w:r>
    </w:p>
    <w:p w:rsidR="00822CE0">
      <w:pPr>
        <w:rPr>
          <w:spacing w:val="-2"/>
        </w:rPr>
      </w:pPr>
    </w:p>
    <w:p w:rsidR="00BE11D2" w:rsidRPr="00BC7FF9" w:rsidP="00BE11D2">
      <w:pPr>
        <w:pStyle w:val="ParaNum"/>
      </w:pPr>
      <w:r w:rsidRPr="00C23F7C">
        <w:rPr>
          <w:i/>
        </w:rPr>
        <w:t xml:space="preserve">Introduction.  </w:t>
      </w:r>
      <w:r>
        <w:t xml:space="preserve">In this </w:t>
      </w:r>
      <w:r w:rsidRPr="00651DA7">
        <w:rPr>
          <w:i/>
        </w:rPr>
        <w:t>Order</w:t>
      </w:r>
      <w:r>
        <w:t>, we address an application</w:t>
      </w:r>
      <w:r w:rsidRPr="00BF1A31">
        <w:t xml:space="preserve"> </w:t>
      </w:r>
      <w:r>
        <w:t>filed by Eversource Energy Service Company (Eversource)</w:t>
      </w:r>
      <w:r>
        <w:rPr>
          <w:rStyle w:val="FootnoteReference"/>
        </w:rPr>
        <w:footnoteReference w:id="3"/>
      </w:r>
      <w:r>
        <w:t xml:space="preserve"> to modify its license for </w:t>
      </w:r>
      <w:r w:rsidRPr="0004525E">
        <w:t>896-901/935-940 MHz (900 MHz</w:t>
      </w:r>
      <w:r>
        <w:t>)</w:t>
      </w:r>
      <w:r w:rsidRPr="0004525E">
        <w:t xml:space="preserve"> band</w:t>
      </w:r>
      <w:r>
        <w:t xml:space="preserve"> Business/Industrial Land Transportation Station WRAH484 by adding </w:t>
      </w:r>
      <w:bookmarkStart w:id="0" w:name="_Hlk6845052"/>
      <w:r>
        <w:t xml:space="preserve">a </w:t>
      </w:r>
      <w:bookmarkEnd w:id="0"/>
      <w:r>
        <w:t>site and an associated request for waiver of the current 900 MHz application freeze.</w:t>
      </w:r>
      <w:r>
        <w:rPr>
          <w:rStyle w:val="FootnoteReference"/>
        </w:rPr>
        <w:footnoteReference w:id="4"/>
      </w:r>
      <w:r>
        <w:t xml:space="preserve">  We deny the waiver request as set forth below and will dismiss the application.</w:t>
      </w:r>
      <w:r>
        <w:rPr>
          <w:rStyle w:val="FootnoteReference"/>
        </w:rPr>
        <w:footnoteReference w:id="5"/>
      </w:r>
    </w:p>
    <w:p w:rsidR="00BE11D2" w:rsidRPr="009618DD" w:rsidP="00BE11D2">
      <w:pPr>
        <w:pStyle w:val="ParaNum"/>
      </w:pPr>
      <w:r w:rsidRPr="007B6C1B">
        <w:rPr>
          <w:i/>
        </w:rPr>
        <w:t xml:space="preserve">Background.  </w:t>
      </w:r>
      <w:bookmarkStart w:id="2" w:name="_Hlk524011488"/>
      <w:r>
        <w:t>Eversource serves 1.4 million electric customers in 140 Massachusetts communities.</w:t>
      </w:r>
      <w:r>
        <w:rPr>
          <w:rStyle w:val="FootnoteReference"/>
        </w:rPr>
        <w:footnoteReference w:id="6"/>
      </w:r>
      <w:r>
        <w:t xml:space="preserve">  It operates a</w:t>
      </w:r>
      <w:r w:rsidRPr="00ED01E8">
        <w:t xml:space="preserve"> </w:t>
      </w:r>
      <w:r>
        <w:t>900 MHz s</w:t>
      </w:r>
      <w:r w:rsidRPr="00ED01E8">
        <w:t xml:space="preserve">upervisory </w:t>
      </w:r>
      <w:r>
        <w:t>c</w:t>
      </w:r>
      <w:r w:rsidRPr="00ED01E8">
        <w:t xml:space="preserve">ontrol and </w:t>
      </w:r>
      <w:r>
        <w:t>d</w:t>
      </w:r>
      <w:r w:rsidRPr="00ED01E8">
        <w:t xml:space="preserve">ata </w:t>
      </w:r>
      <w:r>
        <w:t>a</w:t>
      </w:r>
      <w:r w:rsidRPr="00ED01E8">
        <w:t xml:space="preserve">cquisition </w:t>
      </w:r>
      <w:r>
        <w:t>system that minimizes electric utility service outage duration and improves the reliability of the company’s electric distribution system.</w:t>
      </w:r>
      <w:r>
        <w:rPr>
          <w:rStyle w:val="FootnoteReference"/>
        </w:rPr>
        <w:footnoteReference w:id="7"/>
      </w:r>
    </w:p>
    <w:bookmarkEnd w:id="2"/>
    <w:p w:rsidR="00BE11D2" w:rsidRPr="00A20AE9" w:rsidP="00BE11D2">
      <w:pPr>
        <w:pStyle w:val="ParaNum"/>
      </w:pPr>
      <w:r>
        <w:rPr>
          <w:snapToGrid/>
        </w:rPr>
        <w:t>I</w:t>
      </w:r>
      <w:r w:rsidRPr="007B6C1B">
        <w:rPr>
          <w:snapToGrid/>
        </w:rPr>
        <w:t xml:space="preserve">n September 2018, the </w:t>
      </w:r>
      <w:r>
        <w:rPr>
          <w:snapToGrid/>
        </w:rPr>
        <w:t xml:space="preserve">Wireless Telecommunications </w:t>
      </w:r>
      <w:r w:rsidRPr="007B6C1B">
        <w:rPr>
          <w:snapToGrid/>
        </w:rPr>
        <w:t xml:space="preserve">Bureau </w:t>
      </w:r>
      <w:r>
        <w:rPr>
          <w:snapToGrid/>
        </w:rPr>
        <w:t xml:space="preserve">announced </w:t>
      </w:r>
      <w:r w:rsidRPr="007B6C1B">
        <w:rPr>
          <w:snapToGrid/>
        </w:rPr>
        <w:t>a temporary freeze</w:t>
      </w:r>
      <w:r>
        <w:rPr>
          <w:snapToGrid/>
        </w:rPr>
        <w:t xml:space="preserve"> on the acceptance of applications for new or expanded use of 900 MHz band frequencies.</w:t>
      </w:r>
      <w:r>
        <w:rPr>
          <w:rStyle w:val="FootnoteReference"/>
          <w:snapToGrid/>
        </w:rPr>
        <w:footnoteReference w:id="8"/>
      </w:r>
      <w:r>
        <w:rPr>
          <w:snapToGrid/>
        </w:rPr>
        <w:t xml:space="preserve">  </w:t>
      </w:r>
      <w:r w:rsidRPr="007B6C1B">
        <w:t xml:space="preserve">The purpose of the freeze is to preserve the current landscape of authorized operations in the 900 MHz band pending Commission action as part of </w:t>
      </w:r>
      <w:r>
        <w:t>the</w:t>
      </w:r>
      <w:r w:rsidRPr="007B6C1B">
        <w:t xml:space="preserve"> inquiry into potential rule changes to promote next</w:t>
      </w:r>
      <w:r>
        <w:t>-</w:t>
      </w:r>
      <w:r w:rsidRPr="007B6C1B">
        <w:t>generation technologies and services in the band.</w:t>
      </w:r>
      <w:r>
        <w:rPr>
          <w:rStyle w:val="FootnoteReference"/>
        </w:rPr>
        <w:footnoteReference w:id="9"/>
      </w:r>
      <w:r>
        <w:t xml:space="preserve">  </w:t>
      </w:r>
      <w:r w:rsidRPr="007B6C1B">
        <w:rPr>
          <w:snapToGrid/>
          <w:kern w:val="0"/>
        </w:rPr>
        <w:t xml:space="preserve">The </w:t>
      </w:r>
      <w:r w:rsidRPr="007B6C1B">
        <w:rPr>
          <w:i/>
          <w:snapToGrid/>
          <w:kern w:val="0"/>
        </w:rPr>
        <w:t xml:space="preserve">Public Notice </w:t>
      </w:r>
      <w:r>
        <w:rPr>
          <w:snapToGrid/>
          <w:kern w:val="0"/>
        </w:rPr>
        <w:t xml:space="preserve">noted that </w:t>
      </w:r>
      <w:r w:rsidRPr="00A20AE9">
        <w:t xml:space="preserve">licensees have recourse via the </w:t>
      </w:r>
      <w:r w:rsidRPr="00A20AE9">
        <w:t>Commission's waiver provisions to request an exception to the freeze.</w:t>
      </w:r>
      <w:r>
        <w:rPr>
          <w:sz w:val="20"/>
          <w:vertAlign w:val="superscript"/>
        </w:rPr>
        <w:footnoteReference w:id="10"/>
      </w:r>
      <w:r>
        <w:rPr>
          <w:snapToGrid/>
          <w:kern w:val="0"/>
        </w:rPr>
        <w:t xml:space="preserve">  </w:t>
      </w:r>
      <w:r>
        <w:t xml:space="preserve">In 2019, </w:t>
      </w:r>
      <w:r w:rsidRPr="007B6C1B">
        <w:t xml:space="preserve">the Commission released a </w:t>
      </w:r>
      <w:r w:rsidRPr="007B6C1B">
        <w:rPr>
          <w:i/>
        </w:rPr>
        <w:t>Notice of Proposed Rulemaking</w:t>
      </w:r>
      <w:r w:rsidRPr="007B6C1B">
        <w:t xml:space="preserve"> proposing to realign the 900 MHz band to create a 3/3 megahertz broadband segment</w:t>
      </w:r>
      <w:r>
        <w:t xml:space="preserve">, </w:t>
      </w:r>
      <w:r w:rsidRPr="007B6C1B">
        <w:t>while reserving the remaining 2/2 megahertz of spectrum for narrowband operations.</w:t>
      </w:r>
      <w:r>
        <w:rPr>
          <w:rStyle w:val="FootnoteReference"/>
        </w:rPr>
        <w:footnoteReference w:id="11"/>
      </w:r>
    </w:p>
    <w:p w:rsidR="00BE11D2" w:rsidRPr="007B6C1B" w:rsidP="00BE11D2">
      <w:pPr>
        <w:pStyle w:val="ParaNum"/>
      </w:pPr>
      <w:r>
        <w:t>In November 2018, Eversource</w:t>
      </w:r>
      <w:r w:rsidRPr="00A26069">
        <w:rPr>
          <w:spacing w:val="-2"/>
        </w:rPr>
        <w:t xml:space="preserve"> filed </w:t>
      </w:r>
      <w:r>
        <w:rPr>
          <w:spacing w:val="-2"/>
        </w:rPr>
        <w:t xml:space="preserve">an </w:t>
      </w:r>
      <w:r w:rsidRPr="00A26069">
        <w:rPr>
          <w:spacing w:val="-2"/>
        </w:rPr>
        <w:t>application</w:t>
      </w:r>
      <w:r>
        <w:rPr>
          <w:spacing w:val="-2"/>
        </w:rPr>
        <w:t xml:space="preserve"> to add a new location with a single 900 MHz channel in East Springfield, Massachusetts </w:t>
      </w:r>
      <w:r w:rsidRPr="00A26069">
        <w:rPr>
          <w:spacing w:val="-2"/>
        </w:rPr>
        <w:t xml:space="preserve">and </w:t>
      </w:r>
      <w:r>
        <w:rPr>
          <w:spacing w:val="-2"/>
        </w:rPr>
        <w:t>requested</w:t>
      </w:r>
      <w:r w:rsidRPr="00A26069">
        <w:rPr>
          <w:spacing w:val="-2"/>
        </w:rPr>
        <w:t xml:space="preserve"> a waiver of the 900 MHz </w:t>
      </w:r>
      <w:r>
        <w:rPr>
          <w:spacing w:val="-2"/>
        </w:rPr>
        <w:t>application</w:t>
      </w:r>
      <w:r w:rsidRPr="00A26069">
        <w:rPr>
          <w:spacing w:val="-2"/>
        </w:rPr>
        <w:t xml:space="preserve"> freeze. </w:t>
      </w:r>
      <w:r>
        <w:rPr>
          <w:spacing w:val="-2"/>
        </w:rPr>
        <w:t>Eversource’s predecessor-in-interest was granted a license for a 900 MHz station at the East Springfield site in 2005 under Call Sign WQCC802,</w:t>
      </w:r>
      <w:r>
        <w:rPr>
          <w:rStyle w:val="FootnoteReference"/>
          <w:spacing w:val="-2"/>
        </w:rPr>
        <w:footnoteReference w:id="12"/>
      </w:r>
      <w:r>
        <w:rPr>
          <w:spacing w:val="-2"/>
        </w:rPr>
        <w:t xml:space="preserve"> but the company did not construct the site at that time and canceled the authorization in 2009.</w:t>
      </w:r>
      <w:r>
        <w:rPr>
          <w:rStyle w:val="FootnoteReference"/>
          <w:spacing w:val="-2"/>
        </w:rPr>
        <w:footnoteReference w:id="13"/>
      </w:r>
      <w:r>
        <w:rPr>
          <w:spacing w:val="-2"/>
        </w:rPr>
        <w:t xml:space="preserve">  In its waiver request, Eversource</w:t>
      </w:r>
      <w:r w:rsidRPr="00A26069">
        <w:rPr>
          <w:spacing w:val="-2"/>
        </w:rPr>
        <w:t xml:space="preserve"> states that </w:t>
      </w:r>
      <w:r>
        <w:rPr>
          <w:spacing w:val="-2"/>
        </w:rPr>
        <w:t>the area around that site later was identified as lacking adequate coverage.</w:t>
      </w:r>
      <w:r>
        <w:rPr>
          <w:rStyle w:val="FootnoteReference"/>
          <w:spacing w:val="-2"/>
        </w:rPr>
        <w:footnoteReference w:id="14"/>
      </w:r>
      <w:r>
        <w:rPr>
          <w:spacing w:val="-2"/>
        </w:rPr>
        <w:t xml:space="preserve">  It states that it submitted an application to its frequency coordinator in September 2018, but the frequency coordination process had not been completed when the 900 MHz application freeze was announced later that month.</w:t>
      </w:r>
      <w:r>
        <w:rPr>
          <w:rStyle w:val="FootnoteReference"/>
          <w:spacing w:val="-2"/>
        </w:rPr>
        <w:footnoteReference w:id="15"/>
      </w:r>
      <w:r>
        <w:rPr>
          <w:spacing w:val="-2"/>
        </w:rPr>
        <w:t xml:space="preserve">  Eversource</w:t>
      </w:r>
      <w:r w:rsidRPr="00A26069">
        <w:rPr>
          <w:spacing w:val="-2"/>
        </w:rPr>
        <w:t xml:space="preserve"> </w:t>
      </w:r>
      <w:r>
        <w:rPr>
          <w:spacing w:val="-2"/>
        </w:rPr>
        <w:t>asserts that the requested channel would constitute a minimal expansion of</w:t>
      </w:r>
      <w:r w:rsidRPr="00B828F8">
        <w:rPr>
          <w:spacing w:val="-2"/>
        </w:rPr>
        <w:t xml:space="preserve"> </w:t>
      </w:r>
      <w:r>
        <w:rPr>
          <w:spacing w:val="-2"/>
        </w:rPr>
        <w:t>the company’s extensive 900 MHz holdings in the region.</w:t>
      </w:r>
      <w:r>
        <w:rPr>
          <w:rStyle w:val="FootnoteReference"/>
          <w:spacing w:val="-2"/>
        </w:rPr>
        <w:footnoteReference w:id="16"/>
      </w:r>
      <w:r>
        <w:rPr>
          <w:spacing w:val="-2"/>
        </w:rPr>
        <w:t xml:space="preserve"> </w:t>
      </w:r>
    </w:p>
    <w:p w:rsidR="00BE11D2" w:rsidRPr="00E167C7" w:rsidP="00BE11D2">
      <w:pPr>
        <w:pStyle w:val="ParaNum"/>
        <w:rPr>
          <w:rStyle w:val="normaltextfont"/>
        </w:rPr>
      </w:pPr>
      <w:r w:rsidRPr="00D77C5E">
        <w:rPr>
          <w:i/>
        </w:rPr>
        <w:t>Discussion.</w:t>
      </w:r>
      <w:r>
        <w:t xml:space="preserve">  To obtain a waiver of the Commission's rules, a petitioner must demonstrate either that: (i) the underlying purpose of the rule(s) would not be served or would be frustrated by application to the present case and that a grant of the waiver would be in the public interest; or (ii) in view of unique or unusual factual circumstances of the instant case, application of the rule(s) would be inequitable, unduly burdensome, or contrary to the public interest, or the applicant has no reasonable alternative.</w:t>
      </w:r>
      <w:r>
        <w:rPr>
          <w:rStyle w:val="FootnoteReference"/>
          <w:szCs w:val="22"/>
        </w:rPr>
        <w:footnoteReference w:id="17"/>
      </w:r>
      <w:r>
        <w:t xml:space="preserve">  Eversource asserts that it meets the second prong of the waiver standard.</w:t>
      </w:r>
      <w:r>
        <w:rPr>
          <w:rStyle w:val="FootnoteReference"/>
        </w:rPr>
        <w:footnoteReference w:id="18"/>
      </w:r>
    </w:p>
    <w:p w:rsidR="00BE11D2" w:rsidRPr="00BE11D2" w:rsidP="00BE11D2">
      <w:pPr>
        <w:pStyle w:val="ParaNum"/>
      </w:pPr>
      <w:r w:rsidRPr="00BE11D2">
        <w:rPr>
          <w:rStyle w:val="normaltextfont"/>
          <w:rFonts w:ascii="Times New Roman" w:hAnsi="Times New Roman"/>
          <w:sz w:val="22"/>
          <w:szCs w:val="22"/>
        </w:rPr>
        <w:t>We conclude that the presented circumstances do not warrant a waiver of the 900 MHz freeze.  That Eversource was in the process of submitting the instant application when the freeze was announced is not a sufficient reason to grant the requested waiver.</w:t>
      </w:r>
      <w:r>
        <w:rPr>
          <w:rStyle w:val="FootnoteReference"/>
          <w:sz w:val="22"/>
          <w:szCs w:val="22"/>
        </w:rPr>
        <w:footnoteReference w:id="19"/>
      </w:r>
      <w:r w:rsidRPr="00BE11D2">
        <w:rPr>
          <w:rStyle w:val="normaltextfont"/>
          <w:rFonts w:ascii="Times New Roman" w:hAnsi="Times New Roman"/>
          <w:sz w:val="22"/>
          <w:szCs w:val="22"/>
        </w:rPr>
        <w:t xml:space="preserve">  Nor is a need for more capacity in an existing service area unique or unusual.</w:t>
      </w:r>
      <w:r>
        <w:rPr>
          <w:rStyle w:val="FootnoteReference"/>
          <w:sz w:val="22"/>
          <w:szCs w:val="22"/>
        </w:rPr>
        <w:footnoteReference w:id="20"/>
      </w:r>
      <w:r w:rsidRPr="00BE11D2">
        <w:rPr>
          <w:rStyle w:val="normaltextfont"/>
          <w:rFonts w:ascii="Times New Roman" w:hAnsi="Times New Roman"/>
          <w:sz w:val="22"/>
          <w:szCs w:val="22"/>
        </w:rPr>
        <w:t xml:space="preserve">  It appears that the company was aware of a possible need for additional coverage in the area and could have added the proposed station long before the freeze was announced, but it made a business decision not to construct the licensed facility sooner.  Consequently, we conclude that Eversource has not met the waiver standard.  We deny the waiver request and will dismiss the application.</w:t>
      </w:r>
    </w:p>
    <w:p w:rsidR="00BE11D2" w:rsidP="00BE11D2">
      <w:pPr>
        <w:pStyle w:val="ParaNum"/>
      </w:pPr>
      <w:r>
        <w:t>Accordingly, IT IS ORDERED, pursuant to section 4(i) of the Communications Act of 1934, as amended, 47 U.S.C. § 154(i), and sections 1.925 and 1.934 of the Commission’s rules, 47 CFR §</w:t>
      </w:r>
      <w:r w:rsidRPr="00BA031B">
        <w:t>§</w:t>
      </w:r>
      <w:r>
        <w:t xml:space="preserve"> 1.925, 1.934</w:t>
      </w:r>
      <w:r w:rsidRPr="00BA031B">
        <w:t>,</w:t>
      </w:r>
      <w:r>
        <w:t xml:space="preserve"> that the Waiver Request filed by Eversource Energy Service Company on November 14, 2018, in association with application FCC File No. </w:t>
      </w:r>
      <w:r w:rsidRPr="00BA031B">
        <w:t>0008432381</w:t>
      </w:r>
      <w:r>
        <w:t xml:space="preserve"> IS DENIED, and applications FCC File </w:t>
      </w:r>
      <w:r>
        <w:t xml:space="preserve">Nos. </w:t>
      </w:r>
      <w:r w:rsidRPr="00BA031B">
        <w:t>0008432381</w:t>
      </w:r>
      <w:r>
        <w:t xml:space="preserve"> and 0008750737 SHALL BE DISMISSED.</w:t>
      </w:r>
    </w:p>
    <w:p w:rsidR="00BE11D2" w:rsidP="00BE11D2">
      <w:pPr>
        <w:pStyle w:val="ParaNum"/>
      </w:pPr>
      <w:r>
        <w:t>This action is taken under delegated authority pursuant to sections 0.131 and 0.331 of the Commission’s rules, 47 CFR §§ 0.131, 0.331.</w:t>
      </w:r>
    </w:p>
    <w:p w:rsidR="00BE11D2" w:rsidP="00BE11D2">
      <w:pPr>
        <w:ind w:left="4320"/>
      </w:pPr>
      <w:r>
        <w:t>FEDERAL COMMUNICATIONS COMMISSION</w:t>
      </w:r>
    </w:p>
    <w:p w:rsidR="00BE11D2" w:rsidP="00BE11D2">
      <w:pPr>
        <w:ind w:left="4320"/>
      </w:pPr>
    </w:p>
    <w:p w:rsidR="00BE11D2" w:rsidP="00BE11D2">
      <w:pPr>
        <w:ind w:left="4320"/>
      </w:pPr>
    </w:p>
    <w:p w:rsidR="00BE11D2" w:rsidP="00BE11D2">
      <w:pPr>
        <w:ind w:left="4320"/>
      </w:pPr>
    </w:p>
    <w:p w:rsidR="00BE11D2" w:rsidP="00BE11D2">
      <w:pPr>
        <w:ind w:left="4320"/>
      </w:pPr>
    </w:p>
    <w:p w:rsidR="00BE11D2" w:rsidP="00BE11D2">
      <w:pPr>
        <w:ind w:left="4320"/>
        <w:rPr>
          <w:szCs w:val="22"/>
        </w:rPr>
      </w:pPr>
      <w:r>
        <w:t>Scot Stone</w:t>
      </w:r>
    </w:p>
    <w:p w:rsidR="00BE11D2" w:rsidP="00BE11D2">
      <w:pPr>
        <w:ind w:left="4320"/>
      </w:pPr>
      <w:r>
        <w:t>Deputy Chief, Mobility Division</w:t>
      </w:r>
    </w:p>
    <w:p w:rsidR="00412FC5" w:rsidP="00BE11D2">
      <w:pPr>
        <w:ind w:left="4320"/>
      </w:pPr>
      <w:r>
        <w:t>Wireless Telecommunications Bureau</w:t>
      </w:r>
    </w:p>
    <w:sectPr w:rsidSect="0055614C">
      <w:headerReference w:type="default" r:id="rId5"/>
      <w:footerReference w:type="even" r:id="rId6"/>
      <w:footerReference w:type="default" r:id="rId7"/>
      <w:headerReference w:type="first" r:id="rId8"/>
      <w:footerReference w:type="first" r:id="rId9"/>
      <w:endnotePr>
        <w:numFmt w:val="decimal"/>
      </w:endnotePr>
      <w:pgSz w:w="12240" w:h="15840"/>
      <w:pgMar w:top="1440" w:right="1440" w:bottom="720" w:left="1440" w:header="72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Times New Roman Bold">
    <w:altName w:val="Times New Roman"/>
    <w:panose1 w:val="02020803070505020304"/>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55614C">
    <w:pPr>
      <w:pStyle w:val="Footer"/>
      <w:framePr w:wrap="around" w:vAnchor="text" w:hAnchor="margin" w:xAlign="center" w:y="1"/>
    </w:pPr>
    <w:r>
      <w:fldChar w:fldCharType="begin"/>
    </w:r>
    <w:r>
      <w:instrText xml:space="preserve">PAGE  </w:instrText>
    </w:r>
    <w:r>
      <w:fldChar w:fldCharType="separate"/>
    </w:r>
    <w:r>
      <w:fldChar w:fldCharType="end"/>
    </w:r>
  </w:p>
  <w:p w:rsidR="00D25FB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706CE8">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3C5209">
      <w:r>
        <w:separator/>
      </w:r>
    </w:p>
  </w:footnote>
  <w:footnote w:type="continuationSeparator" w:id="1">
    <w:p w:rsidR="003C5209" w:rsidP="00C721AC">
      <w:pPr>
        <w:spacing w:before="120"/>
        <w:rPr>
          <w:sz w:val="20"/>
        </w:rPr>
      </w:pPr>
      <w:r>
        <w:rPr>
          <w:sz w:val="20"/>
        </w:rPr>
        <w:t xml:space="preserve">(Continued from previous page)  </w:t>
      </w:r>
      <w:r>
        <w:rPr>
          <w:sz w:val="20"/>
        </w:rPr>
        <w:separator/>
      </w:r>
    </w:p>
  </w:footnote>
  <w:footnote w:type="continuationNotice" w:id="2">
    <w:p w:rsidR="003C5209" w:rsidP="00C721AC">
      <w:pPr>
        <w:jc w:val="right"/>
        <w:rPr>
          <w:sz w:val="20"/>
        </w:rPr>
      </w:pPr>
      <w:r>
        <w:rPr>
          <w:sz w:val="20"/>
        </w:rPr>
        <w:t>(continued….)</w:t>
      </w:r>
    </w:p>
  </w:footnote>
  <w:footnote w:id="3">
    <w:p w:rsidR="00BE11D2" w:rsidP="00BE11D2">
      <w:pPr>
        <w:pStyle w:val="FootnoteText"/>
      </w:pPr>
      <w:r>
        <w:rPr>
          <w:rStyle w:val="FootnoteReference"/>
        </w:rPr>
        <w:footnoteRef/>
      </w:r>
      <w:r>
        <w:t xml:space="preserve"> </w:t>
      </w:r>
      <w:r>
        <w:rPr>
          <w:i/>
        </w:rPr>
        <w:t>See</w:t>
      </w:r>
      <w:r>
        <w:t xml:space="preserve"> FCC File No. </w:t>
      </w:r>
      <w:r w:rsidRPr="0096725C">
        <w:t xml:space="preserve">0008432381 </w:t>
      </w:r>
      <w:r>
        <w:t>(filed Nov. 14, 2018), Request for Rule Waiver (Waiver Request).</w:t>
      </w:r>
    </w:p>
  </w:footnote>
  <w:footnote w:id="4">
    <w:p w:rsidR="00BE11D2" w:rsidP="00BE11D2">
      <w:pPr>
        <w:pStyle w:val="FootnoteText"/>
      </w:pPr>
      <w:r>
        <w:rPr>
          <w:rStyle w:val="FootnoteReference"/>
        </w:rPr>
        <w:footnoteRef/>
      </w:r>
      <w:r>
        <w:t xml:space="preserve"> </w:t>
      </w:r>
      <w:r>
        <w:rPr>
          <w:i/>
        </w:rPr>
        <w:t>See Wireless Telecommunications Bureau Announces Temporary Filing Freeze on the Acceptance of Certain Part 90 Applications for 896-901/935-940 MHz (900 MHz Band) Spectrum</w:t>
      </w:r>
      <w:r>
        <w:t xml:space="preserve">, Public Notice, </w:t>
      </w:r>
      <w:r w:rsidRPr="00964785">
        <w:t xml:space="preserve">33 FCC </w:t>
      </w:r>
      <w:r w:rsidRPr="00964785">
        <w:t>Rcd</w:t>
      </w:r>
      <w:r w:rsidRPr="00964785">
        <w:t xml:space="preserve"> 8735</w:t>
      </w:r>
      <w:r>
        <w:t xml:space="preserve"> (WTB 2018) (</w:t>
      </w:r>
      <w:r>
        <w:rPr>
          <w:i/>
        </w:rPr>
        <w:t>Freeze Public Notice</w:t>
      </w:r>
      <w:r>
        <w:t xml:space="preserve">), </w:t>
      </w:r>
      <w:r>
        <w:rPr>
          <w:i/>
        </w:rPr>
        <w:t>recon. pending</w:t>
      </w:r>
      <w:r>
        <w:t xml:space="preserve">.  </w:t>
      </w:r>
    </w:p>
  </w:footnote>
  <w:footnote w:id="5">
    <w:p w:rsidR="00BE11D2" w:rsidRPr="00B61A75" w:rsidP="00BE11D2">
      <w:pPr>
        <w:pStyle w:val="FootnoteText"/>
      </w:pPr>
      <w:r>
        <w:rPr>
          <w:rStyle w:val="FootnoteReference"/>
        </w:rPr>
        <w:footnoteRef/>
      </w:r>
      <w:r>
        <w:t xml:space="preserve"> Eversource subsequently filed an application for special temporary authority to operate the proposed facility d</w:t>
      </w:r>
      <w:bookmarkStart w:id="1" w:name="_GoBack"/>
      <w:bookmarkEnd w:id="1"/>
      <w:r>
        <w:t xml:space="preserve">uring the pendency of the permanent application and waiver request.  </w:t>
      </w:r>
      <w:r>
        <w:rPr>
          <w:i/>
        </w:rPr>
        <w:t>See</w:t>
      </w:r>
      <w:r>
        <w:t xml:space="preserve"> FCC File No. 0008750737 (filed Aug. 2, 2019), Request for Special Temporary Authority at 1.  Because we are denying the waiver request and dismissing the permanent application, we also will dismiss the special temporary authority application.</w:t>
      </w:r>
    </w:p>
  </w:footnote>
  <w:footnote w:id="6">
    <w:p w:rsidR="00BE11D2" w:rsidP="00BE11D2">
      <w:pPr>
        <w:pStyle w:val="FootnoteText"/>
      </w:pPr>
      <w:r>
        <w:rPr>
          <w:rStyle w:val="FootnoteReference"/>
        </w:rPr>
        <w:footnoteRef/>
      </w:r>
      <w:r>
        <w:t xml:space="preserve"> </w:t>
      </w:r>
      <w:r w:rsidRPr="00AD0FB6">
        <w:t>Waiver Request at 1</w:t>
      </w:r>
      <w:r>
        <w:t>, 3.</w:t>
      </w:r>
    </w:p>
  </w:footnote>
  <w:footnote w:id="7">
    <w:p w:rsidR="00BE11D2" w:rsidP="00BE11D2">
      <w:pPr>
        <w:pStyle w:val="FootnoteText"/>
      </w:pPr>
      <w:r>
        <w:rPr>
          <w:rStyle w:val="FootnoteReference"/>
        </w:rPr>
        <w:footnoteRef/>
      </w:r>
      <w:r>
        <w:t xml:space="preserve"> </w:t>
      </w:r>
      <w:r>
        <w:rPr>
          <w:i/>
        </w:rPr>
        <w:t>Id.</w:t>
      </w:r>
    </w:p>
  </w:footnote>
  <w:footnote w:id="8">
    <w:p w:rsidR="00BE11D2" w:rsidRPr="00A20AE9" w:rsidP="00BE11D2">
      <w:pPr>
        <w:pStyle w:val="FootnoteText"/>
      </w:pPr>
      <w:r>
        <w:rPr>
          <w:rStyle w:val="FootnoteReference"/>
        </w:rPr>
        <w:footnoteRef/>
      </w:r>
      <w:r>
        <w:t xml:space="preserve"> </w:t>
      </w:r>
      <w:r>
        <w:rPr>
          <w:i/>
        </w:rPr>
        <w:t xml:space="preserve">See Freeze Public Notice, </w:t>
      </w:r>
      <w:r>
        <w:t>33 FCC at</w:t>
      </w:r>
      <w:r w:rsidRPr="003427EB">
        <w:t xml:space="preserve"> </w:t>
      </w:r>
      <w:r>
        <w:t xml:space="preserve">8735-36.  </w:t>
      </w:r>
    </w:p>
  </w:footnote>
  <w:footnote w:id="9">
    <w:p w:rsidR="00BE11D2" w:rsidP="00BE11D2">
      <w:pPr>
        <w:pStyle w:val="FootnoteText"/>
      </w:pPr>
      <w:r>
        <w:rPr>
          <w:rStyle w:val="FootnoteReference"/>
        </w:rPr>
        <w:footnoteRef/>
      </w:r>
      <w:r>
        <w:t xml:space="preserve"> </w:t>
      </w:r>
      <w:r>
        <w:rPr>
          <w:i/>
        </w:rPr>
        <w:t>Id.</w:t>
      </w:r>
      <w:r>
        <w:t xml:space="preserve"> at 8735 (citing </w:t>
      </w:r>
      <w:r w:rsidRPr="003427EB">
        <w:rPr>
          <w:i/>
        </w:rPr>
        <w:t>Review of the Commission’s Rules Governing the 896-901/935-940 MHz Band,</w:t>
      </w:r>
      <w:r w:rsidRPr="003D5D5F">
        <w:t xml:space="preserve"> </w:t>
      </w:r>
      <w:r w:rsidRPr="003427EB">
        <w:t>Notice of Inquiry,</w:t>
      </w:r>
      <w:r w:rsidRPr="003D5D5F">
        <w:t xml:space="preserve"> 32 FCC 6421 (2017)</w:t>
      </w:r>
      <w:r>
        <w:t xml:space="preserve">).  </w:t>
      </w:r>
    </w:p>
  </w:footnote>
  <w:footnote w:id="10">
    <w:p w:rsidR="00BE11D2" w:rsidRPr="000A5C45" w:rsidP="00BE11D2">
      <w:pPr>
        <w:pStyle w:val="FootnoteText"/>
      </w:pPr>
      <w:r>
        <w:rPr>
          <w:rStyle w:val="FootnoteReference"/>
        </w:rPr>
        <w:footnoteRef/>
      </w:r>
      <w:r>
        <w:t xml:space="preserve"> </w:t>
      </w:r>
      <w:r>
        <w:rPr>
          <w:i/>
        </w:rPr>
        <w:t>See id.</w:t>
      </w:r>
      <w:r>
        <w:t xml:space="preserve"> at</w:t>
      </w:r>
      <w:r w:rsidRPr="003427EB">
        <w:t xml:space="preserve"> </w:t>
      </w:r>
      <w:r>
        <w:t xml:space="preserve">8736, n.4.  </w:t>
      </w:r>
    </w:p>
  </w:footnote>
  <w:footnote w:id="11">
    <w:p w:rsidR="00BE11D2" w:rsidP="00BE11D2">
      <w:pPr>
        <w:pStyle w:val="FootnoteText"/>
      </w:pPr>
      <w:r>
        <w:rPr>
          <w:rStyle w:val="FootnoteReference"/>
        </w:rPr>
        <w:footnoteRef/>
      </w:r>
      <w:r>
        <w:t xml:space="preserve"> </w:t>
      </w:r>
      <w:r w:rsidRPr="003427EB">
        <w:rPr>
          <w:i/>
        </w:rPr>
        <w:t>See Review of the Commission’s Rules Governing the 896-901/935-940 MHz Band</w:t>
      </w:r>
      <w:r w:rsidRPr="004D55AF">
        <w:t>,</w:t>
      </w:r>
      <w:r w:rsidRPr="003427EB">
        <w:rPr>
          <w:i/>
        </w:rPr>
        <w:t xml:space="preserve"> </w:t>
      </w:r>
      <w:r w:rsidRPr="003427EB">
        <w:t>Notice of Proposed Rulemaking,</w:t>
      </w:r>
      <w:r>
        <w:t xml:space="preserve"> 34 FCC </w:t>
      </w:r>
      <w:r>
        <w:t>Rcd</w:t>
      </w:r>
      <w:r>
        <w:t xml:space="preserve"> 1550 (2019).</w:t>
      </w:r>
    </w:p>
  </w:footnote>
  <w:footnote w:id="12">
    <w:p w:rsidR="00BE11D2" w:rsidP="00BE11D2">
      <w:pPr>
        <w:pStyle w:val="FootnoteText"/>
      </w:pPr>
      <w:r>
        <w:rPr>
          <w:rStyle w:val="FootnoteReference"/>
        </w:rPr>
        <w:footnoteRef/>
      </w:r>
      <w:r>
        <w:t xml:space="preserve"> </w:t>
      </w:r>
      <w:r>
        <w:rPr>
          <w:i/>
        </w:rPr>
        <w:t xml:space="preserve">See </w:t>
      </w:r>
      <w:r>
        <w:t xml:space="preserve">FCC File No. </w:t>
      </w:r>
      <w:r w:rsidRPr="00B15ED6">
        <w:t>000</w:t>
      </w:r>
      <w:r>
        <w:t>1790144.</w:t>
      </w:r>
    </w:p>
  </w:footnote>
  <w:footnote w:id="13">
    <w:p w:rsidR="00BE11D2" w:rsidP="00BE11D2">
      <w:pPr>
        <w:pStyle w:val="FootnoteText"/>
      </w:pPr>
      <w:r>
        <w:rPr>
          <w:rStyle w:val="FootnoteReference"/>
        </w:rPr>
        <w:footnoteRef/>
      </w:r>
      <w:r>
        <w:t xml:space="preserve"> </w:t>
      </w:r>
      <w:r>
        <w:rPr>
          <w:i/>
        </w:rPr>
        <w:t xml:space="preserve">See </w:t>
      </w:r>
      <w:r>
        <w:t xml:space="preserve">FCC File No. </w:t>
      </w:r>
      <w:r w:rsidRPr="00B15ED6">
        <w:t>0003761657</w:t>
      </w:r>
      <w:r>
        <w:t>.</w:t>
      </w:r>
    </w:p>
  </w:footnote>
  <w:footnote w:id="14">
    <w:p w:rsidR="00BE11D2" w:rsidP="00BE11D2">
      <w:pPr>
        <w:pStyle w:val="FootnoteText"/>
      </w:pPr>
      <w:r>
        <w:rPr>
          <w:rStyle w:val="FootnoteReference"/>
        </w:rPr>
        <w:footnoteRef/>
      </w:r>
      <w:r>
        <w:t xml:space="preserve"> </w:t>
      </w:r>
      <w:r>
        <w:rPr>
          <w:i/>
        </w:rPr>
        <w:t xml:space="preserve">See </w:t>
      </w:r>
      <w:r>
        <w:t>Waiver Request at 1.</w:t>
      </w:r>
    </w:p>
  </w:footnote>
  <w:footnote w:id="15">
    <w:p w:rsidR="00BE11D2" w:rsidP="00BE11D2">
      <w:pPr>
        <w:pStyle w:val="FootnoteText"/>
      </w:pPr>
      <w:r>
        <w:rPr>
          <w:rStyle w:val="FootnoteReference"/>
        </w:rPr>
        <w:footnoteRef/>
      </w:r>
      <w:r>
        <w:t xml:space="preserve"> </w:t>
      </w:r>
      <w:r>
        <w:rPr>
          <w:i/>
        </w:rPr>
        <w:t>See id.</w:t>
      </w:r>
      <w:r>
        <w:t xml:space="preserve"> at 1-2.</w:t>
      </w:r>
    </w:p>
  </w:footnote>
  <w:footnote w:id="16">
    <w:p w:rsidR="00BE11D2" w:rsidRPr="00C63228" w:rsidP="00BE11D2">
      <w:pPr>
        <w:pStyle w:val="FootnoteText"/>
      </w:pPr>
      <w:r>
        <w:rPr>
          <w:rStyle w:val="FootnoteReference"/>
        </w:rPr>
        <w:footnoteRef/>
      </w:r>
      <w:r>
        <w:t xml:space="preserve"> </w:t>
      </w:r>
      <w:r>
        <w:rPr>
          <w:i/>
        </w:rPr>
        <w:t xml:space="preserve">See id. </w:t>
      </w:r>
      <w:r>
        <w:t xml:space="preserve">at 2.  </w:t>
      </w:r>
    </w:p>
  </w:footnote>
  <w:footnote w:id="17">
    <w:p w:rsidR="00BE11D2" w:rsidP="00BE11D2">
      <w:pPr>
        <w:pStyle w:val="FootnoteText"/>
        <w:rPr>
          <w:sz w:val="22"/>
          <w:szCs w:val="22"/>
        </w:rPr>
      </w:pPr>
      <w:r>
        <w:rPr>
          <w:rStyle w:val="FootnoteReference"/>
        </w:rPr>
        <w:footnoteRef/>
      </w:r>
      <w:r>
        <w:t xml:space="preserve"> 47 CFR § 1.925(b)(3).</w:t>
      </w:r>
    </w:p>
  </w:footnote>
  <w:footnote w:id="18">
    <w:p w:rsidR="00BE11D2" w:rsidP="00BE11D2">
      <w:pPr>
        <w:pStyle w:val="FootnoteText"/>
      </w:pPr>
      <w:r>
        <w:rPr>
          <w:rStyle w:val="FootnoteReference"/>
        </w:rPr>
        <w:footnoteRef/>
      </w:r>
      <w:r>
        <w:t xml:space="preserve"> </w:t>
      </w:r>
      <w:r>
        <w:rPr>
          <w:i/>
        </w:rPr>
        <w:t xml:space="preserve">See </w:t>
      </w:r>
      <w:r>
        <w:t>Waiver Request at 3.</w:t>
      </w:r>
    </w:p>
  </w:footnote>
  <w:footnote w:id="19">
    <w:p w:rsidR="00BE11D2" w:rsidRPr="008C1C42" w:rsidP="00BE11D2">
      <w:pPr>
        <w:pStyle w:val="FootnoteText"/>
      </w:pPr>
      <w:r>
        <w:rPr>
          <w:rStyle w:val="FootnoteReference"/>
        </w:rPr>
        <w:footnoteRef/>
      </w:r>
      <w:r>
        <w:t xml:space="preserve"> </w:t>
      </w:r>
      <w:r>
        <w:rPr>
          <w:i/>
        </w:rPr>
        <w:t>See Merryville Investments</w:t>
      </w:r>
      <w:r>
        <w:t xml:space="preserve">, Letter Order, 15 FCC </w:t>
      </w:r>
      <w:r>
        <w:t>Rcd</w:t>
      </w:r>
      <w:r>
        <w:t xml:space="preserve"> 4219, 4220-21 (WTB CWD LTAB 2000); </w:t>
      </w:r>
      <w:r>
        <w:rPr>
          <w:i/>
        </w:rPr>
        <w:t xml:space="preserve">cf. </w:t>
      </w:r>
      <w:r>
        <w:rPr>
          <w:i/>
        </w:rPr>
        <w:t>Radiofone</w:t>
      </w:r>
      <w:r>
        <w:rPr>
          <w:i/>
        </w:rPr>
        <w:t>, Inc.</w:t>
      </w:r>
      <w:r>
        <w:t xml:space="preserve">, Order, 15 FCC </w:t>
      </w:r>
      <w:r>
        <w:t>Rcd</w:t>
      </w:r>
      <w:r>
        <w:t xml:space="preserve"> 6854, 6854-44, para. 3 (WTB CWD PRB 1999).</w:t>
      </w:r>
    </w:p>
  </w:footnote>
  <w:footnote w:id="20">
    <w:p w:rsidR="00BE11D2" w:rsidRPr="008727AF" w:rsidP="00BE11D2">
      <w:pPr>
        <w:pStyle w:val="FootnoteText"/>
      </w:pPr>
      <w:r>
        <w:rPr>
          <w:rStyle w:val="FootnoteReference"/>
        </w:rPr>
        <w:footnoteRef/>
      </w:r>
      <w:r>
        <w:t xml:space="preserve"> </w:t>
      </w:r>
      <w:r>
        <w:rPr>
          <w:i/>
        </w:rPr>
        <w:t>See Educational Broadband Corp.</w:t>
      </w:r>
      <w:r>
        <w:t xml:space="preserve">, Memorandum Opinion and Order, 28 FCC </w:t>
      </w:r>
      <w:r>
        <w:t>Rcd</w:t>
      </w:r>
      <w:r>
        <w:t xml:space="preserve"> 15562, 15567, para. 15 (WTB BD 2013); </w:t>
      </w:r>
      <w:r>
        <w:rPr>
          <w:i/>
        </w:rPr>
        <w:t>Nextel Communications, Inc.</w:t>
      </w:r>
      <w:r>
        <w:t xml:space="preserve">, Order, 14 FCC </w:t>
      </w:r>
      <w:r>
        <w:t>Rcd</w:t>
      </w:r>
      <w:r>
        <w:t xml:space="preserve"> 11678, 11693, para. 36. (WTB 1999).</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tab/>
      <w:t>Federal Communications Commission</w:t>
    </w:r>
    <w:r>
      <w:tab/>
    </w:r>
    <w:r w:rsidR="0088301D">
      <w:t>DA 19-</w:t>
    </w:r>
    <w:r w:rsidR="008C435C">
      <w:t>909</w:t>
    </w:r>
  </w:p>
  <w:p w:rsidR="00D25FB5">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2" name="Rectangle 1"/>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1"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D25FB5">
    <w:pPr>
      <w:spacing w:after="389" w:line="100" w:lineRule="exact"/>
      <w:rPr>
        <w:sz w:val="1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D25FB5" w:rsidP="00810B6F">
    <w:pPr>
      <w:pStyle w:val="Header"/>
      <w:rPr>
        <w:b w:val="0"/>
      </w:rPr>
    </w:pPr>
    <w:r>
      <w:rPr>
        <w:noProof/>
      </w:rPr>
      <mc:AlternateContent>
        <mc:Choice Requires="wps">
          <w:drawing>
            <wp:anchor distT="0" distB="0" distL="114300" distR="114300" simplePos="0" relativeHeight="251660288" behindDoc="1" locked="0" layoutInCell="0" allowOverlap="1">
              <wp:simplePos x="0" y="0"/>
              <wp:positionH relativeFrom="margin">
                <wp:posOffset>7620</wp:posOffset>
              </wp:positionH>
              <wp:positionV relativeFrom="paragraph">
                <wp:posOffset>160655</wp:posOffset>
              </wp:positionV>
              <wp:extent cx="5943600" cy="12065"/>
              <wp:effectExtent l="0" t="0" r="0" b="0"/>
              <wp:wrapNone/>
              <wp:docPr id="1" name="Rectangle 3"/>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anchor="t" anchorCtr="0" upright="1"/>
                  </wps:wsp>
                </a:graphicData>
              </a:graphic>
              <wp14:sizeRelH relativeFrom="page">
                <wp14:pctWidth>0</wp14:pctWidth>
              </wp14:sizeRelH>
              <wp14:sizeRelV relativeFrom="page">
                <wp14:pctHeight>0</wp14:pctHeight>
              </wp14:sizeRelV>
            </wp:anchor>
          </w:drawing>
        </mc:Choice>
        <mc:Fallback>
          <w:pict>
            <v:rect id="Rectangle 3" o:spid="_x0000_s2050" style="width:468pt;height:0.95pt;margin-top:12.65pt;margin-left:0.6pt;mso-height-percent:0;mso-height-relative:page;mso-position-horizontal-relative:margin;mso-width-percent:0;mso-width-relative:page;mso-wrap-distance-bottom:0;mso-wrap-distance-left:9pt;mso-wrap-distance-right:9pt;mso-wrap-distance-top:0;mso-wrap-style:square;position:absolute;visibility:visible;v-text-anchor:top;z-index:-251655168" o:allowincell="f" fillcolor="black" stroked="f" strokeweight="0.05pt">
              <w10:wrap anchorx="margin"/>
            </v:rect>
          </w:pict>
        </mc:Fallback>
      </mc:AlternateContent>
    </w:r>
    <w:r>
      <w:tab/>
      <w:t>Federal Communications Commission</w:t>
    </w:r>
    <w:r>
      <w:tab/>
    </w:r>
    <w:r>
      <w:rPr>
        <w:spacing w:val="-2"/>
      </w:rPr>
      <w:t>DA 19-</w:t>
    </w:r>
    <w:r w:rsidR="008C435C">
      <w:rPr>
        <w:spacing w:val="-2"/>
      </w:rPr>
      <w:t>909</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5">
    <w:nsid w:val="61182925"/>
    <w:multiLevelType w:val="singleLevel"/>
    <w:tmpl w:val="D62CF8FE"/>
    <w:lvl w:ilvl="0">
      <w:start w:val="1"/>
      <w:numFmt w:val="decimal"/>
      <w:pStyle w:val="ParaNum"/>
      <w:lvlText w:val="%1."/>
      <w:lvlJc w:val="left"/>
      <w:pPr>
        <w:tabs>
          <w:tab w:val="num" w:pos="1080"/>
        </w:tabs>
        <w:ind w:left="0" w:firstLine="720"/>
      </w:pPr>
      <w:rPr>
        <w:rFonts w:ascii="Times New Roman" w:hAnsi="Times New Roman" w:cs="Times New Roman" w:hint="default"/>
        <w:sz w:val="22"/>
        <w:szCs w:val="22"/>
      </w:rPr>
    </w:lvl>
  </w:abstractNum>
  <w:num w:numId="1">
    <w:abstractNumId w:val="1"/>
  </w:num>
  <w:num w:numId="2">
    <w:abstractNumId w:val="5"/>
  </w:num>
  <w:num w:numId="3">
    <w:abstractNumId w:val="3"/>
  </w:num>
  <w:num w:numId="4">
    <w:abstractNumId w:val="4"/>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attachedTemplate r:id="rId1"/>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11D2"/>
    <w:rsid w:val="00036039"/>
    <w:rsid w:val="00037F90"/>
    <w:rsid w:val="0004525E"/>
    <w:rsid w:val="000875BF"/>
    <w:rsid w:val="00096D8C"/>
    <w:rsid w:val="000A5C45"/>
    <w:rsid w:val="000C0B65"/>
    <w:rsid w:val="000E05FE"/>
    <w:rsid w:val="000E3D42"/>
    <w:rsid w:val="00122BD5"/>
    <w:rsid w:val="00133F79"/>
    <w:rsid w:val="00194A66"/>
    <w:rsid w:val="001D6BCF"/>
    <w:rsid w:val="001E01CA"/>
    <w:rsid w:val="00275CF5"/>
    <w:rsid w:val="0028301F"/>
    <w:rsid w:val="00285017"/>
    <w:rsid w:val="002A2D2E"/>
    <w:rsid w:val="002C00E8"/>
    <w:rsid w:val="002D56DA"/>
    <w:rsid w:val="003427EB"/>
    <w:rsid w:val="00343749"/>
    <w:rsid w:val="003660ED"/>
    <w:rsid w:val="003B0550"/>
    <w:rsid w:val="003B694F"/>
    <w:rsid w:val="003C5209"/>
    <w:rsid w:val="003D5D5F"/>
    <w:rsid w:val="003F171C"/>
    <w:rsid w:val="00412FC5"/>
    <w:rsid w:val="00422276"/>
    <w:rsid w:val="004242F1"/>
    <w:rsid w:val="00445A00"/>
    <w:rsid w:val="00451B0F"/>
    <w:rsid w:val="004C2EE3"/>
    <w:rsid w:val="004D55AF"/>
    <w:rsid w:val="004E4A22"/>
    <w:rsid w:val="00511968"/>
    <w:rsid w:val="0055614C"/>
    <w:rsid w:val="00566D06"/>
    <w:rsid w:val="005E14C2"/>
    <w:rsid w:val="00607BA5"/>
    <w:rsid w:val="0061180A"/>
    <w:rsid w:val="00626EB6"/>
    <w:rsid w:val="00651DA7"/>
    <w:rsid w:val="00655D03"/>
    <w:rsid w:val="00683388"/>
    <w:rsid w:val="00683F84"/>
    <w:rsid w:val="006A6A81"/>
    <w:rsid w:val="006F7393"/>
    <w:rsid w:val="0070224F"/>
    <w:rsid w:val="00706CE8"/>
    <w:rsid w:val="007115F7"/>
    <w:rsid w:val="00725E52"/>
    <w:rsid w:val="00785689"/>
    <w:rsid w:val="0079754B"/>
    <w:rsid w:val="007A1E6D"/>
    <w:rsid w:val="007B0EB2"/>
    <w:rsid w:val="007B6C1B"/>
    <w:rsid w:val="00810B6F"/>
    <w:rsid w:val="00822CE0"/>
    <w:rsid w:val="00841AB1"/>
    <w:rsid w:val="008727AF"/>
    <w:rsid w:val="0088301D"/>
    <w:rsid w:val="008C1C42"/>
    <w:rsid w:val="008C435C"/>
    <w:rsid w:val="008C68F1"/>
    <w:rsid w:val="00921803"/>
    <w:rsid w:val="00926503"/>
    <w:rsid w:val="009618DD"/>
    <w:rsid w:val="00964785"/>
    <w:rsid w:val="0096725C"/>
    <w:rsid w:val="009726D8"/>
    <w:rsid w:val="009D7308"/>
    <w:rsid w:val="009F76DB"/>
    <w:rsid w:val="00A20AE9"/>
    <w:rsid w:val="00A26069"/>
    <w:rsid w:val="00A32C3B"/>
    <w:rsid w:val="00A45F4F"/>
    <w:rsid w:val="00A600A9"/>
    <w:rsid w:val="00AA55B7"/>
    <w:rsid w:val="00AA5B9E"/>
    <w:rsid w:val="00AB2407"/>
    <w:rsid w:val="00AB53DF"/>
    <w:rsid w:val="00AD0FB6"/>
    <w:rsid w:val="00B07E5C"/>
    <w:rsid w:val="00B15ED6"/>
    <w:rsid w:val="00B61A75"/>
    <w:rsid w:val="00B811F7"/>
    <w:rsid w:val="00B828F8"/>
    <w:rsid w:val="00BA031B"/>
    <w:rsid w:val="00BA5DC6"/>
    <w:rsid w:val="00BA6196"/>
    <w:rsid w:val="00BC6D8C"/>
    <w:rsid w:val="00BC7FF9"/>
    <w:rsid w:val="00BE11D2"/>
    <w:rsid w:val="00BF1A31"/>
    <w:rsid w:val="00C23F7C"/>
    <w:rsid w:val="00C34006"/>
    <w:rsid w:val="00C36B4C"/>
    <w:rsid w:val="00C426B1"/>
    <w:rsid w:val="00C63228"/>
    <w:rsid w:val="00C66160"/>
    <w:rsid w:val="00C721AC"/>
    <w:rsid w:val="00C90D6A"/>
    <w:rsid w:val="00CA247E"/>
    <w:rsid w:val="00CA6D21"/>
    <w:rsid w:val="00CC72B6"/>
    <w:rsid w:val="00D0218D"/>
    <w:rsid w:val="00D25FB5"/>
    <w:rsid w:val="00D44223"/>
    <w:rsid w:val="00D77C5E"/>
    <w:rsid w:val="00DA2529"/>
    <w:rsid w:val="00DB130A"/>
    <w:rsid w:val="00DB2EBB"/>
    <w:rsid w:val="00DC10A1"/>
    <w:rsid w:val="00DC655F"/>
    <w:rsid w:val="00DD0B59"/>
    <w:rsid w:val="00DD7EBD"/>
    <w:rsid w:val="00DF62B6"/>
    <w:rsid w:val="00E07225"/>
    <w:rsid w:val="00E167C7"/>
    <w:rsid w:val="00E5409F"/>
    <w:rsid w:val="00ED01E8"/>
    <w:rsid w:val="00EE6488"/>
    <w:rsid w:val="00F021FA"/>
    <w:rsid w:val="00F02E62"/>
    <w:rsid w:val="00F62E97"/>
    <w:rsid w:val="00F64209"/>
    <w:rsid w:val="00F93BF5"/>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5:chartTrackingRefBased/>
  <w15:docId w15:val="{3D638887-D734-43E3-9107-724A3A7CD2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25FB5"/>
    <w:pPr>
      <w:widowControl w:val="0"/>
    </w:pPr>
    <w:rPr>
      <w:snapToGrid w:val="0"/>
      <w:kern w:val="28"/>
      <w:sz w:val="22"/>
    </w:rPr>
  </w:style>
  <w:style w:type="paragraph" w:styleId="Heading1">
    <w:name w:val="heading 1"/>
    <w:basedOn w:val="Normal"/>
    <w:next w:val="ParaNum"/>
    <w:qFormat/>
    <w:rsid w:val="00626EB6"/>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rsid w:val="007A1E6D"/>
    <w:pPr>
      <w:keepNext/>
      <w:numPr>
        <w:ilvl w:val="1"/>
        <w:numId w:val="3"/>
      </w:numPr>
      <w:spacing w:after="120"/>
      <w:outlineLvl w:val="1"/>
    </w:pPr>
    <w:rPr>
      <w:b/>
    </w:rPr>
  </w:style>
  <w:style w:type="paragraph" w:styleId="Heading3">
    <w:name w:val="heading 3"/>
    <w:basedOn w:val="Normal"/>
    <w:next w:val="ParaNum"/>
    <w:qFormat/>
    <w:rsid w:val="00BA6196"/>
    <w:pPr>
      <w:keepNext/>
      <w:numPr>
        <w:ilvl w:val="2"/>
        <w:numId w:val="3"/>
      </w:numPr>
      <w:tabs>
        <w:tab w:val="left" w:pos="2160"/>
      </w:tabs>
      <w:spacing w:after="120"/>
      <w:outlineLvl w:val="2"/>
    </w:pPr>
    <w:rPr>
      <w:b/>
    </w:rPr>
  </w:style>
  <w:style w:type="paragraph" w:styleId="Heading4">
    <w:name w:val="heading 4"/>
    <w:basedOn w:val="Normal"/>
    <w:next w:val="ParaNum"/>
    <w:qFormat/>
    <w:rsid w:val="00C426B1"/>
    <w:pPr>
      <w:keepNext/>
      <w:numPr>
        <w:ilvl w:val="3"/>
        <w:numId w:val="3"/>
      </w:numPr>
      <w:tabs>
        <w:tab w:val="left" w:pos="2880"/>
      </w:tabs>
      <w:spacing w:after="120"/>
      <w:outlineLvl w:val="3"/>
    </w:pPr>
    <w:rPr>
      <w:b/>
    </w:rPr>
  </w:style>
  <w:style w:type="paragraph" w:styleId="Heading5">
    <w:name w:val="heading 5"/>
    <w:basedOn w:val="Normal"/>
    <w:next w:val="ParaNum"/>
    <w:qFormat/>
    <w:rsid w:val="00511968"/>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rsid w:val="00036039"/>
    <w:pPr>
      <w:numPr>
        <w:ilvl w:val="5"/>
        <w:numId w:val="3"/>
      </w:numPr>
      <w:tabs>
        <w:tab w:val="left" w:pos="4320"/>
      </w:tabs>
      <w:spacing w:after="120"/>
      <w:outlineLvl w:val="5"/>
    </w:pPr>
    <w:rPr>
      <w:b/>
    </w:rPr>
  </w:style>
  <w:style w:type="paragraph" w:styleId="Heading7">
    <w:name w:val="heading 7"/>
    <w:basedOn w:val="Normal"/>
    <w:next w:val="ParaNum"/>
    <w:qFormat/>
    <w:rsid w:val="00036039"/>
    <w:pPr>
      <w:numPr>
        <w:ilvl w:val="6"/>
        <w:numId w:val="3"/>
      </w:numPr>
      <w:tabs>
        <w:tab w:val="left" w:pos="5040"/>
      </w:tabs>
      <w:spacing w:after="120"/>
      <w:ind w:left="5040" w:hanging="720"/>
      <w:outlineLvl w:val="6"/>
    </w:pPr>
    <w:rPr>
      <w:b/>
    </w:rPr>
  </w:style>
  <w:style w:type="paragraph" w:styleId="Heading8">
    <w:name w:val="heading 8"/>
    <w:basedOn w:val="Normal"/>
    <w:next w:val="ParaNum"/>
    <w:qFormat/>
    <w:rsid w:val="001E01CA"/>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rsid w:val="001E01CA"/>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link w:val="ParaNumChar"/>
    <w:rsid w:val="00E07225"/>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aliases w:val="Footnote Text Ch,Footnote Text Char Char,Footnote Text Char Char Char Char,Footnote Text Char Char Char Char Char Char,Footnote Text Char1 Char Char,Footnote Text Char1 Char Char Char Char,Footnote Text Char1 Char1 Char,Footnote Text Char2"/>
    <w:link w:val="FootnoteTextChar"/>
    <w:rsid w:val="000E3D42"/>
    <w:pPr>
      <w:spacing w:after="120"/>
    </w:pPr>
  </w:style>
  <w:style w:type="character" w:styleId="FootnoteReference">
    <w:name w:val="footnote reference"/>
    <w:aliases w:val="(NECG) Footnote Reference,Appel note de bas de p,FR,Footnote Reference/,Footnote Reference1,Style 12,Style 124,Style 13,Style 17,Style 3,Style 4,Style 6,Style 7,fr,o"/>
    <w:rsid w:val="00A32C3B"/>
    <w:rPr>
      <w:rFonts w:ascii="Times New Roman" w:hAnsi="Times New Roman"/>
      <w:dstrike w:val="0"/>
      <w:color w:val="auto"/>
      <w:sz w:val="20"/>
      <w:vertAlign w:val="superscript"/>
    </w:rPr>
  </w:style>
  <w:style w:type="paragraph" w:styleId="TOC1">
    <w:name w:val="toc 1"/>
    <w:basedOn w:val="Normal"/>
    <w:next w:val="Normal"/>
    <w:semiHidden/>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b/>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tabs>
        <w:tab w:val="left" w:pos="2160"/>
      </w:tabs>
      <w:spacing w:after="220"/>
      <w:ind w:left="2160" w:hanging="720"/>
    </w:pPr>
  </w:style>
  <w:style w:type="paragraph" w:customStyle="1" w:styleId="TableFormat">
    <w:name w:val="TableFormat"/>
    <w:basedOn w:val="Bullet"/>
    <w:p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rsid w:val="00096D8C"/>
    <w:pPr>
      <w:jc w:val="center"/>
    </w:pPr>
    <w:rPr>
      <w:rFonts w:ascii="Times New Roman Bold" w:hAnsi="Times New Roman Bold"/>
      <w:b/>
      <w:bCs/>
      <w:caps/>
      <w:szCs w:val="22"/>
    </w:rPr>
  </w:style>
  <w:style w:type="character" w:styleId="Hyperlink">
    <w:name w:val="Hyperlink"/>
    <w:rsid w:val="002A2D2E"/>
    <w:rPr>
      <w:color w:val="0000FF"/>
      <w:u w:val="single"/>
    </w:rPr>
  </w:style>
  <w:style w:type="character" w:customStyle="1" w:styleId="FooterChar">
    <w:name w:val="Footer Char"/>
    <w:link w:val="Footer"/>
    <w:uiPriority w:val="99"/>
    <w:rsid w:val="009D7308"/>
    <w:rPr>
      <w:snapToGrid w:val="0"/>
      <w:kern w:val="28"/>
      <w:sz w:val="22"/>
    </w:rPr>
  </w:style>
  <w:style w:type="character" w:customStyle="1" w:styleId="FootnoteTextChar">
    <w:name w:val="Footnote Text Char"/>
    <w:aliases w:val="Footnote Text Char Char Char,Footnote Text Char Char Char Char Char,Footnote Text Char Char Char Char Char Char Char,Footnote Text Char1 Char Char Char,Footnote Text Char1 Char Char Char Char Char,Footnote Text Char2 Char"/>
    <w:link w:val="FootnoteText"/>
    <w:rsid w:val="00BE11D2"/>
  </w:style>
  <w:style w:type="character" w:customStyle="1" w:styleId="normaltextfont">
    <w:name w:val="normaltextfont"/>
    <w:rsid w:val="00BE11D2"/>
    <w:rPr>
      <w:rFonts w:ascii="Verdana" w:hAnsi="Verdana"/>
      <w:sz w:val="19"/>
      <w:szCs w:val="19"/>
    </w:rPr>
  </w:style>
  <w:style w:type="character" w:customStyle="1" w:styleId="ParaNumChar">
    <w:name w:val="ParaNum Char"/>
    <w:link w:val="ParaNum"/>
    <w:rsid w:val="00BE11D2"/>
    <w:rPr>
      <w:snapToGrid w:val="0"/>
      <w:kern w:val="28"/>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footer" Target="footer2.xml" /><Relationship Id="rId8" Type="http://schemas.openxmlformats.org/officeDocument/2006/relationships/header" Target="header2.xml" /><Relationship Id="rId9" Type="http://schemas.openxmlformats.org/officeDocument/2006/relationships/footer" Target="footer3.xml" /></Relationships>
</file>

<file path=word/_rels/settings.xml.rels>&#65279;<?xml version="1.0" encoding="utf-8" standalone="yes"?><Relationships xmlns="http://schemas.openxmlformats.org/package/2006/relationships"><Relationship Id="rId1" Type="http://schemas.openxmlformats.org/officeDocument/2006/relationships/attachedTemplate" Target="file:///M:\forms\OS%20Process\Orders%20TOC%20by%20Paragraph.do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Orders TOC by Paragraph</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