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481CE1" w:rsidP="00CE7333" w14:paraId="63E1B077" w14:textId="7D2D5F6E">
      <w:pPr>
        <w:jc w:val="right"/>
        <w:rPr>
          <w:sz w:val="24"/>
        </w:rPr>
      </w:pPr>
      <w:bookmarkStart w:id="0" w:name="TOChere"/>
      <w:r w:rsidRPr="0036169A">
        <w:rPr>
          <w:sz w:val="24"/>
        </w:rPr>
        <w:t>DA 1</w:t>
      </w:r>
      <w:r w:rsidR="00553602">
        <w:rPr>
          <w:sz w:val="24"/>
        </w:rPr>
        <w:t>9</w:t>
      </w:r>
      <w:r w:rsidRPr="0036169A">
        <w:rPr>
          <w:sz w:val="24"/>
        </w:rPr>
        <w:t>-</w:t>
      </w:r>
      <w:r w:rsidR="00AB65AD">
        <w:rPr>
          <w:sz w:val="24"/>
        </w:rPr>
        <w:t>90</w:t>
      </w:r>
    </w:p>
    <w:p w:rsidR="00481CE1" w:rsidP="00CE7333" w14:paraId="643BB014" w14:textId="7EF4925F">
      <w:pPr>
        <w:jc w:val="right"/>
        <w:rPr>
          <w:sz w:val="24"/>
        </w:rPr>
      </w:pPr>
      <w:r>
        <w:rPr>
          <w:sz w:val="24"/>
        </w:rPr>
        <w:t>February</w:t>
      </w:r>
      <w:r w:rsidR="00D618B0">
        <w:rPr>
          <w:sz w:val="24"/>
        </w:rPr>
        <w:t xml:space="preserve"> </w:t>
      </w:r>
      <w:r w:rsidR="00890954">
        <w:rPr>
          <w:sz w:val="24"/>
        </w:rPr>
        <w:t>15</w:t>
      </w:r>
      <w:r>
        <w:rPr>
          <w:sz w:val="24"/>
        </w:rPr>
        <w:t>, 201</w:t>
      </w:r>
      <w:r>
        <w:rPr>
          <w:sz w:val="24"/>
        </w:rPr>
        <w:t>9</w:t>
      </w:r>
    </w:p>
    <w:p w:rsidR="00481CE1" w:rsidRPr="000D5B68" w:rsidP="00CE7333" w14:paraId="60DEC9DA" w14:textId="5D59E7DC">
      <w:pPr>
        <w:jc w:val="right"/>
        <w:rPr>
          <w:b/>
          <w:sz w:val="24"/>
        </w:rPr>
      </w:pPr>
      <w:r>
        <w:rPr>
          <w:b/>
          <w:sz w:val="24"/>
        </w:rPr>
        <w:t xml:space="preserve">Enforcement Advisory No. </w:t>
      </w:r>
      <w:r w:rsidRPr="0036169A">
        <w:rPr>
          <w:b/>
          <w:sz w:val="24"/>
        </w:rPr>
        <w:t>201</w:t>
      </w:r>
      <w:r w:rsidR="00553602">
        <w:rPr>
          <w:b/>
          <w:sz w:val="24"/>
        </w:rPr>
        <w:t>9</w:t>
      </w:r>
      <w:r w:rsidRPr="0036169A">
        <w:rPr>
          <w:b/>
          <w:sz w:val="24"/>
        </w:rPr>
        <w:t>-</w:t>
      </w:r>
      <w:r w:rsidR="00AB65AD">
        <w:rPr>
          <w:b/>
          <w:sz w:val="24"/>
        </w:rPr>
        <w:t>02</w:t>
      </w:r>
    </w:p>
    <w:p w:rsidR="00481CE1" w:rsidP="00481CE1" w14:paraId="5DF2A130" w14:textId="77777777">
      <w:pPr>
        <w:jc w:val="right"/>
        <w:rPr>
          <w:sz w:val="24"/>
        </w:rPr>
      </w:pPr>
    </w:p>
    <w:p w:rsidR="00481CE1" w:rsidP="00481CE1" w14:paraId="401E84FB" w14:textId="77777777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328930</wp:posOffset>
                </wp:positionH>
                <wp:positionV relativeFrom="page">
                  <wp:posOffset>2798445</wp:posOffset>
                </wp:positionV>
                <wp:extent cx="5270500" cy="504825"/>
                <wp:effectExtent l="19050" t="19050" r="25400" b="47625"/>
                <wp:wrapNone/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270500" cy="504825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81CE1" w:rsidP="00481CE1" w14:textId="77777777">
                            <w:pPr>
                              <w:spacing w:before="60"/>
                              <w:jc w:val="center"/>
                              <w:rPr>
                                <w:rFonts w:ascii="Gill Sans MT" w:hAnsi="Gill Sans MT"/>
                                <w:b/>
                                <w:color w:val="FEFFFE"/>
                                <w:sz w:val="4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EFFFE"/>
                                <w:sz w:val="44"/>
                              </w:rPr>
                              <w:t>FCC ENFORCEMENT ADVISORY</w:t>
                            </w:r>
                          </w:p>
                          <w:p w:rsidR="00481CE1" w:rsidP="00481CE1" w14:textId="77777777">
                            <w:pPr>
                              <w:rPr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5" style="width:415pt;height:39.75pt;margin-top:220.35pt;margin-left:25.9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fillcolor="#17365d" strokecolor="red" strokeweight="3pt">
                <v:stroke joinstyle="round"/>
                <v:shadow on="t" color="#622423" opacity="0.5" offset="1pt"/>
                <v:path arrowok="t"/>
                <v:textbox inset="3pt,3pt,3pt,3pt">
                  <w:txbxContent>
                    <w:p w:rsidR="00481CE1" w:rsidP="00481CE1" w14:paraId="4B32AC73" w14:textId="77777777">
                      <w:pPr>
                        <w:spacing w:before="60"/>
                        <w:jc w:val="center"/>
                        <w:rPr>
                          <w:rFonts w:ascii="Gill Sans MT" w:hAnsi="Gill Sans MT"/>
                          <w:b/>
                          <w:color w:val="FEFFFE"/>
                          <w:sz w:val="44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EFFFE"/>
                          <w:sz w:val="44"/>
                        </w:rPr>
                        <w:t>FCC ENFORCEMENT ADVISORY</w:t>
                      </w:r>
                    </w:p>
                    <w:p w:rsidR="00481CE1" w:rsidP="00481CE1" w14:paraId="720EA22C" w14:textId="77777777">
                      <w:pPr>
                        <w:rPr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81CE1" w:rsidP="00481CE1" w14:paraId="6DE06327" w14:textId="77777777">
      <w:pPr>
        <w:jc w:val="right"/>
        <w:rPr>
          <w:sz w:val="24"/>
        </w:rPr>
      </w:pPr>
    </w:p>
    <w:p w:rsidR="00481CE1" w:rsidP="00481CE1" w14:paraId="5448C46E" w14:textId="77777777">
      <w:pPr>
        <w:jc w:val="right"/>
        <w:rPr>
          <w:sz w:val="24"/>
        </w:rPr>
      </w:pPr>
    </w:p>
    <w:p w:rsidR="00CE7333" w:rsidP="00DF6D9A" w14:paraId="06A49425" w14:textId="77777777">
      <w:pPr>
        <w:spacing w:after="120"/>
        <w:jc w:val="center"/>
        <w:rPr>
          <w:b/>
          <w:sz w:val="32"/>
          <w:szCs w:val="32"/>
        </w:rPr>
      </w:pPr>
    </w:p>
    <w:p w:rsidR="00481CE1" w:rsidP="00DF6D9A" w14:paraId="72D3FD4B" w14:textId="18981072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LED SIGN</w:t>
      </w:r>
      <w:r w:rsidR="002B7EBF">
        <w:rPr>
          <w:b/>
          <w:sz w:val="32"/>
          <w:szCs w:val="32"/>
        </w:rPr>
        <w:t xml:space="preserve"> MARKETERS </w:t>
      </w:r>
      <w:r w:rsidR="00CC0E5A">
        <w:rPr>
          <w:b/>
          <w:sz w:val="32"/>
          <w:szCs w:val="32"/>
        </w:rPr>
        <w:t xml:space="preserve">MUST COMPLY WITH </w:t>
      </w:r>
      <w:r w:rsidR="00F74EEA">
        <w:rPr>
          <w:b/>
          <w:sz w:val="32"/>
          <w:szCs w:val="32"/>
        </w:rPr>
        <w:t>FCC</w:t>
      </w:r>
      <w:r w:rsidR="00CC0E5A">
        <w:rPr>
          <w:b/>
          <w:sz w:val="32"/>
          <w:szCs w:val="32"/>
        </w:rPr>
        <w:t xml:space="preserve"> RULES</w:t>
      </w:r>
    </w:p>
    <w:p w:rsidR="0034571D" w:rsidP="00481CE1" w14:paraId="49A92CBE" w14:textId="66CC8F96">
      <w:pPr>
        <w:spacing w:after="120"/>
        <w:rPr>
          <w:szCs w:val="22"/>
        </w:rPr>
      </w:pPr>
      <w:r>
        <w:rPr>
          <w:szCs w:val="22"/>
        </w:rPr>
        <w:t xml:space="preserve">The </w:t>
      </w:r>
      <w:r w:rsidRPr="006B3C48">
        <w:rPr>
          <w:szCs w:val="22"/>
        </w:rPr>
        <w:t>Enforcement Bureau</w:t>
      </w:r>
      <w:r>
        <w:rPr>
          <w:szCs w:val="22"/>
        </w:rPr>
        <w:t xml:space="preserve"> </w:t>
      </w:r>
      <w:r w:rsidRPr="006B3C48">
        <w:rPr>
          <w:szCs w:val="22"/>
        </w:rPr>
        <w:t xml:space="preserve">(Bureau) of the Federal Communications Commission (FCC) </w:t>
      </w:r>
      <w:r>
        <w:rPr>
          <w:szCs w:val="22"/>
        </w:rPr>
        <w:t xml:space="preserve">has observed a growing number of companies that </w:t>
      </w:r>
      <w:r w:rsidR="00C57B53">
        <w:rPr>
          <w:szCs w:val="22"/>
        </w:rPr>
        <w:t>market</w:t>
      </w:r>
      <w:r>
        <w:rPr>
          <w:szCs w:val="22"/>
        </w:rPr>
        <w:t xml:space="preserve"> noncompliant light-emitting diode signs (LED signs) in violation of </w:t>
      </w:r>
      <w:r w:rsidR="0091131E">
        <w:rPr>
          <w:szCs w:val="22"/>
        </w:rPr>
        <w:t xml:space="preserve">the </w:t>
      </w:r>
      <w:r>
        <w:rPr>
          <w:szCs w:val="22"/>
        </w:rPr>
        <w:t>FCC</w:t>
      </w:r>
      <w:r w:rsidR="00F468E9">
        <w:rPr>
          <w:szCs w:val="22"/>
        </w:rPr>
        <w:t>’s</w:t>
      </w:r>
      <w:r>
        <w:rPr>
          <w:szCs w:val="22"/>
        </w:rPr>
        <w:t xml:space="preserve"> rules.  We issue this Advisory to remind </w:t>
      </w:r>
      <w:r w:rsidR="00AC400A">
        <w:rPr>
          <w:szCs w:val="22"/>
        </w:rPr>
        <w:t>any entity or person marketing</w:t>
      </w:r>
      <w:r w:rsidR="009E2DEE">
        <w:rPr>
          <w:szCs w:val="22"/>
        </w:rPr>
        <w:t xml:space="preserve"> </w:t>
      </w:r>
      <w:r w:rsidR="00C81DF3">
        <w:rPr>
          <w:szCs w:val="22"/>
        </w:rPr>
        <w:t>LED signs</w:t>
      </w:r>
      <w:r w:rsidR="003B4975">
        <w:rPr>
          <w:szCs w:val="22"/>
        </w:rPr>
        <w:t xml:space="preserve"> </w:t>
      </w:r>
      <w:r w:rsidR="000B3700">
        <w:rPr>
          <w:szCs w:val="22"/>
        </w:rPr>
        <w:t>that the signs</w:t>
      </w:r>
      <w:r w:rsidR="00092529">
        <w:rPr>
          <w:szCs w:val="22"/>
        </w:rPr>
        <w:t>’ panels</w:t>
      </w:r>
      <w:r w:rsidR="009F5CFB">
        <w:rPr>
          <w:szCs w:val="22"/>
        </w:rPr>
        <w:t xml:space="preserve"> </w:t>
      </w:r>
      <w:r w:rsidR="003B4975">
        <w:rPr>
          <w:szCs w:val="22"/>
        </w:rPr>
        <w:t xml:space="preserve">must be </w:t>
      </w:r>
      <w:r>
        <w:rPr>
          <w:szCs w:val="22"/>
        </w:rPr>
        <w:t>properly authorized, labeled, and furnished with the proper user information disclosures</w:t>
      </w:r>
      <w:r w:rsidR="005D3AC8">
        <w:rPr>
          <w:szCs w:val="22"/>
        </w:rPr>
        <w:t xml:space="preserve"> before </w:t>
      </w:r>
      <w:r w:rsidR="00092529">
        <w:rPr>
          <w:szCs w:val="22"/>
        </w:rPr>
        <w:t>the signs a</w:t>
      </w:r>
      <w:r w:rsidR="008A2C0B">
        <w:rPr>
          <w:szCs w:val="22"/>
        </w:rPr>
        <w:t xml:space="preserve">re </w:t>
      </w:r>
      <w:r w:rsidR="005D3AC8">
        <w:rPr>
          <w:szCs w:val="22"/>
        </w:rPr>
        <w:t>marketed in the U</w:t>
      </w:r>
      <w:r w:rsidR="00B84F36">
        <w:rPr>
          <w:szCs w:val="22"/>
        </w:rPr>
        <w:t xml:space="preserve">nited </w:t>
      </w:r>
      <w:r w:rsidR="005D3AC8">
        <w:rPr>
          <w:szCs w:val="22"/>
        </w:rPr>
        <w:t>S</w:t>
      </w:r>
      <w:r w:rsidR="00B84F36">
        <w:rPr>
          <w:szCs w:val="22"/>
        </w:rPr>
        <w:t>tates</w:t>
      </w:r>
      <w:r w:rsidR="005D3AC8">
        <w:rPr>
          <w:szCs w:val="22"/>
        </w:rPr>
        <w:t>.</w:t>
      </w:r>
      <w:r w:rsidR="00625735">
        <w:rPr>
          <w:szCs w:val="22"/>
        </w:rPr>
        <w:t xml:space="preserve">  </w:t>
      </w:r>
      <w:r w:rsidRPr="00D00BBF" w:rsidR="00625735">
        <w:rPr>
          <w:szCs w:val="22"/>
        </w:rPr>
        <w:t xml:space="preserve">Under </w:t>
      </w:r>
      <w:r w:rsidRPr="00D00BBF" w:rsidR="005D3AC8">
        <w:rPr>
          <w:szCs w:val="22"/>
        </w:rPr>
        <w:t>the FCC’s rules</w:t>
      </w:r>
      <w:r w:rsidRPr="00D00BBF" w:rsidR="002F5149">
        <w:rPr>
          <w:szCs w:val="22"/>
        </w:rPr>
        <w:t>,</w:t>
      </w:r>
      <w:r w:rsidRPr="00D00BBF" w:rsidR="005D3AC8">
        <w:rPr>
          <w:szCs w:val="22"/>
        </w:rPr>
        <w:t xml:space="preserve"> </w:t>
      </w:r>
      <w:r w:rsidRPr="00D00BBF" w:rsidR="00625735">
        <w:rPr>
          <w:szCs w:val="22"/>
        </w:rPr>
        <w:t>“marketing”</w:t>
      </w:r>
      <w:r w:rsidRPr="00D00BBF" w:rsidR="005D3AC8">
        <w:t xml:space="preserve"> is </w:t>
      </w:r>
      <w:r w:rsidRPr="00D00BBF" w:rsidR="002F5149">
        <w:t>b</w:t>
      </w:r>
      <w:r w:rsidRPr="00D00BBF" w:rsidR="005D3AC8">
        <w:t>roadly</w:t>
      </w:r>
      <w:r w:rsidRPr="00D00BBF" w:rsidR="002F5149">
        <w:t xml:space="preserve"> defined </w:t>
      </w:r>
      <w:r w:rsidRPr="00D00BBF" w:rsidR="003F17E5">
        <w:t>and includes importation, advertising,</w:t>
      </w:r>
      <w:r w:rsidRPr="00D00BBF" w:rsidR="00F54273">
        <w:t xml:space="preserve"> </w:t>
      </w:r>
      <w:r w:rsidRPr="00D00BBF" w:rsidR="003F17E5">
        <w:t>selling</w:t>
      </w:r>
      <w:r w:rsidRPr="00D00BBF" w:rsidR="00F54273">
        <w:t>, or leasing.</w:t>
      </w:r>
      <w:r>
        <w:rPr>
          <w:rStyle w:val="FootnoteReference"/>
          <w:szCs w:val="22"/>
        </w:rPr>
        <w:footnoteReference w:id="3"/>
      </w:r>
      <w:r>
        <w:rPr>
          <w:szCs w:val="22"/>
        </w:rPr>
        <w:t xml:space="preserve">  Violators may be subject to substantial monetary penaltie</w:t>
      </w:r>
      <w:r w:rsidR="006D6CD4">
        <w:rPr>
          <w:szCs w:val="22"/>
        </w:rPr>
        <w:t>s</w:t>
      </w:r>
      <w:r w:rsidR="00A15C88">
        <w:rPr>
          <w:szCs w:val="22"/>
        </w:rPr>
        <w:t xml:space="preserve"> that </w:t>
      </w:r>
      <w:r w:rsidR="006A5226">
        <w:rPr>
          <w:szCs w:val="22"/>
        </w:rPr>
        <w:t>could</w:t>
      </w:r>
      <w:r w:rsidR="00A15C88">
        <w:rPr>
          <w:szCs w:val="22"/>
        </w:rPr>
        <w:t xml:space="preserve"> total more than $150,000 per violation</w:t>
      </w:r>
      <w:r>
        <w:rPr>
          <w:szCs w:val="22"/>
        </w:rPr>
        <w:t>.</w:t>
      </w:r>
    </w:p>
    <w:p w:rsidR="00C57B53" w:rsidRPr="00043B04" w:rsidP="00C57B53" w14:paraId="7A2650A8" w14:textId="77777777">
      <w:pPr>
        <w:keepNext/>
        <w:keepLines/>
        <w:widowControl/>
        <w:spacing w:after="120"/>
        <w:rPr>
          <w:b/>
          <w:color w:val="000000" w:themeColor="text1"/>
          <w:szCs w:val="22"/>
        </w:rPr>
      </w:pPr>
      <w:r w:rsidRPr="00043B04">
        <w:rPr>
          <w:b/>
          <w:color w:val="000000" w:themeColor="text1"/>
          <w:szCs w:val="22"/>
        </w:rPr>
        <w:t xml:space="preserve">What Should You Do?  </w:t>
      </w:r>
    </w:p>
    <w:p w:rsidR="00C57B53" w:rsidP="00C57B53" w14:paraId="2AF142DB" w14:textId="7D66886F">
      <w:pPr>
        <w:keepNext/>
        <w:keepLines/>
        <w:widowControl/>
      </w:pPr>
      <w:r>
        <w:rPr>
          <w:szCs w:val="22"/>
        </w:rPr>
        <w:t>With limited exceptions, b</w:t>
      </w:r>
      <w:r w:rsidRPr="00C56363">
        <w:rPr>
          <w:szCs w:val="22"/>
        </w:rPr>
        <w:t>efore an</w:t>
      </w:r>
      <w:r>
        <w:rPr>
          <w:szCs w:val="22"/>
        </w:rPr>
        <w:t>y</w:t>
      </w:r>
      <w:r w:rsidRPr="00C56363">
        <w:rPr>
          <w:szCs w:val="22"/>
        </w:rPr>
        <w:t xml:space="preserve"> </w:t>
      </w:r>
      <w:r>
        <w:rPr>
          <w:szCs w:val="22"/>
        </w:rPr>
        <w:t>LED sign</w:t>
      </w:r>
      <w:r w:rsidRPr="00C56363">
        <w:rPr>
          <w:szCs w:val="22"/>
        </w:rPr>
        <w:t xml:space="preserve"> is marketed in the United States, it</w:t>
      </w:r>
      <w:r w:rsidR="00340703">
        <w:rPr>
          <w:szCs w:val="22"/>
        </w:rPr>
        <w:t>s panels</w:t>
      </w:r>
      <w:r w:rsidRPr="00C56363">
        <w:rPr>
          <w:szCs w:val="22"/>
        </w:rPr>
        <w:t xml:space="preserve"> must be properly authorized under the </w:t>
      </w:r>
      <w:r>
        <w:rPr>
          <w:szCs w:val="22"/>
        </w:rPr>
        <w:t>S</w:t>
      </w:r>
      <w:r w:rsidR="009A073E">
        <w:rPr>
          <w:szCs w:val="22"/>
        </w:rPr>
        <w:t xml:space="preserve">upplier’s </w:t>
      </w:r>
      <w:r>
        <w:rPr>
          <w:szCs w:val="22"/>
        </w:rPr>
        <w:t>D</w:t>
      </w:r>
      <w:r w:rsidR="009A073E">
        <w:rPr>
          <w:szCs w:val="22"/>
        </w:rPr>
        <w:t xml:space="preserve">eclaration </w:t>
      </w:r>
      <w:r>
        <w:rPr>
          <w:szCs w:val="22"/>
        </w:rPr>
        <w:t>o</w:t>
      </w:r>
      <w:r w:rsidR="009A073E">
        <w:rPr>
          <w:szCs w:val="22"/>
        </w:rPr>
        <w:t xml:space="preserve">f </w:t>
      </w:r>
      <w:r>
        <w:rPr>
          <w:szCs w:val="22"/>
        </w:rPr>
        <w:t>C</w:t>
      </w:r>
      <w:r w:rsidR="009A073E">
        <w:rPr>
          <w:szCs w:val="22"/>
        </w:rPr>
        <w:t>onformity (SDoC)</w:t>
      </w:r>
      <w:r>
        <w:rPr>
          <w:szCs w:val="22"/>
        </w:rPr>
        <w:t xml:space="preserve"> </w:t>
      </w:r>
      <w:r w:rsidR="004F6870">
        <w:rPr>
          <w:szCs w:val="22"/>
        </w:rPr>
        <w:t xml:space="preserve">procedures </w:t>
      </w:r>
      <w:r>
        <w:rPr>
          <w:szCs w:val="22"/>
        </w:rPr>
        <w:t>or</w:t>
      </w:r>
      <w:r w:rsidR="004F6870">
        <w:rPr>
          <w:szCs w:val="22"/>
        </w:rPr>
        <w:t xml:space="preserve">, alternatively, under the </w:t>
      </w:r>
      <w:r>
        <w:rPr>
          <w:szCs w:val="22"/>
        </w:rPr>
        <w:t>Certification procedures</w:t>
      </w:r>
      <w:r w:rsidRPr="00C56363">
        <w:rPr>
          <w:szCs w:val="22"/>
        </w:rPr>
        <w:t>.</w:t>
      </w:r>
      <w:r>
        <w:rPr>
          <w:rStyle w:val="FootnoteReference"/>
          <w:szCs w:val="22"/>
        </w:rPr>
        <w:footnoteReference w:id="4"/>
      </w:r>
      <w:r w:rsidRPr="00C56363">
        <w:rPr>
          <w:szCs w:val="22"/>
        </w:rPr>
        <w:t xml:space="preserve">  FCC compliance requirements include:</w:t>
      </w:r>
      <w:r w:rsidRPr="00420B86">
        <w:rPr>
          <w:szCs w:val="22"/>
        </w:rPr>
        <w:t xml:space="preserve"> </w:t>
      </w:r>
    </w:p>
    <w:p w:rsidR="00C57B53" w:rsidP="00C57B53" w14:paraId="049E8EEC" w14:textId="77777777"/>
    <w:p w:rsidR="00C57B53" w:rsidP="00C57B53" w14:paraId="51DDB286" w14:textId="208119CD">
      <w:pPr>
        <w:pStyle w:val="ListParagraph"/>
        <w:numPr>
          <w:ilvl w:val="0"/>
          <w:numId w:val="7"/>
        </w:numPr>
        <w:spacing w:after="120"/>
      </w:pPr>
      <w:r>
        <w:t xml:space="preserve">Testing of each </w:t>
      </w:r>
      <w:r w:rsidR="00197BE0">
        <w:t xml:space="preserve">panel </w:t>
      </w:r>
      <w:r w:rsidR="00340703">
        <w:t>t</w:t>
      </w:r>
      <w:r w:rsidRPr="007C035A">
        <w:t xml:space="preserve">o </w:t>
      </w:r>
      <w:r>
        <w:t>determine compliance with</w:t>
      </w:r>
      <w:r w:rsidRPr="007C035A">
        <w:t xml:space="preserve"> </w:t>
      </w:r>
      <w:r>
        <w:t xml:space="preserve">the applicable </w:t>
      </w:r>
      <w:r w:rsidRPr="007C035A">
        <w:t xml:space="preserve">FCC technical </w:t>
      </w:r>
      <w:r>
        <w:t>rules;</w:t>
      </w:r>
      <w:r>
        <w:rPr>
          <w:rStyle w:val="FootnoteReference"/>
        </w:rPr>
        <w:footnoteReference w:id="5"/>
      </w:r>
    </w:p>
    <w:p w:rsidR="00C57B53" w:rsidP="00C57B53" w14:paraId="4116A0C3" w14:textId="683A757B">
      <w:pPr>
        <w:pStyle w:val="ListParagraph"/>
        <w:numPr>
          <w:ilvl w:val="0"/>
          <w:numId w:val="7"/>
        </w:numPr>
        <w:spacing w:after="120"/>
        <w:rPr>
          <w:szCs w:val="22"/>
        </w:rPr>
      </w:pPr>
      <w:r>
        <w:rPr>
          <w:szCs w:val="22"/>
        </w:rPr>
        <w:t>E</w:t>
      </w:r>
      <w:r w:rsidRPr="007C035A">
        <w:rPr>
          <w:szCs w:val="22"/>
        </w:rPr>
        <w:t>nsur</w:t>
      </w:r>
      <w:r>
        <w:rPr>
          <w:szCs w:val="22"/>
        </w:rPr>
        <w:t>ing</w:t>
      </w:r>
      <w:r w:rsidRPr="007C035A">
        <w:rPr>
          <w:szCs w:val="22"/>
        </w:rPr>
        <w:t xml:space="preserve"> that</w:t>
      </w:r>
      <w:r>
        <w:rPr>
          <w:szCs w:val="22"/>
        </w:rPr>
        <w:t>,</w:t>
      </w:r>
      <w:r w:rsidRPr="007C035A">
        <w:rPr>
          <w:szCs w:val="22"/>
        </w:rPr>
        <w:t xml:space="preserve"> </w:t>
      </w:r>
      <w:r>
        <w:rPr>
          <w:szCs w:val="22"/>
        </w:rPr>
        <w:t>when marketed</w:t>
      </w:r>
      <w:r w:rsidRPr="007C035A">
        <w:rPr>
          <w:szCs w:val="22"/>
        </w:rPr>
        <w:t xml:space="preserve">, each </w:t>
      </w:r>
      <w:r w:rsidR="00197BE0">
        <w:rPr>
          <w:szCs w:val="22"/>
        </w:rPr>
        <w:t xml:space="preserve">panel </w:t>
      </w:r>
      <w:r>
        <w:rPr>
          <w:szCs w:val="22"/>
        </w:rPr>
        <w:t xml:space="preserve">also </w:t>
      </w:r>
      <w:r w:rsidRPr="007C035A">
        <w:rPr>
          <w:szCs w:val="22"/>
        </w:rPr>
        <w:t xml:space="preserve">complies with all applicable labeling and </w:t>
      </w:r>
      <w:r>
        <w:rPr>
          <w:szCs w:val="22"/>
        </w:rPr>
        <w:t xml:space="preserve">other </w:t>
      </w:r>
      <w:r w:rsidRPr="007C035A">
        <w:rPr>
          <w:szCs w:val="22"/>
        </w:rPr>
        <w:t>administrative requirements</w:t>
      </w:r>
      <w:r>
        <w:rPr>
          <w:szCs w:val="22"/>
        </w:rPr>
        <w:t>;</w:t>
      </w:r>
      <w:r>
        <w:rPr>
          <w:rStyle w:val="FootnoteReference"/>
          <w:szCs w:val="22"/>
        </w:rPr>
        <w:footnoteReference w:id="6"/>
      </w:r>
      <w:r w:rsidRPr="007C035A">
        <w:rPr>
          <w:szCs w:val="22"/>
        </w:rPr>
        <w:t xml:space="preserve"> </w:t>
      </w:r>
    </w:p>
    <w:p w:rsidR="00C57B53" w:rsidP="00890954" w14:paraId="65A8FE45" w14:textId="25B9E134">
      <w:pPr>
        <w:pStyle w:val="ListParagraph"/>
        <w:numPr>
          <w:ilvl w:val="0"/>
          <w:numId w:val="7"/>
        </w:numPr>
        <w:spacing w:after="120"/>
        <w:rPr>
          <w:szCs w:val="22"/>
        </w:rPr>
      </w:pPr>
      <w:r>
        <w:rPr>
          <w:szCs w:val="22"/>
        </w:rPr>
        <w:t>R</w:t>
      </w:r>
      <w:r w:rsidRPr="007C035A">
        <w:rPr>
          <w:szCs w:val="22"/>
        </w:rPr>
        <w:t>etai</w:t>
      </w:r>
      <w:r>
        <w:rPr>
          <w:szCs w:val="22"/>
        </w:rPr>
        <w:t>ning</w:t>
      </w:r>
      <w:r w:rsidRPr="007C035A">
        <w:rPr>
          <w:szCs w:val="22"/>
        </w:rPr>
        <w:t xml:space="preserve"> </w:t>
      </w:r>
      <w:r>
        <w:rPr>
          <w:szCs w:val="22"/>
        </w:rPr>
        <w:t>all</w:t>
      </w:r>
      <w:r w:rsidRPr="007C035A">
        <w:rPr>
          <w:szCs w:val="22"/>
        </w:rPr>
        <w:t xml:space="preserve"> re</w:t>
      </w:r>
      <w:r>
        <w:rPr>
          <w:szCs w:val="22"/>
        </w:rPr>
        <w:t>quired re</w:t>
      </w:r>
      <w:r w:rsidRPr="007C035A">
        <w:rPr>
          <w:szCs w:val="22"/>
        </w:rPr>
        <w:t xml:space="preserve">cords that demonstrate compliance with the applicable </w:t>
      </w:r>
      <w:r w:rsidR="009A073E">
        <w:rPr>
          <w:szCs w:val="22"/>
        </w:rPr>
        <w:t>rules</w:t>
      </w:r>
      <w:r w:rsidR="00625386">
        <w:rPr>
          <w:szCs w:val="22"/>
        </w:rPr>
        <w:t xml:space="preserve"> for each </w:t>
      </w:r>
      <w:r w:rsidR="00197BE0">
        <w:rPr>
          <w:szCs w:val="22"/>
        </w:rPr>
        <w:t>panel</w:t>
      </w:r>
      <w:r>
        <w:rPr>
          <w:szCs w:val="22"/>
        </w:rPr>
        <w:t xml:space="preserve">, such </w:t>
      </w:r>
      <w:r w:rsidR="007B0713">
        <w:rPr>
          <w:szCs w:val="22"/>
        </w:rPr>
        <w:t xml:space="preserve">as </w:t>
      </w:r>
      <w:r>
        <w:rPr>
          <w:szCs w:val="22"/>
        </w:rPr>
        <w:t xml:space="preserve">a </w:t>
      </w:r>
      <w:r w:rsidRPr="007C035A">
        <w:rPr>
          <w:szCs w:val="22"/>
        </w:rPr>
        <w:t xml:space="preserve">test </w:t>
      </w:r>
      <w:r>
        <w:rPr>
          <w:szCs w:val="22"/>
        </w:rPr>
        <w:t>report and a copy of the compliance statement</w:t>
      </w:r>
      <w:r w:rsidR="00A37256">
        <w:rPr>
          <w:szCs w:val="22"/>
        </w:rPr>
        <w:t>;</w:t>
      </w:r>
      <w:r>
        <w:rPr>
          <w:rStyle w:val="FootnoteReference"/>
          <w:szCs w:val="22"/>
        </w:rPr>
        <w:footnoteReference w:id="7"/>
      </w:r>
      <w:r w:rsidR="00A37256">
        <w:rPr>
          <w:szCs w:val="22"/>
        </w:rPr>
        <w:t xml:space="preserve"> and</w:t>
      </w:r>
    </w:p>
    <w:p w:rsidR="00A37256" w:rsidP="00C57B53" w14:paraId="3F353F3C" w14:textId="36606A89">
      <w:pPr>
        <w:pStyle w:val="ListParagraph"/>
        <w:numPr>
          <w:ilvl w:val="0"/>
          <w:numId w:val="7"/>
        </w:numPr>
        <w:spacing w:after="120"/>
        <w:rPr>
          <w:szCs w:val="22"/>
        </w:rPr>
      </w:pPr>
      <w:r>
        <w:rPr>
          <w:szCs w:val="22"/>
        </w:rPr>
        <w:t>Ensuring that the party responsible for compliance is located in the United States.</w:t>
      </w:r>
      <w:r>
        <w:rPr>
          <w:rStyle w:val="FootnoteReference"/>
          <w:szCs w:val="22"/>
        </w:rPr>
        <w:footnoteReference w:id="8"/>
      </w:r>
    </w:p>
    <w:p w:rsidR="008F68D0" w:rsidRPr="00244596" w:rsidP="008F68D0" w14:paraId="1F2F9481" w14:textId="3FBD89FA">
      <w:pPr>
        <w:keepNext/>
        <w:spacing w:after="120"/>
        <w:rPr>
          <w:b/>
          <w:szCs w:val="22"/>
        </w:rPr>
      </w:pPr>
      <w:r w:rsidRPr="00244596">
        <w:rPr>
          <w:b/>
          <w:szCs w:val="22"/>
        </w:rPr>
        <w:t xml:space="preserve">What Should </w:t>
      </w:r>
      <w:r w:rsidRPr="00244596" w:rsidR="00326695">
        <w:rPr>
          <w:b/>
          <w:szCs w:val="22"/>
        </w:rPr>
        <w:t xml:space="preserve">LED Sign Marketers </w:t>
      </w:r>
      <w:r w:rsidRPr="00244596">
        <w:rPr>
          <w:b/>
          <w:szCs w:val="22"/>
        </w:rPr>
        <w:t>Know</w:t>
      </w:r>
      <w:r w:rsidRPr="00244596" w:rsidR="00326695">
        <w:rPr>
          <w:b/>
          <w:szCs w:val="22"/>
        </w:rPr>
        <w:t xml:space="preserve"> About the FCC’s Rules</w:t>
      </w:r>
      <w:r w:rsidRPr="00244596">
        <w:rPr>
          <w:b/>
          <w:szCs w:val="22"/>
        </w:rPr>
        <w:t>?</w:t>
      </w:r>
    </w:p>
    <w:p w:rsidR="00DF5A9C" w:rsidP="00481CE1" w14:paraId="429F93D8" w14:textId="4E302E15">
      <w:pPr>
        <w:spacing w:after="120"/>
        <w:rPr>
          <w:szCs w:val="22"/>
        </w:rPr>
      </w:pPr>
      <w:bookmarkStart w:id="1" w:name="_Hlk536795803"/>
      <w:r>
        <w:rPr>
          <w:szCs w:val="22"/>
        </w:rPr>
        <w:t>An</w:t>
      </w:r>
      <w:r w:rsidR="00A37256">
        <w:rPr>
          <w:szCs w:val="22"/>
        </w:rPr>
        <w:t>y</w:t>
      </w:r>
      <w:r>
        <w:rPr>
          <w:szCs w:val="22"/>
        </w:rPr>
        <w:t xml:space="preserve"> </w:t>
      </w:r>
      <w:r w:rsidR="00E636A3">
        <w:rPr>
          <w:szCs w:val="22"/>
        </w:rPr>
        <w:t xml:space="preserve">LED </w:t>
      </w:r>
      <w:r w:rsidR="000B3700">
        <w:rPr>
          <w:szCs w:val="22"/>
        </w:rPr>
        <w:t>panel</w:t>
      </w:r>
      <w:r w:rsidR="00E636A3">
        <w:rPr>
          <w:szCs w:val="22"/>
        </w:rPr>
        <w:t xml:space="preserve"> authorized </w:t>
      </w:r>
      <w:r w:rsidR="00B81CE3">
        <w:rPr>
          <w:szCs w:val="22"/>
        </w:rPr>
        <w:t>under previously</w:t>
      </w:r>
      <w:r w:rsidR="00CF0527">
        <w:rPr>
          <w:szCs w:val="22"/>
        </w:rPr>
        <w:t xml:space="preserve"> </w:t>
      </w:r>
      <w:r w:rsidR="00B81CE3">
        <w:rPr>
          <w:szCs w:val="22"/>
        </w:rPr>
        <w:t>accepted FCC procedures</w:t>
      </w:r>
      <w:r>
        <w:rPr>
          <w:rStyle w:val="FootnoteReference"/>
          <w:szCs w:val="22"/>
        </w:rPr>
        <w:footnoteReference w:id="9"/>
      </w:r>
      <w:r w:rsidR="00EC2DA4">
        <w:rPr>
          <w:szCs w:val="22"/>
        </w:rPr>
        <w:t xml:space="preserve"> </w:t>
      </w:r>
      <w:r w:rsidR="000B19BD">
        <w:rPr>
          <w:szCs w:val="22"/>
        </w:rPr>
        <w:t>before November 2, 2018</w:t>
      </w:r>
      <w:r w:rsidR="0022055D">
        <w:rPr>
          <w:szCs w:val="22"/>
        </w:rPr>
        <w:t>,</w:t>
      </w:r>
      <w:r w:rsidR="000B19BD">
        <w:rPr>
          <w:szCs w:val="22"/>
        </w:rPr>
        <w:t xml:space="preserve"> </w:t>
      </w:r>
      <w:r>
        <w:rPr>
          <w:szCs w:val="22"/>
        </w:rPr>
        <w:t xml:space="preserve">remains </w:t>
      </w:r>
      <w:r w:rsidR="00CE7333">
        <w:rPr>
          <w:szCs w:val="22"/>
        </w:rPr>
        <w:t xml:space="preserve">compliant with </w:t>
      </w:r>
      <w:r w:rsidR="00696D97">
        <w:rPr>
          <w:szCs w:val="22"/>
        </w:rPr>
        <w:t>th</w:t>
      </w:r>
      <w:r w:rsidR="009E2DEE">
        <w:rPr>
          <w:szCs w:val="22"/>
        </w:rPr>
        <w:t>e</w:t>
      </w:r>
      <w:r w:rsidR="00696D97">
        <w:rPr>
          <w:szCs w:val="22"/>
        </w:rPr>
        <w:t xml:space="preserve"> </w:t>
      </w:r>
      <w:r w:rsidR="000558C8">
        <w:rPr>
          <w:szCs w:val="22"/>
        </w:rPr>
        <w:t>FCC</w:t>
      </w:r>
      <w:r>
        <w:rPr>
          <w:szCs w:val="22"/>
        </w:rPr>
        <w:t xml:space="preserve">’s rules </w:t>
      </w:r>
      <w:r w:rsidR="00D747DD">
        <w:rPr>
          <w:szCs w:val="22"/>
        </w:rPr>
        <w:t xml:space="preserve">if it continues to meet all requirements </w:t>
      </w:r>
      <w:r w:rsidR="00CE7333">
        <w:rPr>
          <w:szCs w:val="22"/>
        </w:rPr>
        <w:t xml:space="preserve">for </w:t>
      </w:r>
      <w:r w:rsidR="00205D14">
        <w:rPr>
          <w:szCs w:val="22"/>
        </w:rPr>
        <w:t xml:space="preserve">that </w:t>
      </w:r>
      <w:r w:rsidR="00A45ACC">
        <w:rPr>
          <w:szCs w:val="22"/>
        </w:rPr>
        <w:t>authorization</w:t>
      </w:r>
      <w:r w:rsidR="00171D55">
        <w:rPr>
          <w:szCs w:val="22"/>
        </w:rPr>
        <w:t>.</w:t>
      </w:r>
      <w:r>
        <w:rPr>
          <w:rStyle w:val="FootnoteReference"/>
          <w:szCs w:val="22"/>
        </w:rPr>
        <w:footnoteReference w:id="10"/>
      </w:r>
      <w:r w:rsidR="00AE2208">
        <w:rPr>
          <w:szCs w:val="22"/>
        </w:rPr>
        <w:t xml:space="preserve"> </w:t>
      </w:r>
      <w:r w:rsidR="00FB5C92">
        <w:rPr>
          <w:szCs w:val="22"/>
        </w:rPr>
        <w:t xml:space="preserve"> </w:t>
      </w:r>
      <w:r w:rsidR="00F468E9">
        <w:rPr>
          <w:szCs w:val="22"/>
        </w:rPr>
        <w:t xml:space="preserve">If a </w:t>
      </w:r>
      <w:r>
        <w:rPr>
          <w:szCs w:val="22"/>
        </w:rPr>
        <w:t xml:space="preserve">previously </w:t>
      </w:r>
      <w:r w:rsidR="00A45ACC">
        <w:rPr>
          <w:szCs w:val="22"/>
        </w:rPr>
        <w:t xml:space="preserve">authorized </w:t>
      </w:r>
      <w:r w:rsidR="00F468E9">
        <w:rPr>
          <w:szCs w:val="22"/>
        </w:rPr>
        <w:t>device</w:t>
      </w:r>
      <w:r>
        <w:rPr>
          <w:szCs w:val="22"/>
        </w:rPr>
        <w:t xml:space="preserve"> is later modified</w:t>
      </w:r>
      <w:r w:rsidR="00F468E9">
        <w:rPr>
          <w:szCs w:val="22"/>
        </w:rPr>
        <w:t xml:space="preserve"> in any way</w:t>
      </w:r>
      <w:r w:rsidR="0022055D">
        <w:rPr>
          <w:szCs w:val="22"/>
        </w:rPr>
        <w:t xml:space="preserve"> that requires a new authorization</w:t>
      </w:r>
      <w:r w:rsidR="007407E5">
        <w:rPr>
          <w:szCs w:val="22"/>
        </w:rPr>
        <w:t xml:space="preserve"> after November 2, 2018, </w:t>
      </w:r>
      <w:r w:rsidR="00F468E9">
        <w:rPr>
          <w:szCs w:val="22"/>
        </w:rPr>
        <w:t>the requirement</w:t>
      </w:r>
      <w:r w:rsidR="00C57B53">
        <w:rPr>
          <w:szCs w:val="22"/>
        </w:rPr>
        <w:t>s</w:t>
      </w:r>
      <w:r w:rsidR="00F468E9">
        <w:rPr>
          <w:szCs w:val="22"/>
        </w:rPr>
        <w:t xml:space="preserve"> associated with the SDoC procedures will apply</w:t>
      </w:r>
      <w:r>
        <w:rPr>
          <w:szCs w:val="22"/>
        </w:rPr>
        <w:t>.</w:t>
      </w:r>
      <w:r>
        <w:rPr>
          <w:rStyle w:val="FootnoteReference"/>
          <w:szCs w:val="22"/>
        </w:rPr>
        <w:footnoteReference w:id="11"/>
      </w:r>
      <w:r>
        <w:rPr>
          <w:szCs w:val="22"/>
        </w:rPr>
        <w:t xml:space="preserve"> </w:t>
      </w:r>
      <w:r w:rsidR="00C04DC8">
        <w:rPr>
          <w:szCs w:val="22"/>
        </w:rPr>
        <w:t xml:space="preserve"> </w:t>
      </w:r>
      <w:r>
        <w:rPr>
          <w:szCs w:val="22"/>
        </w:rPr>
        <w:t>For more information</w:t>
      </w:r>
      <w:r w:rsidR="00C04DC8">
        <w:rPr>
          <w:szCs w:val="22"/>
        </w:rPr>
        <w:t xml:space="preserve"> about the SDoC procedures, including compliance requirements, see the </w:t>
      </w:r>
      <w:r w:rsidRPr="00C04DC8" w:rsidR="00C04DC8">
        <w:rPr>
          <w:i/>
          <w:szCs w:val="22"/>
        </w:rPr>
        <w:t>SDoC Order</w:t>
      </w:r>
      <w:r w:rsidR="00A45ACC">
        <w:rPr>
          <w:szCs w:val="22"/>
        </w:rPr>
        <w:t xml:space="preserve"> </w:t>
      </w:r>
      <w:r w:rsidR="00C04DC8">
        <w:rPr>
          <w:szCs w:val="22"/>
        </w:rPr>
        <w:t xml:space="preserve">and </w:t>
      </w:r>
      <w:r w:rsidR="00CF7FEE">
        <w:rPr>
          <w:szCs w:val="22"/>
        </w:rPr>
        <w:t xml:space="preserve">the </w:t>
      </w:r>
      <w:r w:rsidR="00C04DC8">
        <w:rPr>
          <w:szCs w:val="22"/>
        </w:rPr>
        <w:t xml:space="preserve">Office of Engineering and Technology’s </w:t>
      </w:r>
      <w:r w:rsidRPr="00C04DC8" w:rsidR="00C04DC8">
        <w:rPr>
          <w:i/>
          <w:szCs w:val="22"/>
        </w:rPr>
        <w:t>S</w:t>
      </w:r>
      <w:r w:rsidR="00AE3F22">
        <w:rPr>
          <w:i/>
          <w:szCs w:val="22"/>
        </w:rPr>
        <w:t xml:space="preserve">upplier’s Declaration of Conformity </w:t>
      </w:r>
      <w:bookmarkStart w:id="2" w:name="_GoBack"/>
      <w:bookmarkEnd w:id="2"/>
      <w:r w:rsidR="00AE3F22">
        <w:rPr>
          <w:i/>
          <w:szCs w:val="22"/>
        </w:rPr>
        <w:t>Guidance</w:t>
      </w:r>
      <w:r w:rsidR="00C04DC8">
        <w:rPr>
          <w:szCs w:val="22"/>
        </w:rPr>
        <w:t>.</w:t>
      </w:r>
      <w:r>
        <w:rPr>
          <w:rStyle w:val="FootnoteReference"/>
          <w:szCs w:val="22"/>
        </w:rPr>
        <w:footnoteReference w:id="12"/>
      </w:r>
      <w:bookmarkEnd w:id="1"/>
      <w:r w:rsidR="00C04DC8">
        <w:rPr>
          <w:szCs w:val="22"/>
        </w:rPr>
        <w:t xml:space="preserve">  </w:t>
      </w:r>
      <w:r>
        <w:rPr>
          <w:szCs w:val="22"/>
        </w:rPr>
        <w:t xml:space="preserve"> </w:t>
      </w:r>
    </w:p>
    <w:p w:rsidR="000E38DD" w:rsidRPr="00244596" w:rsidP="000E38DD" w14:paraId="0718A5FC" w14:textId="77777777">
      <w:pPr>
        <w:keepNext/>
        <w:spacing w:after="120"/>
        <w:rPr>
          <w:b/>
          <w:szCs w:val="22"/>
        </w:rPr>
      </w:pPr>
      <w:r w:rsidRPr="00244596">
        <w:rPr>
          <w:b/>
          <w:szCs w:val="22"/>
        </w:rPr>
        <w:t xml:space="preserve">What Happens If the LED Sign Does Not Comply with the FCC’s Rules? </w:t>
      </w:r>
    </w:p>
    <w:p w:rsidR="000E38DD" w:rsidRPr="006B3C48" w:rsidP="000E38DD" w14:paraId="57A461BA" w14:textId="77777777">
      <w:pPr>
        <w:spacing w:after="120"/>
        <w:rPr>
          <w:b/>
          <w:szCs w:val="22"/>
        </w:rPr>
      </w:pPr>
      <w:r>
        <w:rPr>
          <w:szCs w:val="22"/>
        </w:rPr>
        <w:t xml:space="preserve">Any entity or person </w:t>
      </w:r>
      <w:r w:rsidR="00CF1A98">
        <w:rPr>
          <w:szCs w:val="22"/>
        </w:rPr>
        <w:t xml:space="preserve">that is </w:t>
      </w:r>
      <w:r>
        <w:rPr>
          <w:szCs w:val="22"/>
        </w:rPr>
        <w:t xml:space="preserve">marketing </w:t>
      </w:r>
      <w:r w:rsidR="00CF1A98">
        <w:rPr>
          <w:szCs w:val="22"/>
        </w:rPr>
        <w:t xml:space="preserve">noncompliant </w:t>
      </w:r>
      <w:r>
        <w:rPr>
          <w:szCs w:val="22"/>
        </w:rPr>
        <w:t xml:space="preserve">LED signs </w:t>
      </w:r>
      <w:r w:rsidRPr="006B3C48">
        <w:rPr>
          <w:szCs w:val="22"/>
        </w:rPr>
        <w:t>may be subject to penalties authorized by the Communications Act, including, but not limited to, substantial monetary fines (</w:t>
      </w:r>
      <w:r w:rsidR="0020036D">
        <w:rPr>
          <w:szCs w:val="22"/>
        </w:rPr>
        <w:t xml:space="preserve">currently </w:t>
      </w:r>
      <w:r w:rsidRPr="006B3C48">
        <w:rPr>
          <w:szCs w:val="22"/>
        </w:rPr>
        <w:t>up to $</w:t>
      </w:r>
      <w:r w:rsidR="006C2983">
        <w:rPr>
          <w:szCs w:val="22"/>
        </w:rPr>
        <w:t>20</w:t>
      </w:r>
      <w:r w:rsidRPr="006B3C48">
        <w:rPr>
          <w:szCs w:val="22"/>
        </w:rPr>
        <w:t>,</w:t>
      </w:r>
      <w:r w:rsidR="006C2983">
        <w:rPr>
          <w:szCs w:val="22"/>
        </w:rPr>
        <w:t>1</w:t>
      </w:r>
      <w:r w:rsidRPr="006B3C48">
        <w:rPr>
          <w:szCs w:val="22"/>
        </w:rPr>
        <w:t>3</w:t>
      </w:r>
      <w:r w:rsidR="006C2983">
        <w:rPr>
          <w:szCs w:val="22"/>
        </w:rPr>
        <w:t>4</w:t>
      </w:r>
      <w:r w:rsidRPr="006B3C48">
        <w:rPr>
          <w:szCs w:val="22"/>
        </w:rPr>
        <w:t xml:space="preserve"> </w:t>
      </w:r>
      <w:r w:rsidRPr="000A41D0">
        <w:rPr>
          <w:szCs w:val="22"/>
        </w:rPr>
        <w:t xml:space="preserve">per day </w:t>
      </w:r>
      <w:r>
        <w:rPr>
          <w:szCs w:val="22"/>
        </w:rPr>
        <w:t xml:space="preserve">for individual </w:t>
      </w:r>
      <w:r w:rsidRPr="000A41D0">
        <w:rPr>
          <w:szCs w:val="22"/>
        </w:rPr>
        <w:t xml:space="preserve">marketing </w:t>
      </w:r>
      <w:r>
        <w:rPr>
          <w:szCs w:val="22"/>
        </w:rPr>
        <w:t xml:space="preserve">violations </w:t>
      </w:r>
      <w:r w:rsidRPr="006B3C48">
        <w:rPr>
          <w:szCs w:val="22"/>
        </w:rPr>
        <w:t>and up to $1</w:t>
      </w:r>
      <w:r w:rsidR="006C2983">
        <w:rPr>
          <w:szCs w:val="22"/>
        </w:rPr>
        <w:t>51</w:t>
      </w:r>
      <w:r w:rsidRPr="006B3C48">
        <w:rPr>
          <w:szCs w:val="22"/>
        </w:rPr>
        <w:t>,</w:t>
      </w:r>
      <w:r w:rsidR="006C2983">
        <w:rPr>
          <w:szCs w:val="22"/>
        </w:rPr>
        <w:t>0</w:t>
      </w:r>
      <w:r w:rsidRPr="006B3C48">
        <w:rPr>
          <w:szCs w:val="22"/>
        </w:rPr>
        <w:t>0</w:t>
      </w:r>
      <w:r w:rsidR="006C2983">
        <w:rPr>
          <w:szCs w:val="22"/>
        </w:rPr>
        <w:t>5</w:t>
      </w:r>
      <w:r w:rsidRPr="006B3C48">
        <w:rPr>
          <w:szCs w:val="22"/>
        </w:rPr>
        <w:t xml:space="preserve"> for an ongoing violation)</w:t>
      </w:r>
      <w:r>
        <w:rPr>
          <w:szCs w:val="22"/>
        </w:rPr>
        <w:t xml:space="preserve"> for violating </w:t>
      </w:r>
      <w:r w:rsidR="00A92BE8">
        <w:rPr>
          <w:szCs w:val="22"/>
        </w:rPr>
        <w:t xml:space="preserve">the Communications Act of 1934, as amended, or </w:t>
      </w:r>
      <w:r>
        <w:rPr>
          <w:szCs w:val="22"/>
        </w:rPr>
        <w:t>FCC rules</w:t>
      </w:r>
      <w:r w:rsidRPr="006B3C48">
        <w:rPr>
          <w:szCs w:val="22"/>
        </w:rPr>
        <w:t>.</w:t>
      </w:r>
      <w:r>
        <w:rPr>
          <w:rStyle w:val="FootnoteReference"/>
          <w:szCs w:val="22"/>
        </w:rPr>
        <w:footnoteReference w:id="13"/>
      </w:r>
      <w:r w:rsidRPr="006B3C48">
        <w:rPr>
          <w:szCs w:val="22"/>
        </w:rPr>
        <w:t xml:space="preserve">  </w:t>
      </w:r>
    </w:p>
    <w:p w:rsidR="000E38DD" w:rsidRPr="00244596" w:rsidP="000E38DD" w14:paraId="58460AB7" w14:textId="77777777">
      <w:pPr>
        <w:keepNext/>
        <w:spacing w:after="120"/>
        <w:rPr>
          <w:b/>
          <w:szCs w:val="22"/>
        </w:rPr>
      </w:pPr>
      <w:r w:rsidRPr="00244596">
        <w:rPr>
          <w:b/>
          <w:szCs w:val="22"/>
        </w:rPr>
        <w:t xml:space="preserve">Need more information?  </w:t>
      </w:r>
    </w:p>
    <w:p w:rsidR="000E38DD" w:rsidRPr="00477012" w:rsidP="000E38DD" w14:paraId="3A60FA9A" w14:textId="19033A51">
      <w:pPr>
        <w:spacing w:after="120"/>
        <w:rPr>
          <w:szCs w:val="22"/>
        </w:rPr>
      </w:pPr>
      <w:r>
        <w:rPr>
          <w:szCs w:val="22"/>
        </w:rPr>
        <w:t xml:space="preserve">For questions regarding the information in this Advisory, email </w:t>
      </w:r>
      <w:hyperlink r:id="rId5" w:history="1">
        <w:r w:rsidRPr="003377F1" w:rsidR="0091131E">
          <w:rPr>
            <w:rStyle w:val="Hyperlink"/>
            <w:szCs w:val="22"/>
          </w:rPr>
          <w:t>EB-SED-response@fcc.gov</w:t>
        </w:r>
      </w:hyperlink>
      <w:r>
        <w:rPr>
          <w:szCs w:val="22"/>
        </w:rPr>
        <w:t>.</w:t>
      </w:r>
      <w:r w:rsidRPr="006B3C48">
        <w:rPr>
          <w:szCs w:val="22"/>
        </w:rPr>
        <w:t xml:space="preserve"> </w:t>
      </w:r>
      <w:r>
        <w:rPr>
          <w:szCs w:val="22"/>
        </w:rPr>
        <w:t xml:space="preserve"> For </w:t>
      </w:r>
      <w:r w:rsidRPr="006B3C48">
        <w:rPr>
          <w:szCs w:val="22"/>
        </w:rPr>
        <w:t xml:space="preserve">additional information regarding equipment </w:t>
      </w:r>
      <w:r>
        <w:rPr>
          <w:szCs w:val="22"/>
        </w:rPr>
        <w:t>authorizations</w:t>
      </w:r>
      <w:r w:rsidRPr="006B3C48">
        <w:rPr>
          <w:szCs w:val="22"/>
        </w:rPr>
        <w:t xml:space="preserve">, visit the FCC website at </w:t>
      </w:r>
      <w:hyperlink r:id="rId6" w:history="1">
        <w:r w:rsidRPr="006B3C48">
          <w:rPr>
            <w:rStyle w:val="Hyperlink"/>
            <w:szCs w:val="22"/>
          </w:rPr>
          <w:t>https://www.fcc.gov/engineering-technology/laboratory-division/general/equipment-authorization</w:t>
        </w:r>
      </w:hyperlink>
      <w:r w:rsidRPr="00CE7333">
        <w:rPr>
          <w:rStyle w:val="Hyperlink"/>
          <w:color w:val="000000" w:themeColor="text1"/>
          <w:szCs w:val="22"/>
          <w:u w:val="none"/>
        </w:rPr>
        <w:t>, or review OET’s Knowledge Database publications at</w:t>
      </w:r>
      <w:r w:rsidR="006F6ED9">
        <w:rPr>
          <w:rStyle w:val="Hyperlink"/>
          <w:color w:val="000000" w:themeColor="text1"/>
          <w:szCs w:val="22"/>
          <w:u w:val="none"/>
        </w:rPr>
        <w:t xml:space="preserve"> </w:t>
      </w:r>
      <w:hyperlink r:id="rId7" w:history="1">
        <w:r w:rsidRPr="00773721" w:rsidR="00CE7333">
          <w:rPr>
            <w:rStyle w:val="Hyperlink"/>
            <w:szCs w:val="22"/>
          </w:rPr>
          <w:t>https://apps.fcc.gov/oetcf/kdb/index.cfm</w:t>
        </w:r>
      </w:hyperlink>
      <w:r w:rsidRPr="006B3C48">
        <w:rPr>
          <w:szCs w:val="22"/>
        </w:rPr>
        <w:t xml:space="preserve">.  Media inquiries should be directed to Will Wiquist at (202) 418-0509 or will.wiquist@fcc.gov.  To file a complaint, visit </w:t>
      </w:r>
      <w:hyperlink r:id="rId8" w:history="1">
        <w:r w:rsidRPr="006B3C48">
          <w:rPr>
            <w:rStyle w:val="Hyperlink"/>
            <w:szCs w:val="22"/>
          </w:rPr>
          <w:t>https://consumercomplaints.fcc.gov</w:t>
        </w:r>
      </w:hyperlink>
      <w:r w:rsidRPr="006B3C48">
        <w:rPr>
          <w:szCs w:val="22"/>
        </w:rPr>
        <w:t xml:space="preserve"> or call 1-888-CALL-FCC.  To request materials in accessible formats for people with disabilities (Braille, large print, electronic files, audio format), send an e-mail to fcc504@fcc.gov or call the Consumer &amp; Governmental Affairs Bureau at (202) 418-0530 (voice), (202) 418-0432 (TTY).  You may also contact the Enforcement Bureau on its TTY line at (202) 418-1148 for further information about this Enforcement Advisory, or the FCC on its TTY line at 1-888-TELL-FCC (1-888-835-5322) for further information about the aviation radio rules.</w:t>
      </w:r>
    </w:p>
    <w:p w:rsidR="000E38DD" w:rsidP="0020036D" w14:paraId="357AB67F" w14:textId="77777777">
      <w:pPr>
        <w:tabs>
          <w:tab w:val="right" w:pos="9360"/>
        </w:tabs>
        <w:spacing w:after="120"/>
        <w:rPr>
          <w:szCs w:val="22"/>
        </w:rPr>
      </w:pPr>
      <w:r>
        <w:rPr>
          <w:szCs w:val="22"/>
        </w:rPr>
        <w:tab/>
      </w:r>
      <w:r w:rsidRPr="0063734C">
        <w:rPr>
          <w:szCs w:val="22"/>
        </w:rPr>
        <w:t>Issued by</w:t>
      </w:r>
      <w:r>
        <w:rPr>
          <w:szCs w:val="22"/>
        </w:rPr>
        <w:t xml:space="preserve">: </w:t>
      </w:r>
      <w:r w:rsidRPr="0063734C">
        <w:rPr>
          <w:szCs w:val="22"/>
        </w:rPr>
        <w:t xml:space="preserve"> Chief, Enforcement Bureau</w:t>
      </w:r>
      <w:bookmarkEnd w:id="0"/>
    </w:p>
    <w:sectPr w:rsidSect="000E588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734BFDFB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455B8CA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3EE2C64B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44F3E4A0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66AC4" w14:paraId="3FF23F30" w14:textId="77777777">
      <w:r>
        <w:separator/>
      </w:r>
    </w:p>
  </w:footnote>
  <w:footnote w:type="continuationSeparator" w:id="1">
    <w:p w:rsidR="00A66AC4" w14:paraId="7916F2B4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A66AC4" w:rsidP="00910F12" w14:paraId="7952CFB4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34571D" w:rsidP="0034571D" w14:paraId="29AD8F03" w14:textId="11903B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30C2B">
        <w:t>47 CFR</w:t>
      </w:r>
      <w:r>
        <w:rPr>
          <w:i/>
        </w:rPr>
        <w:t xml:space="preserve"> </w:t>
      </w:r>
      <w:r>
        <w:t xml:space="preserve">§ 2.803.  </w:t>
      </w:r>
      <w:r w:rsidRPr="00367561" w:rsidR="00F54273">
        <w:t>Specifically, marketing “includes [the] sale or lease, or offering for sale or lease, including advertising for sale or lease, or importation, shipme</w:t>
      </w:r>
      <w:r w:rsidRPr="001A3FB5" w:rsidR="00F54273">
        <w:t xml:space="preserve">nt, or distribution for the purpose of selling or leasing or offering for sale or lease.”  </w:t>
      </w:r>
      <w:r w:rsidRPr="00244596" w:rsidR="00763E15">
        <w:rPr>
          <w:i/>
        </w:rPr>
        <w:t>Id.</w:t>
      </w:r>
      <w:r w:rsidR="00763E15">
        <w:t xml:space="preserve">  </w:t>
      </w:r>
    </w:p>
  </w:footnote>
  <w:footnote w:id="4">
    <w:p w:rsidR="000B19BD" w14:paraId="618D0A26" w14:textId="1FEB01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F6D9A">
        <w:rPr>
          <w:i/>
        </w:rPr>
        <w:t>See id.</w:t>
      </w:r>
      <w:r>
        <w:t xml:space="preserve"> </w:t>
      </w:r>
      <w:r w:rsidRPr="00023635">
        <w:t>§§</w:t>
      </w:r>
      <w:r>
        <w:t xml:space="preserve"> 2.803(c), 2.906, 2.907. </w:t>
      </w:r>
    </w:p>
  </w:footnote>
  <w:footnote w:id="5">
    <w:p w:rsidR="00C57B53" w:rsidP="00C57B53" w14:paraId="71934841" w14:textId="3A74E4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3B04">
        <w:rPr>
          <w:i/>
        </w:rPr>
        <w:t>See</w:t>
      </w:r>
      <w:r w:rsidR="00AE3F22">
        <w:rPr>
          <w:i/>
        </w:rPr>
        <w:t xml:space="preserve"> </w:t>
      </w:r>
      <w:r w:rsidRPr="00016F21" w:rsidR="00AE3F22">
        <w:rPr>
          <w:i/>
        </w:rPr>
        <w:t>id.</w:t>
      </w:r>
      <w:r w:rsidR="00AE3F22">
        <w:rPr>
          <w:i/>
        </w:rPr>
        <w:t xml:space="preserve"> </w:t>
      </w:r>
      <w:r w:rsidRPr="00023635" w:rsidR="00AE3F22">
        <w:t>§§</w:t>
      </w:r>
      <w:r w:rsidR="00AE3F22">
        <w:t xml:space="preserve"> 2.906, 2.907</w:t>
      </w:r>
      <w:r w:rsidR="001F49A2">
        <w:t xml:space="preserve">, </w:t>
      </w:r>
      <w:r w:rsidR="00197BE0">
        <w:t>15.31</w:t>
      </w:r>
      <w:r w:rsidR="00AE3F22">
        <w:t>.</w:t>
      </w:r>
      <w:r w:rsidR="001F49A2">
        <w:t xml:space="preserve">  Each panel that is different in design must be tested and authorized separately. </w:t>
      </w:r>
    </w:p>
  </w:footnote>
  <w:footnote w:id="6">
    <w:p w:rsidR="00C57B53" w:rsidP="00C57B53" w14:paraId="3A47EB83" w14:textId="2964B4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91AD5">
        <w:rPr>
          <w:i/>
        </w:rPr>
        <w:t>See, e.g.</w:t>
      </w:r>
      <w:r>
        <w:t>,</w:t>
      </w:r>
      <w:r>
        <w:rPr>
          <w:i/>
        </w:rPr>
        <w:t xml:space="preserve"> id. </w:t>
      </w:r>
      <w:r>
        <w:t xml:space="preserve">§§ 2.1077, 15.19; </w:t>
      </w:r>
      <w:r w:rsidRPr="005E3BDD">
        <w:rPr>
          <w:i/>
        </w:rPr>
        <w:t>see also</w:t>
      </w:r>
      <w:r>
        <w:t xml:space="preserve"> </w:t>
      </w:r>
      <w:r w:rsidR="00C86EF6">
        <w:t>Office of Engineering &amp; Technology’s (</w:t>
      </w:r>
      <w:r w:rsidRPr="00784D4C">
        <w:t>OET</w:t>
      </w:r>
      <w:r w:rsidR="00C86EF6">
        <w:t>)</w:t>
      </w:r>
      <w:r w:rsidRPr="00784D4C">
        <w:t xml:space="preserve"> Knowledge Database</w:t>
      </w:r>
      <w:r>
        <w:t>,</w:t>
      </w:r>
      <w:r w:rsidRPr="00784D4C">
        <w:t xml:space="preserve"> </w:t>
      </w:r>
      <w:r>
        <w:t xml:space="preserve">Labeling Part 15 18 Guidelines, </w:t>
      </w:r>
      <w:r w:rsidRPr="00784D4C">
        <w:t xml:space="preserve">Publication </w:t>
      </w:r>
      <w:r>
        <w:t xml:space="preserve">No. 784748 (July 2, 2018), </w:t>
      </w:r>
      <w:hyperlink r:id="rId1" w:history="1">
        <w:r w:rsidRPr="00EE4C68">
          <w:rPr>
            <w:rStyle w:val="Hyperlink"/>
          </w:rPr>
          <w:t>https://apps.fcc.gov/oetcf/kdb/forms/FTSSearchResultPage.cfm?switch=P&amp;id=27980</w:t>
        </w:r>
      </w:hyperlink>
      <w:r>
        <w:t>.</w:t>
      </w:r>
    </w:p>
  </w:footnote>
  <w:footnote w:id="7">
    <w:p w:rsidR="00C57B53" w:rsidP="00C57B53" w14:paraId="793C32F5" w14:textId="3999ED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id. </w:t>
      </w:r>
      <w:r>
        <w:t>§</w:t>
      </w:r>
      <w:r w:rsidR="008C589A">
        <w:t>§</w:t>
      </w:r>
      <w:r>
        <w:t xml:space="preserve"> 2.938</w:t>
      </w:r>
      <w:r w:rsidR="008C589A">
        <w:t>, 2.1077.</w:t>
      </w:r>
      <w:r>
        <w:t xml:space="preserve">  </w:t>
      </w:r>
      <w:r w:rsidR="00C86EF6">
        <w:t xml:space="preserve">Any entity that markets RF devices must </w:t>
      </w:r>
      <w:r w:rsidR="00C86EF6">
        <w:rPr>
          <w:szCs w:val="22"/>
        </w:rPr>
        <w:t>include</w:t>
      </w:r>
      <w:r w:rsidRPr="00C56363">
        <w:rPr>
          <w:szCs w:val="22"/>
        </w:rPr>
        <w:t xml:space="preserve"> a compliance statement with a</w:t>
      </w:r>
      <w:r>
        <w:rPr>
          <w:szCs w:val="22"/>
        </w:rPr>
        <w:t xml:space="preserve">ny </w:t>
      </w:r>
      <w:r w:rsidRPr="00C56363">
        <w:rPr>
          <w:szCs w:val="22"/>
        </w:rPr>
        <w:t>device</w:t>
      </w:r>
      <w:r>
        <w:rPr>
          <w:szCs w:val="22"/>
        </w:rPr>
        <w:t xml:space="preserve"> subject to </w:t>
      </w:r>
      <w:r w:rsidR="004F6870">
        <w:rPr>
          <w:szCs w:val="22"/>
        </w:rPr>
        <w:t xml:space="preserve">the </w:t>
      </w:r>
      <w:r>
        <w:rPr>
          <w:szCs w:val="22"/>
        </w:rPr>
        <w:t>SDoC</w:t>
      </w:r>
      <w:r w:rsidR="004F6870">
        <w:rPr>
          <w:szCs w:val="22"/>
        </w:rPr>
        <w:t xml:space="preserve"> procedures</w:t>
      </w:r>
      <w:r w:rsidRPr="00C56363">
        <w:rPr>
          <w:szCs w:val="22"/>
        </w:rPr>
        <w:t xml:space="preserve"> at the time of marketing</w:t>
      </w:r>
      <w:r w:rsidRPr="006B1E8B">
        <w:t xml:space="preserve">, e.g., when </w:t>
      </w:r>
      <w:r w:rsidR="00921C7B">
        <w:t xml:space="preserve">the device is </w:t>
      </w:r>
      <w:r w:rsidRPr="006B1E8B">
        <w:t>advertised,</w:t>
      </w:r>
      <w:r>
        <w:t xml:space="preserve"> </w:t>
      </w:r>
      <w:r w:rsidRPr="006B1E8B">
        <w:t>imported, or sold</w:t>
      </w:r>
      <w:r>
        <w:t xml:space="preserve">.  </w:t>
      </w:r>
      <w:r>
        <w:rPr>
          <w:i/>
        </w:rPr>
        <w:t xml:space="preserve">See id. </w:t>
      </w:r>
      <w:r>
        <w:t xml:space="preserve">§ 2.1077.  </w:t>
      </w:r>
    </w:p>
  </w:footnote>
  <w:footnote w:id="8">
    <w:p w:rsidR="00A37256" w:rsidP="00A37256" w14:paraId="3421AC10" w14:textId="753A02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97BE0">
        <w:t xml:space="preserve">This requirement attaches to any device subject to the </w:t>
      </w:r>
      <w:r w:rsidR="00197BE0">
        <w:t>SDoC</w:t>
      </w:r>
      <w:r w:rsidR="00197BE0">
        <w:t xml:space="preserve"> procedures.  </w:t>
      </w:r>
      <w:r>
        <w:t>47 CFR § 2.909(b).</w:t>
      </w:r>
    </w:p>
  </w:footnote>
  <w:footnote w:id="9">
    <w:p w:rsidR="00096EB7" w:rsidP="00DF6D9A" w14:paraId="60ABB244" w14:textId="343060FA">
      <w:pPr>
        <w:pStyle w:val="FootnoteText"/>
        <w:tabs>
          <w:tab w:val="left" w:pos="765"/>
        </w:tabs>
      </w:pPr>
      <w:r>
        <w:rPr>
          <w:rStyle w:val="FootnoteReference"/>
        </w:rPr>
        <w:footnoteRef/>
      </w:r>
      <w:r>
        <w:t xml:space="preserve"> </w:t>
      </w:r>
      <w:r>
        <w:rPr>
          <w:szCs w:val="22"/>
        </w:rPr>
        <w:t xml:space="preserve">On November 2, 2017, the FCC implemented rules which began to phase out over a one-year period two equipment authorization procedures—Verification and Declaration of Conformity—replacing them with a new equipment authorization procedure, the </w:t>
      </w:r>
      <w:r>
        <w:rPr>
          <w:szCs w:val="22"/>
        </w:rPr>
        <w:t>SDoC</w:t>
      </w:r>
      <w:r>
        <w:rPr>
          <w:szCs w:val="22"/>
        </w:rPr>
        <w:t xml:space="preserve">.  </w:t>
      </w:r>
      <w:r w:rsidRPr="005D0239">
        <w:rPr>
          <w:i/>
        </w:rPr>
        <w:t>Amendment of Parts 0, 1, 2, 15, and 18 of the Commission’s Rules Regarding Authorization of Radio</w:t>
      </w:r>
      <w:r w:rsidR="00C86EF6">
        <w:rPr>
          <w:i/>
        </w:rPr>
        <w:t>f</w:t>
      </w:r>
      <w:r w:rsidRPr="005D0239">
        <w:rPr>
          <w:i/>
        </w:rPr>
        <w:t>requency Equipment</w:t>
      </w:r>
      <w:r>
        <w:t>, First Report and Order, 32 FCC Rcd 8746 (2017) (</w:t>
      </w:r>
      <w:r w:rsidRPr="00366E5E">
        <w:rPr>
          <w:i/>
        </w:rPr>
        <w:t>SDoC</w:t>
      </w:r>
      <w:r w:rsidRPr="00366E5E">
        <w:rPr>
          <w:i/>
        </w:rPr>
        <w:t xml:space="preserve"> Order</w:t>
      </w:r>
      <w:r>
        <w:t xml:space="preserve">); Federal Communications Commission, Authorization of Radiofrequency Equipment, 82 Fed. Reg. 50820 (Nov. 2, 2017).  </w:t>
      </w:r>
    </w:p>
  </w:footnote>
  <w:footnote w:id="10">
    <w:p w:rsidR="001F49A2" w:rsidP="001F49A2" w14:paraId="05BC34A3" w14:textId="265FFE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12D73">
        <w:rPr>
          <w:i/>
        </w:rPr>
        <w:t>See</w:t>
      </w:r>
      <w:r>
        <w:rPr>
          <w:i/>
        </w:rPr>
        <w:t>, e.g.</w:t>
      </w:r>
      <w:r w:rsidRPr="00244596">
        <w:t>,</w:t>
      </w:r>
      <w:r w:rsidRPr="00912D73">
        <w:rPr>
          <w:i/>
        </w:rPr>
        <w:t xml:space="preserve"> </w:t>
      </w:r>
      <w:r w:rsidR="0022055D">
        <w:t>47 CFR</w:t>
      </w:r>
      <w:r>
        <w:t xml:space="preserve"> §§ 15.19, 15.21, 15.105, 15.107, 15.109.  </w:t>
      </w:r>
    </w:p>
  </w:footnote>
  <w:footnote w:id="11">
    <w:p w:rsidR="008A2C0B" w:rsidP="008A2C0B" w14:paraId="19179C54" w14:textId="41BE6A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 w:rsidRPr="00F2668C">
        <w:t xml:space="preserve"> </w:t>
      </w:r>
      <w:r w:rsidRPr="00DF6D9A" w:rsidR="0022055D">
        <w:rPr>
          <w:i/>
        </w:rPr>
        <w:t>id.</w:t>
      </w:r>
      <w:r w:rsidR="0022055D">
        <w:t xml:space="preserve"> </w:t>
      </w:r>
      <w:r>
        <w:t>§ 2.</w:t>
      </w:r>
      <w:r w:rsidR="00F468E9">
        <w:t>950(j)</w:t>
      </w:r>
      <w:r>
        <w:t>.</w:t>
      </w:r>
      <w:r w:rsidR="00FB5C92">
        <w:t xml:space="preserve">  </w:t>
      </w:r>
      <w:r w:rsidRPr="00FB5C92" w:rsidR="00FB5C92">
        <w:t xml:space="preserve">If modifications are made to an LED Panel that was previously authorized via the Certification process, a modified or new Certification may be required.  </w:t>
      </w:r>
      <w:r w:rsidRPr="00DF6D9A" w:rsidR="00FB5C92">
        <w:rPr>
          <w:i/>
        </w:rPr>
        <w:t>See</w:t>
      </w:r>
      <w:r w:rsidRPr="00DF6D9A" w:rsidR="0022055D">
        <w:rPr>
          <w:i/>
        </w:rPr>
        <w:t xml:space="preserve"> id.</w:t>
      </w:r>
      <w:r w:rsidR="0022055D">
        <w:t xml:space="preserve"> </w:t>
      </w:r>
      <w:r w:rsidRPr="00FB5C92" w:rsidR="00FB5C92">
        <w:t xml:space="preserve">§ 2.1043.  Alternatively, the modified device may be authorized in compliance with FCC rules under </w:t>
      </w:r>
      <w:r w:rsidR="002017F3">
        <w:t xml:space="preserve">a new </w:t>
      </w:r>
      <w:r w:rsidRPr="00FB5C92" w:rsidR="00FB5C92">
        <w:t>SDoC</w:t>
      </w:r>
      <w:r w:rsidR="00FB5C92">
        <w:t>.</w:t>
      </w:r>
    </w:p>
  </w:footnote>
  <w:footnote w:id="12">
    <w:p w:rsidR="00C04DC8" w14:paraId="3E772EB3" w14:textId="4106D3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5A62" w:rsidR="009D3AF3">
        <w:rPr>
          <w:i/>
        </w:rPr>
        <w:t>See</w:t>
      </w:r>
      <w:r w:rsidR="009D3AF3">
        <w:t xml:space="preserve"> </w:t>
      </w:r>
      <w:r w:rsidRPr="00BC5A62" w:rsidR="00BC5A62">
        <w:rPr>
          <w:i/>
        </w:rPr>
        <w:t>SDoC Order</w:t>
      </w:r>
      <w:r w:rsidR="00BC5A62">
        <w:t>, 32 FCC Rcd at 8749-6</w:t>
      </w:r>
      <w:r w:rsidR="00AC7219">
        <w:t>7</w:t>
      </w:r>
      <w:r w:rsidR="0044762A">
        <w:t>, paras. 4-48</w:t>
      </w:r>
      <w:r w:rsidRPr="00016F21" w:rsidR="00BC5A62">
        <w:t xml:space="preserve">; </w:t>
      </w:r>
      <w:r w:rsidR="00BC5A62">
        <w:t>OET Knowledge Database, Publication No. 896810</w:t>
      </w:r>
      <w:r w:rsidR="00125575">
        <w:t xml:space="preserve"> (July 2, 2018)</w:t>
      </w:r>
      <w:r w:rsidR="00BC5A62">
        <w:t xml:space="preserve">,  </w:t>
      </w:r>
      <w:hyperlink r:id="rId2" w:history="1">
        <w:r w:rsidRPr="002B7B81" w:rsidR="00BC5A62">
          <w:rPr>
            <w:rStyle w:val="Hyperlink"/>
          </w:rPr>
          <w:t>https://apps.fcc.gov/kdb/GetAttachment.html?id=Sge4TP9Xk74qw7eKmI6TdQ%3D%3D&amp;desc=896810%20D01%20SDoC%20v01r01&amp;tracking_number=203240</w:t>
        </w:r>
      </w:hyperlink>
      <w:r w:rsidR="00BC5A62">
        <w:t>.</w:t>
      </w:r>
      <w:r w:rsidR="00366E5E">
        <w:t xml:space="preserve"> </w:t>
      </w:r>
    </w:p>
  </w:footnote>
  <w:footnote w:id="13">
    <w:p w:rsidR="000E38DD" w:rsidP="00C70A99" w14:paraId="0ABE3625" w14:textId="77777777">
      <w:r>
        <w:rPr>
          <w:rStyle w:val="FootnoteReference"/>
        </w:rPr>
        <w:footnoteRef/>
      </w:r>
      <w:r>
        <w:t xml:space="preserve"> </w:t>
      </w:r>
      <w:r w:rsidRPr="004F73A5">
        <w:rPr>
          <w:rFonts w:eastAsia="Calibri"/>
          <w:i/>
          <w:sz w:val="20"/>
        </w:rPr>
        <w:t>See</w:t>
      </w:r>
      <w:r w:rsidRPr="004F73A5">
        <w:rPr>
          <w:rFonts w:eastAsia="Calibri"/>
          <w:sz w:val="20"/>
        </w:rPr>
        <w:t xml:space="preserve"> 47 U.S.C. §</w:t>
      </w:r>
      <w:r w:rsidRPr="004F73A5" w:rsidR="008F01C7">
        <w:rPr>
          <w:rFonts w:eastAsia="Calibri"/>
          <w:sz w:val="20"/>
        </w:rPr>
        <w:t>§</w:t>
      </w:r>
      <w:r w:rsidRPr="004F73A5">
        <w:rPr>
          <w:rFonts w:eastAsia="Calibri"/>
          <w:sz w:val="20"/>
        </w:rPr>
        <w:t xml:space="preserve"> </w:t>
      </w:r>
      <w:r w:rsidR="008F01C7">
        <w:rPr>
          <w:rFonts w:eastAsia="Calibri"/>
          <w:sz w:val="20"/>
        </w:rPr>
        <w:t>302</w:t>
      </w:r>
      <w:r w:rsidR="004B3035">
        <w:rPr>
          <w:rFonts w:eastAsia="Calibri"/>
          <w:sz w:val="20"/>
        </w:rPr>
        <w:t>a(b),</w:t>
      </w:r>
      <w:r w:rsidR="008F01C7">
        <w:rPr>
          <w:rFonts w:eastAsia="Calibri"/>
          <w:sz w:val="20"/>
        </w:rPr>
        <w:t xml:space="preserve"> </w:t>
      </w:r>
      <w:r w:rsidRPr="004F73A5">
        <w:rPr>
          <w:rFonts w:eastAsia="Calibri"/>
          <w:sz w:val="20"/>
        </w:rPr>
        <w:t>503(b)(2)(D)</w:t>
      </w:r>
      <w:r w:rsidR="004B3035">
        <w:rPr>
          <w:rFonts w:eastAsia="Calibri"/>
          <w:sz w:val="20"/>
        </w:rPr>
        <w:t>, 503(b)(5)</w:t>
      </w:r>
      <w:r w:rsidRPr="004F73A5">
        <w:rPr>
          <w:rFonts w:eastAsia="Calibri"/>
          <w:sz w:val="20"/>
        </w:rPr>
        <w:t>; 47 CFR §§ 1.80(b)(7),</w:t>
      </w:r>
      <w:r w:rsidRPr="004F73A5">
        <w:rPr>
          <w:rFonts w:eastAsia="Calibri"/>
          <w:i/>
          <w:iCs/>
          <w:sz w:val="20"/>
        </w:rPr>
        <w:t xml:space="preserve"> </w:t>
      </w:r>
      <w:r w:rsidRPr="004F73A5">
        <w:rPr>
          <w:rFonts w:eastAsia="Calibri"/>
          <w:sz w:val="20"/>
        </w:rPr>
        <w:t>(b)(9) (reflecting adjustments for inflation)</w:t>
      </w:r>
      <w:r w:rsidR="004B3035">
        <w:rPr>
          <w:rFonts w:eastAsia="Calibri"/>
          <w:sz w:val="20"/>
        </w:rPr>
        <w:t>.</w:t>
      </w:r>
      <w:r w:rsidR="00A92BE8">
        <w:rPr>
          <w:rFonts w:eastAsia="Calibri"/>
          <w:sz w:val="20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19C1E422" w14:textId="51DF6430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CD057C">
      <w:rPr>
        <w:b/>
      </w:rPr>
      <w:t>DA 19-90</w:t>
    </w:r>
  </w:p>
  <w:p w:rsidR="009838BC" w:rsidRPr="009838BC" w:rsidP="009838BC" w14:paraId="3E59A107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0F83579F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0911D5B9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3857A05E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14B01922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42C0DECE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343067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0C40DE2C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3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66006C47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3946CA6B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3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6BD0308D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2F97E7CC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FD74C3A"/>
    <w:multiLevelType w:val="hybridMultilevel"/>
    <w:tmpl w:val="799A77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E1"/>
    <w:rsid w:val="000072CE"/>
    <w:rsid w:val="00013A8B"/>
    <w:rsid w:val="00016F21"/>
    <w:rsid w:val="00021445"/>
    <w:rsid w:val="00023635"/>
    <w:rsid w:val="00027A37"/>
    <w:rsid w:val="00036039"/>
    <w:rsid w:val="00037F90"/>
    <w:rsid w:val="000432D5"/>
    <w:rsid w:val="00043B04"/>
    <w:rsid w:val="0004675F"/>
    <w:rsid w:val="00053CBC"/>
    <w:rsid w:val="000558C8"/>
    <w:rsid w:val="0008434D"/>
    <w:rsid w:val="000875BF"/>
    <w:rsid w:val="00092529"/>
    <w:rsid w:val="00096D8C"/>
    <w:rsid w:val="00096EB7"/>
    <w:rsid w:val="000A41D0"/>
    <w:rsid w:val="000A5789"/>
    <w:rsid w:val="000A631E"/>
    <w:rsid w:val="000B19BD"/>
    <w:rsid w:val="000B3700"/>
    <w:rsid w:val="000B4773"/>
    <w:rsid w:val="000C0B65"/>
    <w:rsid w:val="000D5B68"/>
    <w:rsid w:val="000E38DD"/>
    <w:rsid w:val="000E3D42"/>
    <w:rsid w:val="000E5884"/>
    <w:rsid w:val="000E6BEF"/>
    <w:rsid w:val="00106C55"/>
    <w:rsid w:val="001142FE"/>
    <w:rsid w:val="00122BD5"/>
    <w:rsid w:val="00125575"/>
    <w:rsid w:val="00136D2C"/>
    <w:rsid w:val="00156699"/>
    <w:rsid w:val="00161DEA"/>
    <w:rsid w:val="00164F54"/>
    <w:rsid w:val="00171D55"/>
    <w:rsid w:val="00187B41"/>
    <w:rsid w:val="00195148"/>
    <w:rsid w:val="001979D9"/>
    <w:rsid w:val="00197BE0"/>
    <w:rsid w:val="001A3521"/>
    <w:rsid w:val="001A3FB5"/>
    <w:rsid w:val="001C301F"/>
    <w:rsid w:val="001D6BCF"/>
    <w:rsid w:val="001E01CA"/>
    <w:rsid w:val="001F1F8A"/>
    <w:rsid w:val="001F49A2"/>
    <w:rsid w:val="001F5774"/>
    <w:rsid w:val="0020036D"/>
    <w:rsid w:val="00201597"/>
    <w:rsid w:val="002017F3"/>
    <w:rsid w:val="00205D14"/>
    <w:rsid w:val="002060D9"/>
    <w:rsid w:val="0022055D"/>
    <w:rsid w:val="00224557"/>
    <w:rsid w:val="00226822"/>
    <w:rsid w:val="0024066A"/>
    <w:rsid w:val="00244596"/>
    <w:rsid w:val="00246B94"/>
    <w:rsid w:val="00260594"/>
    <w:rsid w:val="00285017"/>
    <w:rsid w:val="00285B86"/>
    <w:rsid w:val="0029771D"/>
    <w:rsid w:val="002A2D2E"/>
    <w:rsid w:val="002B634F"/>
    <w:rsid w:val="002B7B81"/>
    <w:rsid w:val="002B7EBF"/>
    <w:rsid w:val="002D7D75"/>
    <w:rsid w:val="002F5149"/>
    <w:rsid w:val="003034F0"/>
    <w:rsid w:val="003231C3"/>
    <w:rsid w:val="00326695"/>
    <w:rsid w:val="00337522"/>
    <w:rsid w:val="003377F1"/>
    <w:rsid w:val="00340703"/>
    <w:rsid w:val="00343749"/>
    <w:rsid w:val="00344C4C"/>
    <w:rsid w:val="0034571D"/>
    <w:rsid w:val="00357A5A"/>
    <w:rsid w:val="00357D50"/>
    <w:rsid w:val="0036169A"/>
    <w:rsid w:val="00366691"/>
    <w:rsid w:val="00366E5E"/>
    <w:rsid w:val="00367561"/>
    <w:rsid w:val="00367D04"/>
    <w:rsid w:val="00370C49"/>
    <w:rsid w:val="00374962"/>
    <w:rsid w:val="00381419"/>
    <w:rsid w:val="00390080"/>
    <w:rsid w:val="003925DC"/>
    <w:rsid w:val="003B0550"/>
    <w:rsid w:val="003B4975"/>
    <w:rsid w:val="003B694F"/>
    <w:rsid w:val="003C00B7"/>
    <w:rsid w:val="003E3180"/>
    <w:rsid w:val="003F171C"/>
    <w:rsid w:val="003F17E5"/>
    <w:rsid w:val="003F1D46"/>
    <w:rsid w:val="00402FB0"/>
    <w:rsid w:val="00412FC5"/>
    <w:rsid w:val="00420B86"/>
    <w:rsid w:val="00420C50"/>
    <w:rsid w:val="00420FB0"/>
    <w:rsid w:val="00422276"/>
    <w:rsid w:val="004242F1"/>
    <w:rsid w:val="00445A00"/>
    <w:rsid w:val="0044762A"/>
    <w:rsid w:val="00447E05"/>
    <w:rsid w:val="00451B0F"/>
    <w:rsid w:val="0046125F"/>
    <w:rsid w:val="00474AFB"/>
    <w:rsid w:val="00477012"/>
    <w:rsid w:val="00481CE1"/>
    <w:rsid w:val="004837E4"/>
    <w:rsid w:val="00487524"/>
    <w:rsid w:val="00496106"/>
    <w:rsid w:val="004A59A6"/>
    <w:rsid w:val="004B3035"/>
    <w:rsid w:val="004C12D0"/>
    <w:rsid w:val="004C2EE3"/>
    <w:rsid w:val="004D167B"/>
    <w:rsid w:val="004E16FB"/>
    <w:rsid w:val="004E4A22"/>
    <w:rsid w:val="004F441B"/>
    <w:rsid w:val="004F6870"/>
    <w:rsid w:val="004F73A5"/>
    <w:rsid w:val="00506469"/>
    <w:rsid w:val="00511968"/>
    <w:rsid w:val="005430EC"/>
    <w:rsid w:val="00553602"/>
    <w:rsid w:val="0055614C"/>
    <w:rsid w:val="00566289"/>
    <w:rsid w:val="0057001D"/>
    <w:rsid w:val="005941F6"/>
    <w:rsid w:val="00595172"/>
    <w:rsid w:val="00595995"/>
    <w:rsid w:val="005B1190"/>
    <w:rsid w:val="005B66E8"/>
    <w:rsid w:val="005D0239"/>
    <w:rsid w:val="005D28DA"/>
    <w:rsid w:val="005D3AC8"/>
    <w:rsid w:val="005D451D"/>
    <w:rsid w:val="005E3BDD"/>
    <w:rsid w:val="005F269F"/>
    <w:rsid w:val="00607BA5"/>
    <w:rsid w:val="00622AFC"/>
    <w:rsid w:val="00625386"/>
    <w:rsid w:val="00625735"/>
    <w:rsid w:val="00626EB6"/>
    <w:rsid w:val="006353A3"/>
    <w:rsid w:val="0063734C"/>
    <w:rsid w:val="00646AEA"/>
    <w:rsid w:val="0065403D"/>
    <w:rsid w:val="00655D03"/>
    <w:rsid w:val="00662BC7"/>
    <w:rsid w:val="00681877"/>
    <w:rsid w:val="00683F84"/>
    <w:rsid w:val="00696D97"/>
    <w:rsid w:val="006A3920"/>
    <w:rsid w:val="006A5226"/>
    <w:rsid w:val="006A6A81"/>
    <w:rsid w:val="006B1E8B"/>
    <w:rsid w:val="006B3C48"/>
    <w:rsid w:val="006C2983"/>
    <w:rsid w:val="006C5777"/>
    <w:rsid w:val="006D567F"/>
    <w:rsid w:val="006D6CD4"/>
    <w:rsid w:val="006E1EDC"/>
    <w:rsid w:val="006E26AF"/>
    <w:rsid w:val="006E49EE"/>
    <w:rsid w:val="006F6ED9"/>
    <w:rsid w:val="006F7393"/>
    <w:rsid w:val="0070224F"/>
    <w:rsid w:val="007103CA"/>
    <w:rsid w:val="007113C3"/>
    <w:rsid w:val="007115F7"/>
    <w:rsid w:val="00724E03"/>
    <w:rsid w:val="007407E5"/>
    <w:rsid w:val="00743437"/>
    <w:rsid w:val="007444AE"/>
    <w:rsid w:val="0075217D"/>
    <w:rsid w:val="0076336B"/>
    <w:rsid w:val="00763E15"/>
    <w:rsid w:val="00773721"/>
    <w:rsid w:val="007832F7"/>
    <w:rsid w:val="00784D4C"/>
    <w:rsid w:val="00785689"/>
    <w:rsid w:val="0078625A"/>
    <w:rsid w:val="0079754B"/>
    <w:rsid w:val="007A1E6D"/>
    <w:rsid w:val="007B0713"/>
    <w:rsid w:val="007C035A"/>
    <w:rsid w:val="007C4EA5"/>
    <w:rsid w:val="007E20CA"/>
    <w:rsid w:val="007E3F69"/>
    <w:rsid w:val="00801C89"/>
    <w:rsid w:val="008210E3"/>
    <w:rsid w:val="00822CE0"/>
    <w:rsid w:val="0082614E"/>
    <w:rsid w:val="00827251"/>
    <w:rsid w:val="008276F3"/>
    <w:rsid w:val="00833A5C"/>
    <w:rsid w:val="00837C62"/>
    <w:rsid w:val="00841AB1"/>
    <w:rsid w:val="00872936"/>
    <w:rsid w:val="00890954"/>
    <w:rsid w:val="00891AD5"/>
    <w:rsid w:val="008A2C0B"/>
    <w:rsid w:val="008C22FD"/>
    <w:rsid w:val="008C589A"/>
    <w:rsid w:val="008F01C7"/>
    <w:rsid w:val="008F68D0"/>
    <w:rsid w:val="00907F60"/>
    <w:rsid w:val="009104FB"/>
    <w:rsid w:val="00910F12"/>
    <w:rsid w:val="0091131E"/>
    <w:rsid w:val="00912D73"/>
    <w:rsid w:val="00921C7B"/>
    <w:rsid w:val="009232FB"/>
    <w:rsid w:val="00926503"/>
    <w:rsid w:val="00930ECF"/>
    <w:rsid w:val="009331DF"/>
    <w:rsid w:val="00946B5B"/>
    <w:rsid w:val="009679EF"/>
    <w:rsid w:val="009838BC"/>
    <w:rsid w:val="00985744"/>
    <w:rsid w:val="009933EF"/>
    <w:rsid w:val="009975C2"/>
    <w:rsid w:val="009A073E"/>
    <w:rsid w:val="009A5E24"/>
    <w:rsid w:val="009B2A04"/>
    <w:rsid w:val="009D3AF3"/>
    <w:rsid w:val="009E0C3D"/>
    <w:rsid w:val="009E2DEE"/>
    <w:rsid w:val="009F5CFB"/>
    <w:rsid w:val="00A15C88"/>
    <w:rsid w:val="00A37256"/>
    <w:rsid w:val="00A45ACC"/>
    <w:rsid w:val="00A45F4F"/>
    <w:rsid w:val="00A56EB3"/>
    <w:rsid w:val="00A600A9"/>
    <w:rsid w:val="00A66AC4"/>
    <w:rsid w:val="00A70464"/>
    <w:rsid w:val="00A866AC"/>
    <w:rsid w:val="00A91EB1"/>
    <w:rsid w:val="00A92BE8"/>
    <w:rsid w:val="00AA556D"/>
    <w:rsid w:val="00AA55B7"/>
    <w:rsid w:val="00AA5B9E"/>
    <w:rsid w:val="00AB2407"/>
    <w:rsid w:val="00AB34A2"/>
    <w:rsid w:val="00AB53DF"/>
    <w:rsid w:val="00AB65AD"/>
    <w:rsid w:val="00AC400A"/>
    <w:rsid w:val="00AC7219"/>
    <w:rsid w:val="00AD7223"/>
    <w:rsid w:val="00AE2208"/>
    <w:rsid w:val="00AE3F22"/>
    <w:rsid w:val="00B07E5C"/>
    <w:rsid w:val="00B116BC"/>
    <w:rsid w:val="00B215D9"/>
    <w:rsid w:val="00B31DB4"/>
    <w:rsid w:val="00B326E3"/>
    <w:rsid w:val="00B73C2B"/>
    <w:rsid w:val="00B811F7"/>
    <w:rsid w:val="00B81CE3"/>
    <w:rsid w:val="00B84F36"/>
    <w:rsid w:val="00B94A61"/>
    <w:rsid w:val="00BA3E5B"/>
    <w:rsid w:val="00BA5DC6"/>
    <w:rsid w:val="00BA6196"/>
    <w:rsid w:val="00BC003E"/>
    <w:rsid w:val="00BC5A62"/>
    <w:rsid w:val="00BC6D8C"/>
    <w:rsid w:val="00BD7AB5"/>
    <w:rsid w:val="00BE5C19"/>
    <w:rsid w:val="00BF6F43"/>
    <w:rsid w:val="00C04DC8"/>
    <w:rsid w:val="00C1130B"/>
    <w:rsid w:val="00C14522"/>
    <w:rsid w:val="00C15C77"/>
    <w:rsid w:val="00C16AF2"/>
    <w:rsid w:val="00C34006"/>
    <w:rsid w:val="00C426B1"/>
    <w:rsid w:val="00C56363"/>
    <w:rsid w:val="00C57B53"/>
    <w:rsid w:val="00C6688C"/>
    <w:rsid w:val="00C70A99"/>
    <w:rsid w:val="00C815BD"/>
    <w:rsid w:val="00C81DF3"/>
    <w:rsid w:val="00C82B6B"/>
    <w:rsid w:val="00C832F0"/>
    <w:rsid w:val="00C847D5"/>
    <w:rsid w:val="00C86EF6"/>
    <w:rsid w:val="00C90D6A"/>
    <w:rsid w:val="00CC0E5A"/>
    <w:rsid w:val="00CC6F71"/>
    <w:rsid w:val="00CC72B6"/>
    <w:rsid w:val="00CD057C"/>
    <w:rsid w:val="00CE7333"/>
    <w:rsid w:val="00CF0527"/>
    <w:rsid w:val="00CF1A98"/>
    <w:rsid w:val="00CF20C8"/>
    <w:rsid w:val="00CF7FEE"/>
    <w:rsid w:val="00D00BBF"/>
    <w:rsid w:val="00D0218D"/>
    <w:rsid w:val="00D11BE7"/>
    <w:rsid w:val="00D216CD"/>
    <w:rsid w:val="00D23E6D"/>
    <w:rsid w:val="00D576B8"/>
    <w:rsid w:val="00D618B0"/>
    <w:rsid w:val="00D6799E"/>
    <w:rsid w:val="00D72568"/>
    <w:rsid w:val="00D747DD"/>
    <w:rsid w:val="00D8157A"/>
    <w:rsid w:val="00D81AC6"/>
    <w:rsid w:val="00DA2529"/>
    <w:rsid w:val="00DA311F"/>
    <w:rsid w:val="00DB130A"/>
    <w:rsid w:val="00DC10A1"/>
    <w:rsid w:val="00DC4BD4"/>
    <w:rsid w:val="00DC655F"/>
    <w:rsid w:val="00DD3826"/>
    <w:rsid w:val="00DD782B"/>
    <w:rsid w:val="00DD7EBD"/>
    <w:rsid w:val="00DF5A9C"/>
    <w:rsid w:val="00DF62B6"/>
    <w:rsid w:val="00DF6D9A"/>
    <w:rsid w:val="00E0602E"/>
    <w:rsid w:val="00E07225"/>
    <w:rsid w:val="00E155B7"/>
    <w:rsid w:val="00E25FB9"/>
    <w:rsid w:val="00E26D1A"/>
    <w:rsid w:val="00E30C2B"/>
    <w:rsid w:val="00E379FC"/>
    <w:rsid w:val="00E5409F"/>
    <w:rsid w:val="00E636A3"/>
    <w:rsid w:val="00E6483F"/>
    <w:rsid w:val="00E650F7"/>
    <w:rsid w:val="00EA0A3E"/>
    <w:rsid w:val="00EA71BC"/>
    <w:rsid w:val="00EC0185"/>
    <w:rsid w:val="00EC2DA4"/>
    <w:rsid w:val="00EC5814"/>
    <w:rsid w:val="00ED1B71"/>
    <w:rsid w:val="00EE4C68"/>
    <w:rsid w:val="00F021FA"/>
    <w:rsid w:val="00F17AEE"/>
    <w:rsid w:val="00F2668C"/>
    <w:rsid w:val="00F269DC"/>
    <w:rsid w:val="00F401EF"/>
    <w:rsid w:val="00F457B8"/>
    <w:rsid w:val="00F468E9"/>
    <w:rsid w:val="00F47848"/>
    <w:rsid w:val="00F54273"/>
    <w:rsid w:val="00F57ACA"/>
    <w:rsid w:val="00F62E97"/>
    <w:rsid w:val="00F64209"/>
    <w:rsid w:val="00F676F0"/>
    <w:rsid w:val="00F717FB"/>
    <w:rsid w:val="00F74EEA"/>
    <w:rsid w:val="00F93BF5"/>
    <w:rsid w:val="00F96F63"/>
    <w:rsid w:val="00FB5C92"/>
    <w:rsid w:val="00FC0672"/>
    <w:rsid w:val="00FC132E"/>
    <w:rsid w:val="00FE4A0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D0D46D7-A81B-4865-A326-615EE40C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CE1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481CE1"/>
  </w:style>
  <w:style w:type="paragraph" w:styleId="ListParagraph">
    <w:name w:val="List Paragraph"/>
    <w:basedOn w:val="Normal"/>
    <w:uiPriority w:val="34"/>
    <w:qFormat/>
    <w:rsid w:val="00481C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4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975"/>
    <w:pPr>
      <w:widowControl/>
    </w:pPr>
    <w:rPr>
      <w:snapToGrid/>
      <w:kern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975"/>
  </w:style>
  <w:style w:type="paragraph" w:styleId="BalloonText">
    <w:name w:val="Balloon Text"/>
    <w:basedOn w:val="Normal"/>
    <w:link w:val="BalloonTextChar"/>
    <w:uiPriority w:val="99"/>
    <w:semiHidden/>
    <w:unhideWhenUsed/>
    <w:rsid w:val="003B4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75"/>
    <w:rPr>
      <w:rFonts w:ascii="Segoe UI" w:hAnsi="Segoe UI" w:cs="Segoe UI"/>
      <w:snapToGrid w:val="0"/>
      <w:kern w:val="28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C7219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DF3"/>
    <w:pPr>
      <w:widowControl w:val="0"/>
    </w:pPr>
    <w:rPr>
      <w:b/>
      <w:bCs/>
      <w:snapToGrid w:val="0"/>
      <w:kern w:val="2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DF3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6D567F"/>
    <w:rPr>
      <w:snapToGrid w:val="0"/>
      <w:kern w:val="28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1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2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EB-SED-response@fcc.gov" TargetMode="External" /><Relationship Id="rId6" Type="http://schemas.openxmlformats.org/officeDocument/2006/relationships/hyperlink" Target="https://www.fcc.gov/engineering-technology/laboratory-division/general/equipment-authorization" TargetMode="External" /><Relationship Id="rId7" Type="http://schemas.openxmlformats.org/officeDocument/2006/relationships/hyperlink" Target="https://apps.fcc.gov/oetcf/kdb/index.cfm" TargetMode="External" /><Relationship Id="rId8" Type="http://schemas.openxmlformats.org/officeDocument/2006/relationships/hyperlink" Target="https://consumercomplaints.fcc.gov" TargetMode="External" /><Relationship Id="rId9" Type="http://schemas.openxmlformats.org/officeDocument/2006/relationships/header" Target="header1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apps.fcc.gov/oetcf/kdb/forms/FTSSearchResultPage.cfm?switch=P&amp;id=27980" TargetMode="External" /><Relationship Id="rId2" Type="http://schemas.openxmlformats.org/officeDocument/2006/relationships/hyperlink" Target="https://apps.fcc.gov/kdb/GetAttachment.html?id=Sge4TP9Xk74qw7eKmI6TdQ%3D%3D&amp;desc=896810%20D01%20SDoC%20v01r01&amp;tracking_number=203240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