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51422" w:rsidRPr="00BD4376" w:rsidP="00D51422">
      <w:pPr>
        <w:jc w:val="right"/>
        <w:rPr>
          <w:b/>
          <w:szCs w:val="22"/>
        </w:rPr>
      </w:pPr>
      <w:r w:rsidRPr="00D51422">
        <w:rPr>
          <w:b/>
          <w:szCs w:val="22"/>
        </w:rPr>
        <w:t>DA 19-</w:t>
      </w:r>
      <w:r w:rsidR="00BD4376">
        <w:rPr>
          <w:b/>
          <w:szCs w:val="22"/>
        </w:rPr>
        <w:t>913</w:t>
      </w:r>
    </w:p>
    <w:p w:rsidR="00D51422" w:rsidRPr="00D51422" w:rsidP="00D51422">
      <w:pPr>
        <w:spacing w:before="60"/>
        <w:jc w:val="right"/>
        <w:rPr>
          <w:b/>
          <w:szCs w:val="22"/>
        </w:rPr>
      </w:pPr>
      <w:r>
        <w:rPr>
          <w:b/>
          <w:szCs w:val="22"/>
        </w:rPr>
        <w:t xml:space="preserve">Released: </w:t>
      </w:r>
      <w:r w:rsidR="00454474">
        <w:rPr>
          <w:b/>
          <w:szCs w:val="22"/>
        </w:rPr>
        <w:t>September</w:t>
      </w:r>
      <w:r w:rsidRPr="00D51422" w:rsidR="009561E3">
        <w:rPr>
          <w:b/>
          <w:szCs w:val="22"/>
        </w:rPr>
        <w:t xml:space="preserve"> </w:t>
      </w:r>
      <w:r w:rsidRPr="00BB4497" w:rsidR="00BB4497">
        <w:rPr>
          <w:b/>
          <w:szCs w:val="22"/>
        </w:rPr>
        <w:t>1</w:t>
      </w:r>
      <w:r w:rsidR="00BD4376">
        <w:rPr>
          <w:b/>
          <w:szCs w:val="22"/>
        </w:rPr>
        <w:t>3</w:t>
      </w:r>
      <w:r w:rsidRPr="00D51422" w:rsidR="009561E3">
        <w:rPr>
          <w:b/>
          <w:szCs w:val="22"/>
        </w:rPr>
        <w:t>, 2019</w:t>
      </w:r>
    </w:p>
    <w:p w:rsidR="00D51422" w:rsidRPr="00D51422" w:rsidP="00464832">
      <w:pPr>
        <w:jc w:val="center"/>
        <w:rPr>
          <w:szCs w:val="22"/>
        </w:rPr>
      </w:pPr>
    </w:p>
    <w:p w:rsidR="00713C94" w:rsidRPr="00D51422" w:rsidP="00713C94">
      <w:pPr>
        <w:jc w:val="center"/>
        <w:rPr>
          <w:b/>
          <w:caps/>
          <w:szCs w:val="22"/>
        </w:rPr>
      </w:pPr>
      <w:r>
        <w:rPr>
          <w:b/>
          <w:caps/>
          <w:szCs w:val="22"/>
        </w:rPr>
        <w:t xml:space="preserve">WIRELESS TELECOMMUNICATIONS </w:t>
      </w:r>
      <w:r w:rsidRPr="00D51422" w:rsidR="009561E3">
        <w:rPr>
          <w:b/>
          <w:caps/>
          <w:szCs w:val="22"/>
        </w:rPr>
        <w:t xml:space="preserve">BUREAU </w:t>
      </w:r>
      <w:r w:rsidR="00EC71F2">
        <w:rPr>
          <w:b/>
          <w:caps/>
          <w:szCs w:val="22"/>
        </w:rPr>
        <w:t xml:space="preserve">AND WIRELINE </w:t>
      </w:r>
      <w:r w:rsidR="00D36F56">
        <w:rPr>
          <w:b/>
          <w:caps/>
          <w:szCs w:val="22"/>
        </w:rPr>
        <w:t>competition</w:t>
      </w:r>
      <w:r w:rsidR="00EC71F2">
        <w:rPr>
          <w:b/>
          <w:caps/>
          <w:szCs w:val="22"/>
        </w:rPr>
        <w:t xml:space="preserve"> </w:t>
      </w:r>
      <w:r>
        <w:rPr>
          <w:b/>
          <w:caps/>
          <w:szCs w:val="22"/>
        </w:rPr>
        <w:t xml:space="preserve">BUREAU </w:t>
      </w:r>
      <w:r w:rsidRPr="00D51422" w:rsidR="009561E3">
        <w:rPr>
          <w:b/>
          <w:caps/>
          <w:szCs w:val="22"/>
        </w:rPr>
        <w:t>SEEK comment on</w:t>
      </w:r>
      <w:r w:rsidR="000D2B9E">
        <w:rPr>
          <w:b/>
          <w:caps/>
          <w:szCs w:val="22"/>
        </w:rPr>
        <w:t xml:space="preserve"> </w:t>
      </w:r>
      <w:r>
        <w:rPr>
          <w:b/>
          <w:caps/>
          <w:szCs w:val="22"/>
        </w:rPr>
        <w:t xml:space="preserve">WIA </w:t>
      </w:r>
      <w:r w:rsidRPr="00D51422">
        <w:rPr>
          <w:b/>
          <w:caps/>
          <w:szCs w:val="22"/>
        </w:rPr>
        <w:t>PETITION FOR rulemaking</w:t>
      </w:r>
      <w:r w:rsidR="00D36F56">
        <w:rPr>
          <w:b/>
          <w:caps/>
          <w:szCs w:val="22"/>
        </w:rPr>
        <w:t>,</w:t>
      </w:r>
      <w:r w:rsidRPr="00D51422">
        <w:rPr>
          <w:b/>
          <w:caps/>
          <w:szCs w:val="22"/>
        </w:rPr>
        <w:t xml:space="preserve"> </w:t>
      </w:r>
      <w:r>
        <w:rPr>
          <w:b/>
          <w:caps/>
          <w:szCs w:val="22"/>
        </w:rPr>
        <w:t xml:space="preserve">WIA </w:t>
      </w:r>
      <w:r w:rsidR="00D36F56">
        <w:rPr>
          <w:b/>
          <w:caps/>
          <w:szCs w:val="22"/>
        </w:rPr>
        <w:t xml:space="preserve">PETITION FOR DECLARATORY RULING </w:t>
      </w:r>
      <w:r>
        <w:rPr>
          <w:b/>
          <w:caps/>
          <w:szCs w:val="22"/>
        </w:rPr>
        <w:t xml:space="preserve">AND CTIA </w:t>
      </w:r>
      <w:r w:rsidRPr="00D51422" w:rsidR="009561E3">
        <w:rPr>
          <w:b/>
          <w:caps/>
          <w:szCs w:val="22"/>
        </w:rPr>
        <w:t>Petition for Declaratory ruling</w:t>
      </w:r>
    </w:p>
    <w:p w:rsidR="008062E4" w:rsidP="00D51422">
      <w:pPr>
        <w:jc w:val="center"/>
        <w:rPr>
          <w:b/>
        </w:rPr>
      </w:pPr>
      <w:bookmarkStart w:id="0" w:name="_Hlk16600401"/>
    </w:p>
    <w:p w:rsidR="00D51422" w:rsidP="00D51422">
      <w:pPr>
        <w:jc w:val="center"/>
        <w:rPr>
          <w:b/>
        </w:rPr>
      </w:pPr>
      <w:r>
        <w:rPr>
          <w:b/>
        </w:rPr>
        <w:t>WT</w:t>
      </w:r>
      <w:r w:rsidRPr="00D51422" w:rsidR="009561E3">
        <w:rPr>
          <w:b/>
        </w:rPr>
        <w:t xml:space="preserve"> Docket No. </w:t>
      </w:r>
      <w:r>
        <w:rPr>
          <w:b/>
        </w:rPr>
        <w:t>19-</w:t>
      </w:r>
      <w:r w:rsidR="00A3356B">
        <w:rPr>
          <w:b/>
        </w:rPr>
        <w:t>250</w:t>
      </w:r>
      <w:r>
        <w:rPr>
          <w:b/>
        </w:rPr>
        <w:tab/>
      </w:r>
    </w:p>
    <w:p w:rsidR="003C772D" w:rsidP="00D51422">
      <w:pPr>
        <w:jc w:val="center"/>
        <w:rPr>
          <w:b/>
        </w:rPr>
      </w:pPr>
      <w:r>
        <w:rPr>
          <w:b/>
        </w:rPr>
        <w:t xml:space="preserve">WC Docket No. </w:t>
      </w:r>
      <w:r w:rsidR="0060073C">
        <w:rPr>
          <w:b/>
        </w:rPr>
        <w:t>17-84</w:t>
      </w:r>
    </w:p>
    <w:p w:rsidR="00DC0C51" w:rsidRPr="00D51422" w:rsidP="00D51422">
      <w:pPr>
        <w:jc w:val="center"/>
        <w:rPr>
          <w:b/>
        </w:rPr>
      </w:pPr>
      <w:r>
        <w:rPr>
          <w:b/>
        </w:rPr>
        <w:t>RM-11</w:t>
      </w:r>
      <w:r w:rsidR="00A3356B">
        <w:rPr>
          <w:b/>
        </w:rPr>
        <w:t>849</w:t>
      </w:r>
    </w:p>
    <w:bookmarkEnd w:id="0"/>
    <w:p w:rsidR="00D51422" w:rsidP="00D51422">
      <w:pPr>
        <w:jc w:val="center"/>
        <w:rPr>
          <w:b/>
          <w:szCs w:val="22"/>
        </w:rPr>
      </w:pPr>
    </w:p>
    <w:p w:rsidR="00D51422" w:rsidRPr="00D51422" w:rsidP="00D51422">
      <w:pPr>
        <w:rPr>
          <w:b/>
          <w:szCs w:val="22"/>
        </w:rPr>
      </w:pPr>
      <w:r w:rsidRPr="00D51422">
        <w:rPr>
          <w:b/>
          <w:szCs w:val="22"/>
        </w:rPr>
        <w:t>Comment D</w:t>
      </w:r>
      <w:r w:rsidR="000D2B9E">
        <w:rPr>
          <w:b/>
          <w:szCs w:val="22"/>
        </w:rPr>
        <w:t>at</w:t>
      </w:r>
      <w:r w:rsidRPr="00D51422">
        <w:rPr>
          <w:b/>
          <w:szCs w:val="22"/>
        </w:rPr>
        <w:t xml:space="preserve">e:  </w:t>
      </w:r>
      <w:r w:rsidR="00B750A6">
        <w:rPr>
          <w:b/>
          <w:bCs/>
          <w:szCs w:val="22"/>
        </w:rPr>
        <w:t>October 15, 2019</w:t>
      </w:r>
    </w:p>
    <w:p w:rsidR="00D51422" w:rsidRPr="00D51422" w:rsidP="00D51422">
      <w:pPr>
        <w:rPr>
          <w:b/>
          <w:szCs w:val="22"/>
        </w:rPr>
      </w:pPr>
      <w:r w:rsidRPr="00D51422">
        <w:rPr>
          <w:b/>
          <w:szCs w:val="22"/>
        </w:rPr>
        <w:t>Reply Comment D</w:t>
      </w:r>
      <w:r w:rsidR="000D2B9E">
        <w:rPr>
          <w:b/>
          <w:szCs w:val="22"/>
        </w:rPr>
        <w:t>at</w:t>
      </w:r>
      <w:r w:rsidRPr="00D51422">
        <w:rPr>
          <w:b/>
          <w:szCs w:val="22"/>
        </w:rPr>
        <w:t xml:space="preserve">e:  </w:t>
      </w:r>
      <w:r w:rsidR="00B750A6">
        <w:rPr>
          <w:b/>
          <w:bCs/>
          <w:szCs w:val="22"/>
        </w:rPr>
        <w:t>October 30, 2019</w:t>
      </w:r>
    </w:p>
    <w:p w:rsidR="00D51422" w:rsidRPr="00D51422" w:rsidP="000D2B9E">
      <w:pPr>
        <w:spacing w:after="120"/>
        <w:rPr>
          <w:b/>
          <w:szCs w:val="22"/>
        </w:rPr>
      </w:pPr>
    </w:p>
    <w:p w:rsidR="00D51422" w:rsidRPr="00D51422" w:rsidP="000D2B9E">
      <w:pPr>
        <w:pStyle w:val="ParaNum"/>
        <w:numPr>
          <w:ilvl w:val="0"/>
          <w:numId w:val="0"/>
        </w:numPr>
        <w:ind w:firstLine="720"/>
      </w:pPr>
      <w:r w:rsidRPr="00713C94">
        <w:t xml:space="preserve">By this Public Notice, the Wireless Telecommunications Bureau </w:t>
      </w:r>
      <w:r w:rsidR="003C772D">
        <w:t xml:space="preserve">and Wireline Competition Bureau (Bureaus) </w:t>
      </w:r>
      <w:r w:rsidRPr="00713C94">
        <w:t xml:space="preserve">seek comment on a Petition for Rulemaking filed by the Wireless Infrastructure Association (WIA), </w:t>
      </w:r>
      <w:r w:rsidRPr="00713C94" w:rsidR="00191C03">
        <w:t>a Petition for Declaratory Ruling</w:t>
      </w:r>
      <w:r w:rsidR="00191C03">
        <w:t xml:space="preserve"> filed by WIA</w:t>
      </w:r>
      <w:r w:rsidRPr="00713C94" w:rsidR="00191C03">
        <w:t xml:space="preserve">, </w:t>
      </w:r>
      <w:r w:rsidR="00191C03">
        <w:t xml:space="preserve">and </w:t>
      </w:r>
      <w:r w:rsidRPr="00713C94">
        <w:t xml:space="preserve">a Petition for </w:t>
      </w:r>
      <w:r w:rsidR="003C772D">
        <w:t>Declaratory Ruling</w:t>
      </w:r>
      <w:r w:rsidRPr="00713C94" w:rsidR="003C772D">
        <w:t xml:space="preserve"> </w:t>
      </w:r>
      <w:r w:rsidRPr="00713C94">
        <w:t>filed by CTIA.</w:t>
      </w:r>
      <w:r>
        <w:rPr>
          <w:vertAlign w:val="superscript"/>
        </w:rPr>
        <w:footnoteReference w:id="3"/>
      </w:r>
      <w:r w:rsidRPr="00713C94">
        <w:t xml:space="preserve">  </w:t>
      </w:r>
      <w:r w:rsidR="003C772D">
        <w:t>WIA’s</w:t>
      </w:r>
      <w:r w:rsidRPr="00713C94" w:rsidR="003C772D">
        <w:t xml:space="preserve"> </w:t>
      </w:r>
      <w:r w:rsidRPr="00713C94">
        <w:t xml:space="preserve">Petition for Rulemaking </w:t>
      </w:r>
      <w:r w:rsidR="00823812">
        <w:t xml:space="preserve">and Petition for Declaratory Ruling </w:t>
      </w:r>
      <w:r w:rsidRPr="00713C94">
        <w:t xml:space="preserve">ask the Commission to </w:t>
      </w:r>
      <w:r w:rsidR="00823812">
        <w:t xml:space="preserve">adopt new rules or clarify existing rules regarding </w:t>
      </w:r>
      <w:r w:rsidRPr="00713C94">
        <w:t>Section 6409(a) of the Spectrum Act of 2012 (</w:t>
      </w:r>
      <w:r w:rsidR="00791E11">
        <w:t>Section 6409</w:t>
      </w:r>
      <w:r w:rsidRPr="00713C94">
        <w:t>)</w:t>
      </w:r>
      <w:r w:rsidR="00823812">
        <w:t>.</w:t>
      </w:r>
      <w:r>
        <w:rPr>
          <w:vertAlign w:val="superscript"/>
        </w:rPr>
        <w:footnoteReference w:id="4"/>
      </w:r>
      <w:r w:rsidRPr="00713C94">
        <w:t xml:space="preserve"> </w:t>
      </w:r>
      <w:r w:rsidR="00823812">
        <w:t xml:space="preserve"> </w:t>
      </w:r>
      <w:r w:rsidR="003C772D">
        <w:t>CTIA’s</w:t>
      </w:r>
      <w:r w:rsidRPr="00713C94" w:rsidR="003C772D">
        <w:t xml:space="preserve"> </w:t>
      </w:r>
      <w:r w:rsidRPr="00713C94">
        <w:t xml:space="preserve">Petition for Declaratory Ruling </w:t>
      </w:r>
      <w:r w:rsidR="005508CB">
        <w:t>similarly</w:t>
      </w:r>
      <w:r w:rsidR="00823812">
        <w:t xml:space="preserve"> </w:t>
      </w:r>
      <w:r w:rsidRPr="00713C94">
        <w:t>seek</w:t>
      </w:r>
      <w:r w:rsidR="00823812">
        <w:t>s</w:t>
      </w:r>
      <w:r w:rsidRPr="00713C94">
        <w:t xml:space="preserve"> clarification of rule</w:t>
      </w:r>
      <w:r w:rsidR="003C772D">
        <w:t xml:space="preserve">s relating to Section 6409 </w:t>
      </w:r>
      <w:r w:rsidR="00880B79">
        <w:t xml:space="preserve">and </w:t>
      </w:r>
      <w:r w:rsidR="00823812">
        <w:t xml:space="preserve">also requests clarifications of rules </w:t>
      </w:r>
      <w:r w:rsidR="005508CB">
        <w:t>implementing</w:t>
      </w:r>
      <w:r w:rsidR="003C772D">
        <w:t xml:space="preserve"> Section 224</w:t>
      </w:r>
      <w:r w:rsidR="00736BA4">
        <w:t xml:space="preserve"> of the Communications Act</w:t>
      </w:r>
      <w:r w:rsidRPr="00713C94">
        <w:t>.</w:t>
      </w:r>
      <w:r>
        <w:rPr>
          <w:rStyle w:val="FootnoteReference"/>
          <w:szCs w:val="22"/>
        </w:rPr>
        <w:footnoteReference w:id="5"/>
      </w:r>
      <w:r w:rsidRPr="00D51422" w:rsidR="009561E3">
        <w:t xml:space="preserve"> </w:t>
      </w:r>
      <w:r w:rsidR="00823812">
        <w:t xml:space="preserve"> The Bureaus are creating a new docket number to address the Section 6409 issues in the Petitions.</w:t>
      </w:r>
      <w:r>
        <w:rPr>
          <w:rStyle w:val="FootnoteReference"/>
          <w:szCs w:val="22"/>
        </w:rPr>
        <w:footnoteReference w:id="6"/>
      </w:r>
    </w:p>
    <w:p w:rsidR="00D625AE" w:rsidP="000D2B9E">
      <w:pPr>
        <w:pStyle w:val="ParaNum"/>
        <w:numPr>
          <w:ilvl w:val="0"/>
          <w:numId w:val="0"/>
        </w:numPr>
        <w:ind w:firstLine="720"/>
      </w:pPr>
      <w:r w:rsidRPr="00713C94">
        <w:t>WIA’s Petition for Rulemaking asks the Commission to amend</w:t>
      </w:r>
      <w:r w:rsidR="009D0BCA">
        <w:t xml:space="preserve"> </w:t>
      </w:r>
      <w:r w:rsidR="00736BA4">
        <w:t>our</w:t>
      </w:r>
      <w:r w:rsidRPr="00713C94" w:rsidR="00736BA4">
        <w:t xml:space="preserve"> </w:t>
      </w:r>
      <w:r w:rsidRPr="00713C94">
        <w:t>rule</w:t>
      </w:r>
      <w:r w:rsidR="00736BA4">
        <w:t>s</w:t>
      </w:r>
      <w:r w:rsidRPr="00713C94">
        <w:t xml:space="preserve"> </w:t>
      </w:r>
      <w:r w:rsidR="009D0BCA">
        <w:t>to reflect</w:t>
      </w:r>
      <w:r w:rsidRPr="00275711">
        <w:t xml:space="preserve"> that collocations</w:t>
      </w:r>
      <w:r>
        <w:t xml:space="preserve"> </w:t>
      </w:r>
      <w:r w:rsidRPr="00275711">
        <w:t xml:space="preserve">requiring </w:t>
      </w:r>
      <w:r>
        <w:t xml:space="preserve">an </w:t>
      </w:r>
      <w:r w:rsidRPr="00275711">
        <w:t>expansion</w:t>
      </w:r>
      <w:r>
        <w:t xml:space="preserve"> of the current site</w:t>
      </w:r>
      <w:r w:rsidR="0045205D">
        <w:t>—</w:t>
      </w:r>
      <w:r w:rsidRPr="00275711">
        <w:t>within 30 feet of a tower site</w:t>
      </w:r>
      <w:r w:rsidR="0045205D">
        <w:t>—</w:t>
      </w:r>
      <w:r w:rsidRPr="00275711">
        <w:t>qualify for</w:t>
      </w:r>
      <w:r w:rsidR="000D2B9E">
        <w:t xml:space="preserve"> </w:t>
      </w:r>
      <w:r w:rsidRPr="00275711">
        <w:t>relief under Section 6409(a) and</w:t>
      </w:r>
      <w:r w:rsidR="009D0BCA">
        <w:t xml:space="preserve"> to</w:t>
      </w:r>
      <w:r w:rsidRPr="00275711">
        <w:t xml:space="preserve"> require that fees associated</w:t>
      </w:r>
      <w:r>
        <w:t xml:space="preserve"> with eligible facilities requests under Sect</w:t>
      </w:r>
      <w:r w:rsidR="00EF1959">
        <w:t>i</w:t>
      </w:r>
      <w:r>
        <w:t>on 6409</w:t>
      </w:r>
      <w:r w:rsidRPr="00275711">
        <w:t xml:space="preserve"> be cost-based</w:t>
      </w:r>
      <w:r w:rsidRPr="00C573E1" w:rsidR="00713C94">
        <w:t xml:space="preserve">.  </w:t>
      </w:r>
      <w:r w:rsidRPr="00713C94" w:rsidR="00713C94">
        <w:t>WIA’s Petition for Declaratory Ruling asks the Commission to</w:t>
      </w:r>
      <w:r w:rsidR="00EB3F2C">
        <w:t xml:space="preserve"> clarify</w:t>
      </w:r>
      <w:r w:rsidR="00284903">
        <w:t>:</w:t>
      </w:r>
      <w:r w:rsidR="009D0BCA">
        <w:t xml:space="preserve"> (1) that</w:t>
      </w:r>
      <w:r w:rsidRPr="00275711">
        <w:t xml:space="preserve"> </w:t>
      </w:r>
      <w:r w:rsidRPr="00275711">
        <w:t>Section 6409(a) and</w:t>
      </w:r>
      <w:r>
        <w:t xml:space="preserve"> our related rules</w:t>
      </w:r>
      <w:r w:rsidRPr="00275711">
        <w:t xml:space="preserve"> apply to all state and local authorizations</w:t>
      </w:r>
      <w:r w:rsidR="009D0BCA">
        <w:t>; (2) when</w:t>
      </w:r>
      <w:r>
        <w:t xml:space="preserve"> the time to decide an application </w:t>
      </w:r>
      <w:r w:rsidRPr="00275711">
        <w:t>begins to run</w:t>
      </w:r>
      <w:r w:rsidR="009D0BCA">
        <w:t xml:space="preserve">; (3) what constitutes </w:t>
      </w:r>
      <w:r w:rsidR="000D2F32">
        <w:t xml:space="preserve">a </w:t>
      </w:r>
      <w:r w:rsidR="009D0BCA">
        <w:t>s</w:t>
      </w:r>
      <w:r w:rsidRPr="00275711">
        <w:t>ubstantial change</w:t>
      </w:r>
      <w:r w:rsidR="000D2F32">
        <w:t xml:space="preserve"> under S</w:t>
      </w:r>
      <w:r w:rsidR="00955865">
        <w:t>e</w:t>
      </w:r>
      <w:r w:rsidR="000D2F32">
        <w:t>ct</w:t>
      </w:r>
      <w:r w:rsidR="00955865">
        <w:t>i</w:t>
      </w:r>
      <w:r w:rsidR="000D2F32">
        <w:t>on 6409(a); (4) that</w:t>
      </w:r>
      <w:r>
        <w:t xml:space="preserve"> </w:t>
      </w:r>
      <w:r w:rsidRPr="00275711">
        <w:t xml:space="preserve">“conditional” approvals </w:t>
      </w:r>
      <w:r>
        <w:t xml:space="preserve">by localities </w:t>
      </w:r>
      <w:r w:rsidRPr="00275711">
        <w:t>violate Section 6409(a)</w:t>
      </w:r>
      <w:r w:rsidR="000D2F32">
        <w:t xml:space="preserve">; </w:t>
      </w:r>
      <w:r w:rsidRPr="00275711">
        <w:t>and</w:t>
      </w:r>
      <w:r w:rsidR="00EF1959">
        <w:t xml:space="preserve"> </w:t>
      </w:r>
      <w:r w:rsidR="000D2F32">
        <w:t xml:space="preserve">(5) </w:t>
      </w:r>
      <w:r w:rsidR="00EF1959">
        <w:t>that</w:t>
      </w:r>
      <w:r w:rsidRPr="00275711">
        <w:t xml:space="preserve"> localities may not establish</w:t>
      </w:r>
      <w:r>
        <w:t xml:space="preserve"> </w:t>
      </w:r>
      <w:r w:rsidRPr="00275711">
        <w:t>processes or impose conditions that effectively defeat or reduce the protections afforded under</w:t>
      </w:r>
      <w:r>
        <w:t xml:space="preserve"> </w:t>
      </w:r>
      <w:r w:rsidRPr="00275711">
        <w:t>Section 6409(a)</w:t>
      </w:r>
      <w:r w:rsidR="001D730F">
        <w:t>.</w:t>
      </w:r>
      <w:r>
        <w:rPr>
          <w:rStyle w:val="FootnoteReference"/>
          <w:szCs w:val="22"/>
        </w:rPr>
        <w:footnoteReference w:id="7"/>
      </w:r>
      <w:r>
        <w:t xml:space="preserve"> </w:t>
      </w:r>
    </w:p>
    <w:p w:rsidR="008623D7" w:rsidP="000D2B9E">
      <w:pPr>
        <w:pStyle w:val="ParaNum"/>
        <w:numPr>
          <w:ilvl w:val="0"/>
          <w:numId w:val="0"/>
        </w:numPr>
        <w:ind w:firstLine="720"/>
      </w:pPr>
      <w:r>
        <w:t>C</w:t>
      </w:r>
      <w:r w:rsidR="00596018">
        <w:t>TIA</w:t>
      </w:r>
      <w:r w:rsidRPr="00713C94" w:rsidR="00596018">
        <w:t xml:space="preserve">’s Petition for </w:t>
      </w:r>
      <w:r w:rsidR="001D730F">
        <w:t>Declaratory Ruling</w:t>
      </w:r>
      <w:r w:rsidR="00596018">
        <w:t xml:space="preserve"> </w:t>
      </w:r>
      <w:r w:rsidRPr="00713C94" w:rsidR="00596018">
        <w:t>asks the Commission to</w:t>
      </w:r>
      <w:r w:rsidR="00F86E94">
        <w:t xml:space="preserve"> </w:t>
      </w:r>
      <w:r w:rsidR="00EB3F2C">
        <w:t xml:space="preserve">clarify </w:t>
      </w:r>
      <w:r w:rsidR="00F86E94">
        <w:t xml:space="preserve">the terms “concealment element,” “equipment cabinet,” and “base station” in </w:t>
      </w:r>
      <w:r w:rsidR="00EB3F2C">
        <w:t>our rules</w:t>
      </w:r>
      <w:r w:rsidR="000F0CE1">
        <w:t xml:space="preserve">, and clarify </w:t>
      </w:r>
      <w:r w:rsidR="00EF1959">
        <w:t xml:space="preserve">that </w:t>
      </w:r>
      <w:r w:rsidR="000F0CE1">
        <w:t xml:space="preserve">when </w:t>
      </w:r>
      <w:r w:rsidRPr="00EB3F2C" w:rsidR="00445463">
        <w:t xml:space="preserve">an application is “deemed granted” under </w:t>
      </w:r>
      <w:r w:rsidRPr="00EB3F2C">
        <w:t>Section 6409</w:t>
      </w:r>
      <w:r w:rsidR="00EF1959">
        <w:t>,</w:t>
      </w:r>
      <w:r w:rsidR="000F0CE1">
        <w:t xml:space="preserve"> applicants may lawfully construct even if the siting authority has not issued construction permits</w:t>
      </w:r>
      <w:r w:rsidR="00EB3F2C">
        <w:t xml:space="preserve">. </w:t>
      </w:r>
      <w:r w:rsidR="00955865">
        <w:t xml:space="preserve"> </w:t>
      </w:r>
      <w:r w:rsidR="00EB3F2C">
        <w:t>With respect to section 224, CTIA asks the Commission to</w:t>
      </w:r>
      <w:r w:rsidR="000D2F32">
        <w:t>: (1)</w:t>
      </w:r>
      <w:r w:rsidR="00EB3F2C">
        <w:t xml:space="preserve"> d</w:t>
      </w:r>
      <w:r w:rsidRPr="00EB3F2C" w:rsidR="00202CA4">
        <w:t xml:space="preserve">etermine that </w:t>
      </w:r>
      <w:r w:rsidRPr="00EB3F2C">
        <w:t xml:space="preserve">the definition of </w:t>
      </w:r>
      <w:r w:rsidRPr="00EB3F2C" w:rsidR="00202CA4">
        <w:t>the term</w:t>
      </w:r>
      <w:r w:rsidRPr="00EB3F2C">
        <w:t xml:space="preserve"> “pole”</w:t>
      </w:r>
      <w:r w:rsidRPr="00EB3F2C" w:rsidR="00202CA4">
        <w:t xml:space="preserve"> in section 224 includes light poles</w:t>
      </w:r>
      <w:r w:rsidR="000D2F32">
        <w:t>; (2)</w:t>
      </w:r>
      <w:r w:rsidR="00EB3F2C">
        <w:t xml:space="preserve"> c</w:t>
      </w:r>
      <w:r w:rsidRPr="00EB3F2C" w:rsidR="00202CA4">
        <w:t>onclude that utilities may not impose blanket prohibitions on access to certain parts of the pole</w:t>
      </w:r>
      <w:r w:rsidR="000D2F32">
        <w:t>;</w:t>
      </w:r>
      <w:r w:rsidRPr="00EB3F2C" w:rsidR="00202CA4">
        <w:t xml:space="preserve"> and</w:t>
      </w:r>
      <w:r w:rsidR="00EB3F2C">
        <w:t xml:space="preserve"> </w:t>
      </w:r>
      <w:r w:rsidR="000D2F32">
        <w:t xml:space="preserve">(3) </w:t>
      </w:r>
      <w:r w:rsidR="00EB3F2C">
        <w:t>c</w:t>
      </w:r>
      <w:r w:rsidRPr="00EB3F2C" w:rsidR="00202CA4">
        <w:t>larify that utilities may not ask attachers to accept</w:t>
      </w:r>
      <w:r w:rsidRPr="00EB3F2C" w:rsidR="00171784">
        <w:t xml:space="preserve"> </w:t>
      </w:r>
      <w:r w:rsidRPr="00EB3F2C">
        <w:t>terms and conditions that</w:t>
      </w:r>
      <w:r w:rsidRPr="00EB3F2C" w:rsidR="00202CA4">
        <w:t xml:space="preserve"> are inconsistent with the Commission’s rules</w:t>
      </w:r>
      <w:r w:rsidRPr="00EB3F2C">
        <w:t xml:space="preserve">.   </w:t>
      </w:r>
    </w:p>
    <w:p w:rsidR="00596018" w:rsidP="000D2B9E">
      <w:pPr>
        <w:pStyle w:val="ParaNum"/>
        <w:numPr>
          <w:ilvl w:val="0"/>
          <w:numId w:val="0"/>
        </w:numPr>
        <w:ind w:firstLine="720"/>
        <w:rPr>
          <w:iCs/>
        </w:rPr>
      </w:pPr>
      <w:r>
        <w:t xml:space="preserve">We seek comment on these issues and </w:t>
      </w:r>
      <w:r w:rsidR="00ED7F4E">
        <w:t xml:space="preserve">all </w:t>
      </w:r>
      <w:r>
        <w:t xml:space="preserve">other issues raised by the </w:t>
      </w:r>
      <w:r w:rsidR="00445463">
        <w:t xml:space="preserve">three </w:t>
      </w:r>
      <w:r>
        <w:t xml:space="preserve">Petitions.  </w:t>
      </w:r>
      <w:r w:rsidRPr="000D2B9E">
        <w:t xml:space="preserve">We </w:t>
      </w:r>
      <w:r w:rsidRPr="000A51B9">
        <w:t xml:space="preserve">invite interested parties to </w:t>
      </w:r>
      <w:r w:rsidRPr="000D2B9E">
        <w:t xml:space="preserve">submit factual data and economic analysis of </w:t>
      </w:r>
      <w:r w:rsidRPr="000D2B9E" w:rsidR="00DE6D18">
        <w:t xml:space="preserve">the costs and benefits of </w:t>
      </w:r>
      <w:r>
        <w:t xml:space="preserve">the </w:t>
      </w:r>
      <w:r w:rsidR="00DE6D18">
        <w:t xml:space="preserve">specific </w:t>
      </w:r>
      <w:r>
        <w:t xml:space="preserve">declaratory rulings, clarifications, and rule amendments discussed in the Petitions </w:t>
      </w:r>
      <w:r w:rsidR="00DE6D18">
        <w:t xml:space="preserve">(or any alternative policies) </w:t>
      </w:r>
      <w:r w:rsidR="009561E3">
        <w:t xml:space="preserve">and other factors relevant to whether they </w:t>
      </w:r>
      <w:r w:rsidRPr="00620B75">
        <w:t xml:space="preserve">would </w:t>
      </w:r>
      <w:r>
        <w:t xml:space="preserve">serve </w:t>
      </w:r>
      <w:r w:rsidRPr="00620B75">
        <w:t>the public interest</w:t>
      </w:r>
      <w:r>
        <w:t>.</w:t>
      </w:r>
      <w:r w:rsidRPr="00620B75">
        <w:t xml:space="preserve"> </w:t>
      </w:r>
      <w:r>
        <w:t xml:space="preserve"> We also seek comment on whether </w:t>
      </w:r>
      <w:r w:rsidRPr="000D2B9E">
        <w:t xml:space="preserve">the Commission should amend its rules in other respects or adopt </w:t>
      </w:r>
      <w:r w:rsidRPr="000D2B9E" w:rsidR="00DE6D18">
        <w:t xml:space="preserve">other </w:t>
      </w:r>
      <w:r w:rsidRPr="000D2B9E">
        <w:t xml:space="preserve">policies </w:t>
      </w:r>
      <w:r w:rsidRPr="009D17B4">
        <w:t>to more effectively implement the Spectrum Act</w:t>
      </w:r>
      <w:r w:rsidR="00DE6D18">
        <w:t>, promote infrastructure deployment, and serve the interests of consumers</w:t>
      </w:r>
      <w:r w:rsidR="009561E3">
        <w:t>, and on the Commission’s legal authority to take such actions</w:t>
      </w:r>
      <w:r w:rsidR="00DE6D18">
        <w:t>.</w:t>
      </w:r>
      <w:r>
        <w:rPr>
          <w:iCs/>
        </w:rPr>
        <w:t xml:space="preserve"> </w:t>
      </w:r>
    </w:p>
    <w:p w:rsidR="00D51422" w:rsidRPr="00D51422" w:rsidP="000D2B9E">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8"/>
      </w:r>
      <w:r w:rsidRPr="00D51422">
        <w:t xml:space="preserve">  </w:t>
      </w:r>
      <w:r w:rsidRPr="00D51422">
        <w:rPr>
          <w:iCs/>
        </w:rPr>
        <w:t>All filings must refer</w:t>
      </w:r>
      <w:r w:rsidR="006B2F03">
        <w:rPr>
          <w:iCs/>
        </w:rPr>
        <w:t xml:space="preserve"> to</w:t>
      </w:r>
      <w:r w:rsidRPr="00D51422">
        <w:t xml:space="preserve"> </w:t>
      </w:r>
      <w:r w:rsidRPr="006B2F03">
        <w:rPr>
          <w:b/>
          <w:bCs/>
          <w:iCs/>
        </w:rPr>
        <w:t>RM-</w:t>
      </w:r>
      <w:r w:rsidRPr="006B2F03" w:rsidR="00DC0C51">
        <w:rPr>
          <w:b/>
          <w:bCs/>
          <w:iCs/>
        </w:rPr>
        <w:t>11</w:t>
      </w:r>
      <w:r w:rsidR="00600006">
        <w:rPr>
          <w:b/>
          <w:bCs/>
          <w:iCs/>
        </w:rPr>
        <w:t>849</w:t>
      </w:r>
      <w:r w:rsidR="005508CB">
        <w:rPr>
          <w:iCs/>
        </w:rPr>
        <w:t xml:space="preserve"> </w:t>
      </w:r>
      <w:r w:rsidRPr="00D51422">
        <w:rPr>
          <w:iCs/>
        </w:rPr>
        <w:t xml:space="preserve">and </w:t>
      </w:r>
      <w:r w:rsidRPr="006B2F03" w:rsidR="006B2F03">
        <w:rPr>
          <w:b/>
          <w:bCs/>
          <w:iCs/>
        </w:rPr>
        <w:t>WT</w:t>
      </w:r>
      <w:r w:rsidRPr="006B2F03">
        <w:rPr>
          <w:b/>
          <w:bCs/>
          <w:iCs/>
        </w:rPr>
        <w:t xml:space="preserve"> Docket No. </w:t>
      </w:r>
      <w:r w:rsidRPr="006B2F03" w:rsidR="006B2F03">
        <w:rPr>
          <w:b/>
          <w:bCs/>
          <w:iCs/>
        </w:rPr>
        <w:t>19-</w:t>
      </w:r>
      <w:r w:rsidR="00600006">
        <w:rPr>
          <w:b/>
          <w:bCs/>
          <w:iCs/>
        </w:rPr>
        <w:t>250</w:t>
      </w:r>
      <w:r w:rsidR="0060073C">
        <w:rPr>
          <w:bCs/>
          <w:iCs/>
        </w:rPr>
        <w:t xml:space="preserve">, and if addressing issues </w:t>
      </w:r>
      <w:r w:rsidRPr="004E71CE" w:rsidR="0060073C">
        <w:t>relating</w:t>
      </w:r>
      <w:r w:rsidR="0060073C">
        <w:rPr>
          <w:bCs/>
          <w:iCs/>
        </w:rPr>
        <w:t xml:space="preserve"> to section 224, </w:t>
      </w:r>
      <w:r w:rsidR="0060073C">
        <w:rPr>
          <w:b/>
          <w:bCs/>
          <w:iCs/>
        </w:rPr>
        <w:t>WC Docket 17-84</w:t>
      </w:r>
      <w:r w:rsidRPr="00D51422">
        <w:rPr>
          <w:iCs/>
        </w:rPr>
        <w:t>.</w:t>
      </w:r>
      <w:r>
        <w:rPr>
          <w:rStyle w:val="FootnoteReference"/>
          <w:iCs/>
          <w:szCs w:val="22"/>
        </w:rPr>
        <w:footnoteReference w:id="9"/>
      </w:r>
      <w:r w:rsidRPr="00D51422">
        <w:rPr>
          <w:iCs/>
        </w:rPr>
        <w:t xml:space="preserve">  </w:t>
      </w:r>
      <w:r w:rsidRPr="00D51422">
        <w:t>Comments may be filed using the Commission’s Electronic Comment Filing System (ECFS).</w:t>
      </w:r>
      <w:r>
        <w:rPr>
          <w:sz w:val="20"/>
          <w:vertAlign w:val="superscript"/>
        </w:rPr>
        <w:footnoteReference w:id="10"/>
      </w:r>
      <w:r w:rsidRPr="00D51422">
        <w:t xml:space="preserve">  </w:t>
      </w:r>
    </w:p>
    <w:p w:rsidR="00D51422" w:rsidRPr="00D51422" w:rsidP="00D51422">
      <w:pPr>
        <w:numPr>
          <w:ilvl w:val="0"/>
          <w:numId w:val="7"/>
        </w:numPr>
        <w:spacing w:after="120"/>
        <w:rPr>
          <w:szCs w:val="22"/>
        </w:rPr>
      </w:pPr>
      <w:r w:rsidRPr="00D51422">
        <w:rPr>
          <w:szCs w:val="22"/>
        </w:rPr>
        <w:t xml:space="preserve">Electronic Filers:  Comments may be filed electronically using the </w:t>
      </w:r>
      <w:r w:rsidR="00B621AE">
        <w:rPr>
          <w:szCs w:val="22"/>
        </w:rPr>
        <w:t>Commission’s online Electronic Comment Filing System (</w:t>
      </w:r>
      <w:r w:rsidRPr="00D51422">
        <w:rPr>
          <w:szCs w:val="22"/>
        </w:rPr>
        <w:t>ECFS</w:t>
      </w:r>
      <w:r w:rsidR="00B621AE">
        <w:rPr>
          <w:szCs w:val="22"/>
        </w:rPr>
        <w:t>)</w:t>
      </w:r>
      <w:r w:rsidRPr="00D51422">
        <w:rPr>
          <w:szCs w:val="22"/>
        </w:rPr>
        <w:t xml:space="preserve">:  </w:t>
      </w:r>
      <w:r w:rsidRPr="00D51422">
        <w:rPr>
          <w:color w:val="0000FF"/>
          <w:szCs w:val="22"/>
          <w:u w:val="single"/>
        </w:rPr>
        <w:t>https://www.fcc.gov/ecfs/</w:t>
      </w:r>
      <w:r w:rsidRPr="00D51422">
        <w:rPr>
          <w:szCs w:val="22"/>
        </w:rPr>
        <w:t xml:space="preserve">.  </w:t>
      </w:r>
    </w:p>
    <w:p w:rsidR="00D51422" w:rsidRPr="00D51422" w:rsidP="00D51422">
      <w:pPr>
        <w:numPr>
          <w:ilvl w:val="0"/>
          <w:numId w:val="7"/>
        </w:numPr>
        <w:spacing w:after="120"/>
        <w:rPr>
          <w:szCs w:val="22"/>
        </w:rPr>
      </w:pPr>
      <w:r w:rsidRPr="00D51422">
        <w:rPr>
          <w:szCs w:val="22"/>
        </w:rPr>
        <w:t>Paper Filers:  Parties who choose to file by paper must file an original and one copy of each filing.</w:t>
      </w:r>
    </w:p>
    <w:p w:rsidR="00D51422" w:rsidRPr="00D51422" w:rsidP="000423E3">
      <w:pPr>
        <w:widowControl/>
        <w:spacing w:after="120"/>
        <w:ind w:left="720"/>
        <w:rPr>
          <w:szCs w:val="22"/>
        </w:rPr>
      </w:pPr>
      <w:r w:rsidRPr="00D5142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1422" w:rsidRPr="00D51422" w:rsidP="000D2B9E">
      <w:pPr>
        <w:numPr>
          <w:ilvl w:val="1"/>
          <w:numId w:val="8"/>
        </w:numPr>
        <w:spacing w:after="120"/>
        <w:rPr>
          <w:szCs w:val="22"/>
        </w:rPr>
      </w:pPr>
      <w:r w:rsidRPr="00D5142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D51422" w:rsidRPr="00D51422" w:rsidP="000D2B9E">
      <w:pPr>
        <w:numPr>
          <w:ilvl w:val="1"/>
          <w:numId w:val="8"/>
        </w:numPr>
        <w:spacing w:after="120"/>
        <w:rPr>
          <w:szCs w:val="22"/>
        </w:rPr>
      </w:pPr>
      <w:r w:rsidRPr="00D51422">
        <w:rPr>
          <w:szCs w:val="22"/>
        </w:rPr>
        <w:t>Commercial overnight mail (other than U.S. Postal Service Express Mail and Priority Mail) must be sent to 9050 Junction Drive, Annapolis Junction, MD 20701.</w:t>
      </w:r>
    </w:p>
    <w:p w:rsidR="00D51422" w:rsidRPr="00D51422" w:rsidP="000423E3">
      <w:pPr>
        <w:widowControl/>
        <w:numPr>
          <w:ilvl w:val="1"/>
          <w:numId w:val="8"/>
        </w:numPr>
        <w:spacing w:after="120"/>
        <w:rPr>
          <w:szCs w:val="22"/>
        </w:rPr>
      </w:pPr>
      <w:r w:rsidRPr="00D51422">
        <w:rPr>
          <w:szCs w:val="22"/>
        </w:rPr>
        <w:t>U.S. Posta</w:t>
      </w:r>
      <w:bookmarkStart w:id="2" w:name="_GoBack"/>
      <w:bookmarkEnd w:id="2"/>
      <w:r w:rsidRPr="00D51422">
        <w:rPr>
          <w:szCs w:val="22"/>
        </w:rPr>
        <w:t>l Service first-class, Express, and Priority mail must be addressed to 445 12th Street, SW, Washington DC  20554.</w:t>
      </w:r>
    </w:p>
    <w:p w:rsidR="00D51422" w:rsidRPr="00D51422" w:rsidP="000D2B9E">
      <w:pPr>
        <w:pStyle w:val="ParaNum"/>
        <w:numPr>
          <w:ilvl w:val="0"/>
          <w:numId w:val="0"/>
        </w:numPr>
        <w:ind w:firstLine="720"/>
      </w:pPr>
      <w:r w:rsidRPr="00D51422">
        <w:rPr>
          <w:i/>
        </w:rPr>
        <w:t>Ex Parte Rules</w:t>
      </w:r>
      <w:r w:rsidRPr="00D51422">
        <w:t>.  Th</w:t>
      </w:r>
      <w:r w:rsidR="00B621AE">
        <w:t>is</w:t>
      </w:r>
      <w:r w:rsidRPr="00D51422">
        <w:t xml:space="preserve"> proceeding shall be treated as a “permit-but-disclose” proceeding in accordance with the Commission’s </w:t>
      </w:r>
      <w:r w:rsidRPr="00D51422">
        <w:rPr>
          <w:i/>
          <w:iCs/>
        </w:rPr>
        <w:t xml:space="preserve">ex parte </w:t>
      </w:r>
      <w:r w:rsidRPr="00D51422">
        <w:t>rules.</w:t>
      </w:r>
      <w:r>
        <w:rPr>
          <w:sz w:val="20"/>
          <w:vertAlign w:val="superscript"/>
        </w:rPr>
        <w:footnoteReference w:id="11"/>
      </w:r>
      <w:r w:rsidRPr="00D51422">
        <w:t xml:space="preserve">  Persons making </w:t>
      </w:r>
      <w:r w:rsidRPr="00D51422">
        <w:rPr>
          <w:i/>
        </w:rPr>
        <w:t xml:space="preserve">ex parte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parte </w:t>
      </w:r>
      <w:r w:rsidRPr="00D51422">
        <w:t xml:space="preserve">presentations are reminded that memoranda summarizing the presentation must (1) list all persons attending or otherwise participating in the meeting at which the </w:t>
      </w:r>
      <w:r w:rsidRPr="00D51422">
        <w:rPr>
          <w:i/>
          <w:iCs/>
        </w:rPr>
        <w:t xml:space="preserve">ex parte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parte </w:t>
      </w:r>
      <w:r w:rsidRPr="00D51422">
        <w:t xml:space="preserve">meetings are deemed to be written </w:t>
      </w:r>
      <w:r w:rsidRPr="00D51422">
        <w:rPr>
          <w:i/>
          <w:iCs/>
        </w:rPr>
        <w:t>ex 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parte </w:t>
      </w:r>
      <w:r w:rsidRPr="00D51422">
        <w:t xml:space="preserve">presentations and memoranda summarizing oral </w:t>
      </w:r>
      <w:r w:rsidRPr="00D51422">
        <w:rPr>
          <w:i/>
          <w:iCs/>
        </w:rPr>
        <w:t xml:space="preserve">ex parte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parte </w:t>
      </w:r>
      <w:r w:rsidRPr="00D51422">
        <w:t>rules.</w:t>
      </w:r>
    </w:p>
    <w:p w:rsidR="00D51422" w:rsidRPr="00D51422" w:rsidP="000D2B9E">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B621AE" w:rsidP="000D2B9E">
      <w:pPr>
        <w:pStyle w:val="ParaNum"/>
        <w:numPr>
          <w:ilvl w:val="0"/>
          <w:numId w:val="0"/>
        </w:numPr>
        <w:ind w:firstLine="720"/>
      </w:pPr>
      <w:r w:rsidRPr="00D51422">
        <w:rPr>
          <w:i/>
        </w:rPr>
        <w:t xml:space="preserve">Additional Information.  </w:t>
      </w:r>
      <w:r w:rsidRPr="00D51422">
        <w:t xml:space="preserve">For further information regarding this Notice, please contact </w:t>
      </w:r>
      <w:r>
        <w:t xml:space="preserve">David Sieradzki, Senior Counsel, Competition and Infrastructure Policy Division, Wireless Telecommunications </w:t>
      </w:r>
      <w:r w:rsidRPr="00D51422">
        <w:t xml:space="preserve">Bureau, at (202) </w:t>
      </w:r>
      <w:r>
        <w:t>418-1368</w:t>
      </w:r>
      <w:r w:rsidRPr="00D51422">
        <w:t xml:space="preserve">, or by e-mail </w:t>
      </w:r>
      <w:r>
        <w:t xml:space="preserve">to </w:t>
      </w:r>
      <w:hyperlink r:id="rId5" w:history="1">
        <w:r w:rsidRPr="008E68E8">
          <w:rPr>
            <w:rStyle w:val="Hyperlink"/>
            <w:szCs w:val="22"/>
          </w:rPr>
          <w:t>David.Sieradzki@fcc.gov</w:t>
        </w:r>
      </w:hyperlink>
      <w:r w:rsidR="005508CB">
        <w:t xml:space="preserve"> or </w:t>
      </w:r>
      <w:r w:rsidR="00F268A2">
        <w:t>Mike Ray</w:t>
      </w:r>
      <w:r w:rsidR="005508CB">
        <w:t xml:space="preserve">, </w:t>
      </w:r>
      <w:r w:rsidR="00F268A2">
        <w:t>Attorney Advisor</w:t>
      </w:r>
      <w:r w:rsidR="005508CB">
        <w:t>, Competition Policy Division, Wireline Competition Bureau, at (202) 418-</w:t>
      </w:r>
      <w:r w:rsidR="00F268A2">
        <w:t xml:space="preserve">0357 </w:t>
      </w:r>
      <w:r w:rsidR="005508CB">
        <w:t xml:space="preserve">or </w:t>
      </w:r>
      <w:hyperlink r:id="rId6" w:history="1">
        <w:r w:rsidR="00F268A2">
          <w:rPr>
            <w:rStyle w:val="Hyperlink"/>
            <w:szCs w:val="22"/>
          </w:rPr>
          <w:t>michael.ray</w:t>
        </w:r>
        <w:r w:rsidRPr="00491952" w:rsidR="00F268A2">
          <w:rPr>
            <w:rStyle w:val="Hyperlink"/>
            <w:szCs w:val="22"/>
          </w:rPr>
          <w:t>@fcc.gov</w:t>
        </w:r>
      </w:hyperlink>
      <w:r w:rsidR="005508CB">
        <w:t xml:space="preserve">. </w:t>
      </w:r>
      <w:r>
        <w:t xml:space="preserve"> </w:t>
      </w:r>
    </w:p>
    <w:p w:rsidR="00284903" w:rsidP="000D2B9E">
      <w:pPr>
        <w:contextualSpacing/>
        <w:rPr>
          <w:szCs w:val="22"/>
        </w:rPr>
      </w:pPr>
    </w:p>
    <w:p w:rsidR="00930ECF" w:rsidRPr="000D2B9E" w:rsidP="000D2B9E">
      <w:pPr>
        <w:contextualSpacing/>
        <w:jc w:val="center"/>
        <w:rPr>
          <w:szCs w:val="22"/>
        </w:rPr>
      </w:pPr>
      <w:r w:rsidRPr="00D51422">
        <w:rPr>
          <w:szCs w:val="22"/>
        </w:rPr>
        <w:t>-</w:t>
      </w:r>
      <w:r w:rsidR="000D2B9E">
        <w:rPr>
          <w:szCs w:val="22"/>
        </w:rPr>
        <w:t xml:space="preserve"> </w:t>
      </w:r>
      <w:r w:rsidRPr="000D2B9E">
        <w:rPr>
          <w:b/>
          <w:szCs w:val="22"/>
        </w:rPr>
        <w:t>FCC</w:t>
      </w:r>
      <w:r w:rsidR="000D2B9E">
        <w:rPr>
          <w:szCs w:val="22"/>
        </w:rPr>
        <w:t xml:space="preserve"> </w:t>
      </w:r>
      <w:r w:rsidRPr="00D51422">
        <w:rPr>
          <w:szCs w:val="22"/>
        </w:rPr>
        <w:t>-</w:t>
      </w:r>
    </w:p>
    <w:sectPr w:rsidSect="000D2B9E">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64832">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64832">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2026">
      <w:r>
        <w:separator/>
      </w:r>
    </w:p>
  </w:footnote>
  <w:footnote w:type="continuationSeparator" w:id="1">
    <w:p w:rsidR="00872026">
      <w:pPr>
        <w:rPr>
          <w:sz w:val="20"/>
        </w:rPr>
      </w:pPr>
      <w:r>
        <w:rPr>
          <w:sz w:val="20"/>
        </w:rPr>
        <w:t xml:space="preserve">(Continued from previous page)  </w:t>
      </w:r>
      <w:r>
        <w:rPr>
          <w:sz w:val="20"/>
        </w:rPr>
        <w:separator/>
      </w:r>
    </w:p>
  </w:footnote>
  <w:footnote w:type="continuationNotice" w:id="2">
    <w:p w:rsidR="00872026" w:rsidP="00910F12">
      <w:pPr>
        <w:jc w:val="right"/>
        <w:rPr>
          <w:sz w:val="20"/>
        </w:rPr>
      </w:pPr>
      <w:r>
        <w:rPr>
          <w:sz w:val="20"/>
        </w:rPr>
        <w:t>(continued….)</w:t>
      </w:r>
    </w:p>
  </w:footnote>
  <w:footnote w:id="3">
    <w:p w:rsidR="00713C94" w:rsidRPr="005508CB" w:rsidP="00713C94">
      <w:pPr>
        <w:pStyle w:val="FootnoteText"/>
        <w:rPr>
          <w:snapToGrid w:val="0"/>
        </w:rPr>
      </w:pPr>
      <w:r>
        <w:rPr>
          <w:rStyle w:val="FootnoteReference"/>
        </w:rPr>
        <w:footnoteRef/>
      </w:r>
      <w:r>
        <w:t xml:space="preserve"> </w:t>
      </w:r>
      <w:bookmarkStart w:id="1" w:name="_Hlk17977540"/>
      <w:r>
        <w:t>Wireless Infrastructure Association (WIA) Petition for Rulemaking (filed Aug. 27, 2019)</w:t>
      </w:r>
      <w:bookmarkEnd w:id="1"/>
      <w:r>
        <w:t xml:space="preserve">; </w:t>
      </w:r>
      <w:hyperlink r:id="rId1" w:history="1">
        <w:r w:rsidRPr="00D64673">
          <w:rPr>
            <w:rStyle w:val="Hyperlink"/>
          </w:rPr>
          <w:t>https://ecfsapi.fcc.gov/file/108273047516225/WIA%20Petition%20for%20Rulemaking%20(8-27-19).pdf</w:t>
        </w:r>
      </w:hyperlink>
      <w:r>
        <w:t xml:space="preserve">; WIA </w:t>
      </w:r>
      <w:r>
        <w:rPr>
          <w:snapToGrid w:val="0"/>
        </w:rPr>
        <w:t xml:space="preserve">Petition for Declaratory Ruling (filed Aug. 27, 2019), </w:t>
      </w:r>
      <w:hyperlink r:id="rId2" w:history="1">
        <w:r>
          <w:rPr>
            <w:rStyle w:val="Hyperlink"/>
            <w:snapToGrid w:val="0"/>
          </w:rPr>
          <w:t>https://ecfsapi.fcc.gov/file/10827091727851/WIA%20Petition%20for%20Declaratory%20Ruling%20(8-27-19).pdf</w:t>
        </w:r>
      </w:hyperlink>
      <w:r w:rsidR="00191C03">
        <w:rPr>
          <w:rStyle w:val="Hyperlink"/>
          <w:snapToGrid w:val="0"/>
          <w:color w:val="auto"/>
          <w:u w:val="none"/>
        </w:rPr>
        <w:t>; CTIA Petition for Declaratory Ruling (filed September 6, 2019)</w:t>
      </w:r>
      <w:r w:rsidR="00D36F56">
        <w:rPr>
          <w:rStyle w:val="Hyperlink"/>
          <w:snapToGrid w:val="0"/>
          <w:color w:val="auto"/>
          <w:u w:val="none"/>
        </w:rPr>
        <w:t xml:space="preserve">, </w:t>
      </w:r>
      <w:hyperlink r:id="rId3" w:history="1">
        <w:r w:rsidRPr="00491952" w:rsidR="00D36F56">
          <w:rPr>
            <w:rStyle w:val="Hyperlink"/>
            <w:snapToGrid w:val="0"/>
          </w:rPr>
          <w:t>https://ecfsapi.fcc.gov/file/10906760521179/190906%20CTIA%20Infrastructure%20PDR%20Final.pdf</w:t>
        </w:r>
      </w:hyperlink>
      <w:r w:rsidR="00191C03">
        <w:rPr>
          <w:rStyle w:val="Hyperlink"/>
          <w:snapToGrid w:val="0"/>
          <w:color w:val="auto"/>
          <w:u w:val="none"/>
        </w:rPr>
        <w:t xml:space="preserve">. </w:t>
      </w:r>
    </w:p>
  </w:footnote>
  <w:footnote w:id="4">
    <w:p w:rsidR="00713C94" w:rsidP="00713C94">
      <w:pPr>
        <w:pStyle w:val="FootnoteText"/>
      </w:pPr>
      <w:r>
        <w:rPr>
          <w:rStyle w:val="FootnoteReference"/>
        </w:rPr>
        <w:footnoteRef/>
      </w:r>
      <w:r>
        <w:t xml:space="preserve"> Middle Class Tax Relief and Job Creation Act of 2012, Pub. L. No. 112-96, title VI, § 6409(a), 126 Stat. 156 (Feb. 22, 2012) (Spectrum Act) (codified at 47 U.S.C. § 1455(a)).  The rule, 47 CFR § 1.6100, was originally codified as 47 CFR § 1.40001, </w:t>
      </w:r>
      <w:r>
        <w:rPr>
          <w:i/>
          <w:iCs/>
        </w:rPr>
        <w:t>see Acceleration of Broadband Deployment by Improving Wireless Facilities Siting Policies</w:t>
      </w:r>
      <w:r>
        <w:t xml:space="preserve">, 29 FCC Rcd 12865 (2014), </w:t>
      </w:r>
      <w:r>
        <w:rPr>
          <w:i/>
          <w:iCs/>
        </w:rPr>
        <w:t>aff’d</w:t>
      </w:r>
      <w:r>
        <w:t xml:space="preserve">, </w:t>
      </w:r>
      <w:r>
        <w:rPr>
          <w:i/>
          <w:iCs/>
        </w:rPr>
        <w:t>Montgomery County v. FCC</w:t>
      </w:r>
      <w:r>
        <w:t>, 811 F.3d 121 (4th Cir. 2015)</w:t>
      </w:r>
      <w:r w:rsidR="009A32E6">
        <w:t xml:space="preserve">; and was later </w:t>
      </w:r>
      <w:r>
        <w:t>redesignated as § 1.6100 (with</w:t>
      </w:r>
      <w:r w:rsidR="009A32E6">
        <w:t xml:space="preserve"> no</w:t>
      </w:r>
      <w:r>
        <w:t xml:space="preserve"> substantive change</w:t>
      </w:r>
      <w:r w:rsidR="009A32E6">
        <w:t>s</w:t>
      </w:r>
      <w:r>
        <w:t xml:space="preserve">).  </w:t>
      </w:r>
      <w:r>
        <w:rPr>
          <w:i/>
          <w:iCs/>
        </w:rPr>
        <w:t xml:space="preserve">See </w:t>
      </w:r>
      <w:r w:rsidRPr="008B3792">
        <w:t xml:space="preserve">83 </w:t>
      </w:r>
      <w:r>
        <w:t>FR</w:t>
      </w:r>
      <w:r w:rsidRPr="008B3792">
        <w:t xml:space="preserve"> 51</w:t>
      </w:r>
      <w:r>
        <w:t>6</w:t>
      </w:r>
      <w:r w:rsidRPr="008B3792">
        <w:t>97</w:t>
      </w:r>
      <w:r>
        <w:t>, 51886</w:t>
      </w:r>
      <w:r w:rsidRPr="008B3792">
        <w:t xml:space="preserve"> (Oct 15, 2018)</w:t>
      </w:r>
      <w:r>
        <w:t xml:space="preserve"> </w:t>
      </w:r>
    </w:p>
  </w:footnote>
  <w:footnote w:id="5">
    <w:p w:rsidR="00823812">
      <w:pPr>
        <w:pStyle w:val="FootnoteText"/>
      </w:pPr>
      <w:r>
        <w:rPr>
          <w:rStyle w:val="FootnoteReference"/>
        </w:rPr>
        <w:footnoteRef/>
      </w:r>
      <w:r>
        <w:t xml:space="preserve"> 47 U.S.C. § 224.</w:t>
      </w:r>
    </w:p>
  </w:footnote>
  <w:footnote w:id="6">
    <w:p w:rsidR="00823812" w:rsidP="00823812">
      <w:pPr>
        <w:pStyle w:val="FootnoteText"/>
      </w:pPr>
      <w:r>
        <w:rPr>
          <w:rStyle w:val="FootnoteReference"/>
        </w:rPr>
        <w:footnoteRef/>
      </w:r>
      <w:r>
        <w:t xml:space="preserve"> We assign RM-</w:t>
      </w:r>
      <w:r w:rsidR="00600006">
        <w:t>11849</w:t>
      </w:r>
      <w:r>
        <w:t xml:space="preserve"> to WIA’s Petition for Rulemaking.  </w:t>
      </w:r>
      <w:r>
        <w:rPr>
          <w:rStyle w:val="Hyperlink"/>
          <w:snapToGrid w:val="0"/>
          <w:color w:val="auto"/>
          <w:u w:val="none"/>
        </w:rPr>
        <w:t xml:space="preserve">WIA’s Petition for Declaratory Ruling </w:t>
      </w:r>
      <w:r>
        <w:t xml:space="preserve">was filed in WT Docket 17-79.  CTIA’s Petition for Declaratory Ruling </w:t>
      </w:r>
      <w:r>
        <w:rPr>
          <w:rStyle w:val="Hyperlink"/>
          <w:snapToGrid w:val="0"/>
          <w:color w:val="auto"/>
          <w:u w:val="none"/>
        </w:rPr>
        <w:t xml:space="preserve">was filed in WT Docket 17-79 and WC Docket 17-84.  </w:t>
      </w:r>
      <w:r w:rsidR="00791E11">
        <w:rPr>
          <w:rStyle w:val="Hyperlink"/>
          <w:snapToGrid w:val="0"/>
          <w:color w:val="auto"/>
          <w:u w:val="none"/>
        </w:rPr>
        <w:t>Instead of continuing to use WT Docket No. 17-79, w</w:t>
      </w:r>
      <w:r>
        <w:rPr>
          <w:rStyle w:val="Hyperlink"/>
          <w:snapToGrid w:val="0"/>
          <w:color w:val="auto"/>
          <w:u w:val="none"/>
        </w:rPr>
        <w:t>e open a new docket, WT 19-</w:t>
      </w:r>
      <w:r w:rsidR="00600006">
        <w:rPr>
          <w:rStyle w:val="Hyperlink"/>
          <w:snapToGrid w:val="0"/>
          <w:color w:val="auto"/>
          <w:u w:val="none"/>
        </w:rPr>
        <w:t>250</w:t>
      </w:r>
      <w:r>
        <w:rPr>
          <w:rStyle w:val="Hyperlink"/>
          <w:snapToGrid w:val="0"/>
          <w:color w:val="auto"/>
          <w:u w:val="none"/>
        </w:rPr>
        <w:t xml:space="preserve">.  </w:t>
      </w:r>
      <w:r w:rsidR="00791E11">
        <w:rPr>
          <w:rStyle w:val="Hyperlink"/>
          <w:snapToGrid w:val="0"/>
          <w:color w:val="auto"/>
          <w:u w:val="none"/>
        </w:rPr>
        <w:t>The petitions are combined into a single docket.</w:t>
      </w:r>
      <w:r>
        <w:rPr>
          <w:rStyle w:val="Hyperlink"/>
          <w:snapToGrid w:val="0"/>
          <w:color w:val="auto"/>
          <w:u w:val="none"/>
        </w:rPr>
        <w:t xml:space="preserve"> </w:t>
      </w:r>
    </w:p>
  </w:footnote>
  <w:footnote w:id="7">
    <w:p w:rsidR="001A672F" w:rsidP="001A672F">
      <w:pPr>
        <w:pStyle w:val="FootnoteText"/>
      </w:pPr>
      <w:r>
        <w:rPr>
          <w:rStyle w:val="FootnoteReference"/>
        </w:rPr>
        <w:footnoteRef/>
      </w:r>
      <w:r>
        <w:t xml:space="preserve"> 47 CFR §</w:t>
      </w:r>
      <w:r w:rsidR="00284903">
        <w:t>§</w:t>
      </w:r>
      <w:r>
        <w:t> 1.6100(</w:t>
      </w:r>
      <w:r w:rsidR="00DF1D15">
        <w:t>b</w:t>
      </w:r>
      <w:r>
        <w:t>)</w:t>
      </w:r>
      <w:r w:rsidR="00275711">
        <w:t xml:space="preserve"> and (c)</w:t>
      </w:r>
      <w:r w:rsidR="00DF1D15">
        <w:t>.</w:t>
      </w:r>
      <w:r w:rsidR="00AC2F8B">
        <w:t xml:space="preserve">  </w:t>
      </w:r>
      <w:r w:rsidR="00AC2F8B">
        <w:rPr>
          <w:szCs w:val="22"/>
        </w:rPr>
        <w:t>WIA also</w:t>
      </w:r>
      <w:r w:rsidR="00DE6D18">
        <w:rPr>
          <w:szCs w:val="22"/>
        </w:rPr>
        <w:t xml:space="preserve"> seeks </w:t>
      </w:r>
      <w:r w:rsidR="00AC2F8B">
        <w:rPr>
          <w:szCs w:val="22"/>
        </w:rPr>
        <w:t>clarif</w:t>
      </w:r>
      <w:r w:rsidR="00DE6D18">
        <w:rPr>
          <w:szCs w:val="22"/>
        </w:rPr>
        <w:t>ication</w:t>
      </w:r>
      <w:r w:rsidR="00AC2F8B">
        <w:rPr>
          <w:szCs w:val="22"/>
        </w:rPr>
        <w:t xml:space="preserve"> </w:t>
      </w:r>
      <w:r w:rsidR="00DE6D18">
        <w:rPr>
          <w:szCs w:val="22"/>
        </w:rPr>
        <w:t xml:space="preserve">of </w:t>
      </w:r>
      <w:r w:rsidR="00596018">
        <w:rPr>
          <w:szCs w:val="22"/>
        </w:rPr>
        <w:t>the meaning of phrases in the rule such as “separation from the nearest antenna,” “equipment cabinets,” and “outside the current site.”</w:t>
      </w:r>
      <w:r w:rsidR="00AC2F8B">
        <w:rPr>
          <w:szCs w:val="22"/>
        </w:rPr>
        <w:t xml:space="preserve"> </w:t>
      </w:r>
      <w:r w:rsidR="00596018">
        <w:rPr>
          <w:szCs w:val="22"/>
        </w:rPr>
        <w:t>47 CFR §</w:t>
      </w:r>
      <w:r w:rsidR="00284903">
        <w:t>§</w:t>
      </w:r>
      <w:r w:rsidR="00596018">
        <w:rPr>
          <w:szCs w:val="22"/>
        </w:rPr>
        <w:t xml:space="preserve"> 1.6100(b)(7)(i), (b)(7)(iii)</w:t>
      </w:r>
      <w:r w:rsidR="00284903">
        <w:rPr>
          <w:szCs w:val="22"/>
        </w:rPr>
        <w:t>-</w:t>
      </w:r>
      <w:r w:rsidR="00596018">
        <w:rPr>
          <w:szCs w:val="22"/>
        </w:rPr>
        <w:t>(iv).</w:t>
      </w:r>
    </w:p>
  </w:footnote>
  <w:footnote w:id="8">
    <w:p w:rsidR="00D51422" w:rsidRPr="0087057A" w:rsidP="00D51422">
      <w:pPr>
        <w:pStyle w:val="FootnoteText"/>
      </w:pPr>
      <w:r w:rsidRPr="0087057A">
        <w:rPr>
          <w:rStyle w:val="FootnoteReference"/>
          <w:sz w:val="20"/>
        </w:rPr>
        <w:footnoteRef/>
      </w:r>
      <w:r w:rsidRPr="0087057A">
        <w:t xml:space="preserve"> </w:t>
      </w:r>
      <w:r w:rsidR="006B2F03">
        <w:rPr>
          <w:i/>
          <w:iCs/>
        </w:rPr>
        <w:t xml:space="preserve">See </w:t>
      </w:r>
      <w:r w:rsidRPr="0087057A">
        <w:t>47 CFR §§ 1.2, 1.405, and 1.419.</w:t>
      </w:r>
    </w:p>
  </w:footnote>
  <w:footnote w:id="9">
    <w:p w:rsidR="006B2F03">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10">
    <w:p w:rsidR="00D51422" w:rsidRPr="0087057A" w:rsidP="00D51422">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11">
    <w:p w:rsidR="00D51422" w:rsidRPr="0087057A" w:rsidP="00D51422">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51422">
      <w:rPr>
        <w:b/>
      </w:rPr>
      <w:t xml:space="preserve">DA </w:t>
    </w:r>
    <w:r w:rsidR="00341D60">
      <w:rPr>
        <w:b/>
      </w:rPr>
      <w:t>19-</w:t>
    </w:r>
    <w:r w:rsidR="00BA5F06">
      <w:rPr>
        <w:b/>
      </w:rPr>
      <w:t>913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5168"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9561E3">
      <w:rPr>
        <w:rFonts w:ascii="Arial" w:hAnsi="Arial" w:cs="Arial"/>
        <w:b/>
        <w:sz w:val="96"/>
      </w:rPr>
      <w:t>PUBLIC NOTICE</w:t>
    </w:r>
  </w:p>
  <w:p w:rsidR="009838BC" w:rsidRPr="00357D50" w:rsidP="009838BC">
    <w:pPr>
      <w:spacing w:before="40"/>
      <w:rPr>
        <w:rFonts w:ascii="Arial" w:hAnsi="Arial" w:cs="Arial"/>
        <w:b/>
        <w:sz w:val="96"/>
      </w:rPr>
    </w:pPr>
    <w:r>
      <w:rPr>
        <w:noProof/>
      </w:rPr>
      <w:pict>
        <v:shape id="Text Box 9" o:spid="_x0000_s2052" type="#_x0000_t202" style="width:207.95pt;height:35.25pt;margin-top:8.8pt;margin-left:267.7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sidRPr="00D216CD">
                  <w:rPr>
                    <w:rFonts w:ascii="Arial" w:hAnsi="Arial"/>
                    <w:b/>
                    <w:sz w:val="16"/>
                  </w:rPr>
                  <w:t>h</w:t>
                </w:r>
                <w:bookmarkEnd w:id="3"/>
                <w:r w:rsidRPr="00D216CD">
                  <w:rPr>
                    <w:rFonts w:ascii="Arial" w:hAnsi="Arial"/>
                    <w:b/>
                    <w:sz w:val="16"/>
                  </w:rPr>
                  <w:t>ttps://www.fcc.gov</w:t>
                </w:r>
              </w:p>
              <w:p w:rsidR="009838BC" w:rsidP="009838BC">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60288" from="1250.4pt,56.7pt" to="1718.4pt,56.7pt" o:allowincell="f">
          <w10:wrap anchorx="margin"/>
        </v:line>
      </w:pict>
    </w:r>
  </w:p>
  <w:p w:rsidR="006F7393" w:rsidRPr="009838BC" w:rsidP="000D2B9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22"/>
    <w:rsid w:val="000072CE"/>
    <w:rsid w:val="00013A8B"/>
    <w:rsid w:val="00021445"/>
    <w:rsid w:val="00036039"/>
    <w:rsid w:val="00037F90"/>
    <w:rsid w:val="000423E3"/>
    <w:rsid w:val="000524D1"/>
    <w:rsid w:val="000875BF"/>
    <w:rsid w:val="00096D8C"/>
    <w:rsid w:val="000A51B9"/>
    <w:rsid w:val="000B29F7"/>
    <w:rsid w:val="000C0B65"/>
    <w:rsid w:val="000C3224"/>
    <w:rsid w:val="000D2B9E"/>
    <w:rsid w:val="000D2F32"/>
    <w:rsid w:val="000E3D42"/>
    <w:rsid w:val="000E5884"/>
    <w:rsid w:val="000F0CE1"/>
    <w:rsid w:val="00122BD5"/>
    <w:rsid w:val="00171784"/>
    <w:rsid w:val="00191C03"/>
    <w:rsid w:val="001979D9"/>
    <w:rsid w:val="001A672F"/>
    <w:rsid w:val="001D6BCF"/>
    <w:rsid w:val="001D730F"/>
    <w:rsid w:val="001E01CA"/>
    <w:rsid w:val="001E0E55"/>
    <w:rsid w:val="00202CA4"/>
    <w:rsid w:val="002060D9"/>
    <w:rsid w:val="00226822"/>
    <w:rsid w:val="00242E12"/>
    <w:rsid w:val="00260594"/>
    <w:rsid w:val="00275711"/>
    <w:rsid w:val="00284903"/>
    <w:rsid w:val="00285017"/>
    <w:rsid w:val="002A2D2E"/>
    <w:rsid w:val="002B315F"/>
    <w:rsid w:val="002E7C7F"/>
    <w:rsid w:val="00341D60"/>
    <w:rsid w:val="00343749"/>
    <w:rsid w:val="00357D50"/>
    <w:rsid w:val="003637EF"/>
    <w:rsid w:val="0036734A"/>
    <w:rsid w:val="003925DC"/>
    <w:rsid w:val="003A5952"/>
    <w:rsid w:val="003B0550"/>
    <w:rsid w:val="003B694F"/>
    <w:rsid w:val="003C772D"/>
    <w:rsid w:val="003F171C"/>
    <w:rsid w:val="003F4949"/>
    <w:rsid w:val="00412C34"/>
    <w:rsid w:val="00412FC5"/>
    <w:rsid w:val="00417D96"/>
    <w:rsid w:val="00422276"/>
    <w:rsid w:val="004242F1"/>
    <w:rsid w:val="00445463"/>
    <w:rsid w:val="00445A00"/>
    <w:rsid w:val="00451B0F"/>
    <w:rsid w:val="0045205D"/>
    <w:rsid w:val="00454474"/>
    <w:rsid w:val="0046125F"/>
    <w:rsid w:val="00464832"/>
    <w:rsid w:val="00471220"/>
    <w:rsid w:val="00487524"/>
    <w:rsid w:val="00491952"/>
    <w:rsid w:val="00496106"/>
    <w:rsid w:val="004B72DC"/>
    <w:rsid w:val="004C12D0"/>
    <w:rsid w:val="004C2EE3"/>
    <w:rsid w:val="004E4A22"/>
    <w:rsid w:val="004E68E9"/>
    <w:rsid w:val="004E71CE"/>
    <w:rsid w:val="00511968"/>
    <w:rsid w:val="005407E4"/>
    <w:rsid w:val="00540D53"/>
    <w:rsid w:val="00547E81"/>
    <w:rsid w:val="005508CB"/>
    <w:rsid w:val="0055614C"/>
    <w:rsid w:val="00596018"/>
    <w:rsid w:val="005A0118"/>
    <w:rsid w:val="005E5823"/>
    <w:rsid w:val="00600006"/>
    <w:rsid w:val="0060073C"/>
    <w:rsid w:val="00607BA5"/>
    <w:rsid w:val="0061356D"/>
    <w:rsid w:val="00620B75"/>
    <w:rsid w:val="00626EB6"/>
    <w:rsid w:val="006353A3"/>
    <w:rsid w:val="00637F7D"/>
    <w:rsid w:val="00655D03"/>
    <w:rsid w:val="00683B48"/>
    <w:rsid w:val="00683F84"/>
    <w:rsid w:val="00696455"/>
    <w:rsid w:val="006A6A81"/>
    <w:rsid w:val="006A7870"/>
    <w:rsid w:val="006B2F03"/>
    <w:rsid w:val="006E26AF"/>
    <w:rsid w:val="006F7393"/>
    <w:rsid w:val="0070224F"/>
    <w:rsid w:val="00703EE0"/>
    <w:rsid w:val="007115F7"/>
    <w:rsid w:val="00713C94"/>
    <w:rsid w:val="00715A5B"/>
    <w:rsid w:val="00736BA4"/>
    <w:rsid w:val="00741D79"/>
    <w:rsid w:val="0078519E"/>
    <w:rsid w:val="00785689"/>
    <w:rsid w:val="00791E11"/>
    <w:rsid w:val="0079754B"/>
    <w:rsid w:val="007A1E6D"/>
    <w:rsid w:val="0080250F"/>
    <w:rsid w:val="008062E4"/>
    <w:rsid w:val="00822CE0"/>
    <w:rsid w:val="00823812"/>
    <w:rsid w:val="00837C62"/>
    <w:rsid w:val="008419D5"/>
    <w:rsid w:val="00841AA2"/>
    <w:rsid w:val="00841AB1"/>
    <w:rsid w:val="008623D7"/>
    <w:rsid w:val="0087057A"/>
    <w:rsid w:val="00872026"/>
    <w:rsid w:val="00880B79"/>
    <w:rsid w:val="008B3792"/>
    <w:rsid w:val="008C22FD"/>
    <w:rsid w:val="008E68E8"/>
    <w:rsid w:val="00910F12"/>
    <w:rsid w:val="0092354A"/>
    <w:rsid w:val="00926503"/>
    <w:rsid w:val="00930ECF"/>
    <w:rsid w:val="00955865"/>
    <w:rsid w:val="009561E3"/>
    <w:rsid w:val="009838BC"/>
    <w:rsid w:val="009A32E6"/>
    <w:rsid w:val="009D0BCA"/>
    <w:rsid w:val="009D17B4"/>
    <w:rsid w:val="009D2C19"/>
    <w:rsid w:val="00A3356B"/>
    <w:rsid w:val="00A45F4F"/>
    <w:rsid w:val="00A600A9"/>
    <w:rsid w:val="00A74AC1"/>
    <w:rsid w:val="00A866AC"/>
    <w:rsid w:val="00AA55B7"/>
    <w:rsid w:val="00AA5B9E"/>
    <w:rsid w:val="00AB2407"/>
    <w:rsid w:val="00AB53DF"/>
    <w:rsid w:val="00AC2F8B"/>
    <w:rsid w:val="00AF3D4E"/>
    <w:rsid w:val="00B07E5C"/>
    <w:rsid w:val="00B22FEF"/>
    <w:rsid w:val="00B326E3"/>
    <w:rsid w:val="00B621AE"/>
    <w:rsid w:val="00B750A6"/>
    <w:rsid w:val="00B811F7"/>
    <w:rsid w:val="00B83C5D"/>
    <w:rsid w:val="00BA5DC6"/>
    <w:rsid w:val="00BA5F06"/>
    <w:rsid w:val="00BA6196"/>
    <w:rsid w:val="00BB4497"/>
    <w:rsid w:val="00BC6D8C"/>
    <w:rsid w:val="00BD4376"/>
    <w:rsid w:val="00C11482"/>
    <w:rsid w:val="00C16AF2"/>
    <w:rsid w:val="00C332D1"/>
    <w:rsid w:val="00C34006"/>
    <w:rsid w:val="00C426B1"/>
    <w:rsid w:val="00C573E1"/>
    <w:rsid w:val="00C82B6B"/>
    <w:rsid w:val="00C90D6A"/>
    <w:rsid w:val="00CB11BD"/>
    <w:rsid w:val="00CB71BD"/>
    <w:rsid w:val="00CC72B6"/>
    <w:rsid w:val="00D0218D"/>
    <w:rsid w:val="00D216CD"/>
    <w:rsid w:val="00D36F56"/>
    <w:rsid w:val="00D51422"/>
    <w:rsid w:val="00D625AE"/>
    <w:rsid w:val="00D64673"/>
    <w:rsid w:val="00D6645D"/>
    <w:rsid w:val="00D71F76"/>
    <w:rsid w:val="00D7332F"/>
    <w:rsid w:val="00DA2529"/>
    <w:rsid w:val="00DB130A"/>
    <w:rsid w:val="00DC0C51"/>
    <w:rsid w:val="00DC10A1"/>
    <w:rsid w:val="00DC655F"/>
    <w:rsid w:val="00DD7329"/>
    <w:rsid w:val="00DD7EBD"/>
    <w:rsid w:val="00DE6D18"/>
    <w:rsid w:val="00DF1D15"/>
    <w:rsid w:val="00DF62B6"/>
    <w:rsid w:val="00E07225"/>
    <w:rsid w:val="00E155B7"/>
    <w:rsid w:val="00E17AD1"/>
    <w:rsid w:val="00E5409F"/>
    <w:rsid w:val="00E65569"/>
    <w:rsid w:val="00E6631A"/>
    <w:rsid w:val="00E80087"/>
    <w:rsid w:val="00EB3F2C"/>
    <w:rsid w:val="00EC0185"/>
    <w:rsid w:val="00EC5346"/>
    <w:rsid w:val="00EC71F2"/>
    <w:rsid w:val="00EC76F1"/>
    <w:rsid w:val="00ED7F4E"/>
    <w:rsid w:val="00EF1959"/>
    <w:rsid w:val="00EF51DC"/>
    <w:rsid w:val="00F021FA"/>
    <w:rsid w:val="00F268A2"/>
    <w:rsid w:val="00F57ACA"/>
    <w:rsid w:val="00F62E97"/>
    <w:rsid w:val="00F64209"/>
    <w:rsid w:val="00F66997"/>
    <w:rsid w:val="00F86E94"/>
    <w:rsid w:val="00F93BF5"/>
    <w:rsid w:val="00F96F63"/>
    <w:rsid w:val="00FA2F59"/>
    <w:rsid w:val="00FB296E"/>
    <w:rsid w:val="00FB2A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E689C8-3E8A-4B85-BE9E-865EDC5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E3"/>
    <w:pPr>
      <w:widowControl w:val="0"/>
    </w:pPr>
    <w:rPr>
      <w:snapToGrid w:val="0"/>
      <w:kern w:val="28"/>
      <w:sz w:val="22"/>
    </w:rPr>
  </w:style>
  <w:style w:type="paragraph" w:styleId="Heading1">
    <w:name w:val="heading 1"/>
    <w:basedOn w:val="Normal"/>
    <w:next w:val="ParaNum"/>
    <w:qFormat/>
    <w:rsid w:val="000423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23E3"/>
    <w:pPr>
      <w:keepNext/>
      <w:numPr>
        <w:ilvl w:val="1"/>
        <w:numId w:val="3"/>
      </w:numPr>
      <w:spacing w:after="120"/>
      <w:outlineLvl w:val="1"/>
    </w:pPr>
    <w:rPr>
      <w:b/>
    </w:rPr>
  </w:style>
  <w:style w:type="paragraph" w:styleId="Heading3">
    <w:name w:val="heading 3"/>
    <w:basedOn w:val="Normal"/>
    <w:next w:val="ParaNum"/>
    <w:qFormat/>
    <w:rsid w:val="000423E3"/>
    <w:pPr>
      <w:keepNext/>
      <w:numPr>
        <w:ilvl w:val="2"/>
        <w:numId w:val="3"/>
      </w:numPr>
      <w:tabs>
        <w:tab w:val="left" w:pos="2160"/>
      </w:tabs>
      <w:spacing w:after="120"/>
      <w:outlineLvl w:val="2"/>
    </w:pPr>
    <w:rPr>
      <w:b/>
    </w:rPr>
  </w:style>
  <w:style w:type="paragraph" w:styleId="Heading4">
    <w:name w:val="heading 4"/>
    <w:basedOn w:val="Normal"/>
    <w:next w:val="ParaNum"/>
    <w:qFormat/>
    <w:rsid w:val="000423E3"/>
    <w:pPr>
      <w:keepNext/>
      <w:numPr>
        <w:ilvl w:val="3"/>
        <w:numId w:val="3"/>
      </w:numPr>
      <w:tabs>
        <w:tab w:val="left" w:pos="2880"/>
      </w:tabs>
      <w:spacing w:after="120"/>
      <w:outlineLvl w:val="3"/>
    </w:pPr>
    <w:rPr>
      <w:b/>
    </w:rPr>
  </w:style>
  <w:style w:type="paragraph" w:styleId="Heading5">
    <w:name w:val="heading 5"/>
    <w:basedOn w:val="Normal"/>
    <w:next w:val="ParaNum"/>
    <w:qFormat/>
    <w:rsid w:val="000423E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423E3"/>
    <w:pPr>
      <w:numPr>
        <w:ilvl w:val="5"/>
        <w:numId w:val="3"/>
      </w:numPr>
      <w:tabs>
        <w:tab w:val="left" w:pos="4320"/>
      </w:tabs>
      <w:spacing w:after="120"/>
      <w:outlineLvl w:val="5"/>
    </w:pPr>
    <w:rPr>
      <w:b/>
    </w:rPr>
  </w:style>
  <w:style w:type="paragraph" w:styleId="Heading7">
    <w:name w:val="heading 7"/>
    <w:basedOn w:val="Normal"/>
    <w:next w:val="ParaNum"/>
    <w:qFormat/>
    <w:rsid w:val="000423E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423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423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423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23E3"/>
  </w:style>
  <w:style w:type="paragraph" w:customStyle="1" w:styleId="ParaNum">
    <w:name w:val="ParaNum"/>
    <w:basedOn w:val="Normal"/>
    <w:rsid w:val="000423E3"/>
    <w:pPr>
      <w:numPr>
        <w:numId w:val="2"/>
      </w:numPr>
      <w:tabs>
        <w:tab w:val="clear" w:pos="1080"/>
        <w:tab w:val="num" w:pos="1440"/>
      </w:tabs>
      <w:spacing w:after="120"/>
    </w:pPr>
  </w:style>
  <w:style w:type="paragraph" w:styleId="EndnoteText">
    <w:name w:val="endnote text"/>
    <w:basedOn w:val="Normal"/>
    <w:semiHidden/>
    <w:rsid w:val="000423E3"/>
    <w:rPr>
      <w:sz w:val="20"/>
    </w:rPr>
  </w:style>
  <w:style w:type="character" w:styleId="EndnoteReference">
    <w:name w:val="endnote reference"/>
    <w:semiHidden/>
    <w:rsid w:val="000423E3"/>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423E3"/>
    <w:pPr>
      <w:spacing w:after="120"/>
    </w:pPr>
  </w:style>
  <w:style w:type="character" w:styleId="FootnoteReference">
    <w:name w:val="footnote reference"/>
    <w:rsid w:val="000423E3"/>
    <w:rPr>
      <w:rFonts w:ascii="Times New Roman" w:hAnsi="Times New Roman"/>
      <w:dstrike w:val="0"/>
      <w:color w:val="auto"/>
      <w:sz w:val="22"/>
      <w:vertAlign w:val="superscript"/>
    </w:rPr>
  </w:style>
  <w:style w:type="paragraph" w:styleId="TOC1">
    <w:name w:val="toc 1"/>
    <w:basedOn w:val="Normal"/>
    <w:next w:val="Normal"/>
    <w:uiPriority w:val="39"/>
    <w:rsid w:val="000423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23E3"/>
    <w:pPr>
      <w:tabs>
        <w:tab w:val="left" w:pos="720"/>
        <w:tab w:val="right" w:leader="dot" w:pos="9360"/>
      </w:tabs>
      <w:suppressAutoHyphens/>
      <w:ind w:left="720" w:right="720" w:hanging="360"/>
    </w:pPr>
    <w:rPr>
      <w:noProof/>
    </w:rPr>
  </w:style>
  <w:style w:type="paragraph" w:styleId="TOC3">
    <w:name w:val="toc 3"/>
    <w:basedOn w:val="Normal"/>
    <w:next w:val="Normal"/>
    <w:semiHidden/>
    <w:rsid w:val="000423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23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23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23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23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23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23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23E3"/>
    <w:pPr>
      <w:tabs>
        <w:tab w:val="right" w:pos="9360"/>
      </w:tabs>
      <w:suppressAutoHyphens/>
    </w:pPr>
  </w:style>
  <w:style w:type="character" w:customStyle="1" w:styleId="EquationCaption">
    <w:name w:val="_Equation Caption"/>
    <w:rsid w:val="000423E3"/>
  </w:style>
  <w:style w:type="paragraph" w:styleId="Header">
    <w:name w:val="header"/>
    <w:basedOn w:val="Normal"/>
    <w:autoRedefine/>
    <w:rsid w:val="000423E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423E3"/>
    <w:pPr>
      <w:tabs>
        <w:tab w:val="center" w:pos="4320"/>
        <w:tab w:val="right" w:pos="8640"/>
      </w:tabs>
    </w:pPr>
  </w:style>
  <w:style w:type="character" w:styleId="PageNumber">
    <w:name w:val="page number"/>
    <w:basedOn w:val="DefaultParagraphFont"/>
    <w:rsid w:val="000423E3"/>
  </w:style>
  <w:style w:type="paragraph" w:styleId="BlockText">
    <w:name w:val="Block Text"/>
    <w:basedOn w:val="Normal"/>
    <w:rsid w:val="000423E3"/>
    <w:pPr>
      <w:spacing w:after="240"/>
      <w:ind w:left="1440" w:right="1440"/>
    </w:pPr>
  </w:style>
  <w:style w:type="paragraph" w:customStyle="1" w:styleId="Paratitle">
    <w:name w:val="Para title"/>
    <w:basedOn w:val="Normal"/>
    <w:rsid w:val="000423E3"/>
    <w:pPr>
      <w:tabs>
        <w:tab w:val="center" w:pos="9270"/>
      </w:tabs>
      <w:spacing w:after="240"/>
    </w:pPr>
    <w:rPr>
      <w:spacing w:val="-2"/>
    </w:rPr>
  </w:style>
  <w:style w:type="paragraph" w:customStyle="1" w:styleId="Bullet">
    <w:name w:val="Bullet"/>
    <w:basedOn w:val="Normal"/>
    <w:rsid w:val="000423E3"/>
    <w:pPr>
      <w:numPr>
        <w:numId w:val="1"/>
      </w:numPr>
      <w:tabs>
        <w:tab w:val="clear" w:pos="360"/>
        <w:tab w:val="left" w:pos="2160"/>
      </w:tabs>
      <w:spacing w:after="220"/>
      <w:ind w:left="2160" w:hanging="720"/>
    </w:pPr>
  </w:style>
  <w:style w:type="paragraph" w:customStyle="1" w:styleId="TableFormat">
    <w:name w:val="TableFormat"/>
    <w:basedOn w:val="Bullet"/>
    <w:rsid w:val="000423E3"/>
    <w:pPr>
      <w:numPr>
        <w:numId w:val="0"/>
      </w:numPr>
      <w:tabs>
        <w:tab w:val="clear" w:pos="2160"/>
        <w:tab w:val="left" w:pos="5040"/>
      </w:tabs>
      <w:ind w:left="5040" w:hanging="3600"/>
    </w:pPr>
  </w:style>
  <w:style w:type="paragraph" w:customStyle="1" w:styleId="TOCTitle">
    <w:name w:val="TOC Title"/>
    <w:basedOn w:val="Normal"/>
    <w:rsid w:val="000423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23E3"/>
    <w:pPr>
      <w:jc w:val="center"/>
    </w:pPr>
    <w:rPr>
      <w:rFonts w:ascii="Times New Roman Bold" w:hAnsi="Times New Roman Bold"/>
      <w:b/>
      <w:bCs/>
      <w:caps/>
      <w:szCs w:val="22"/>
    </w:rPr>
  </w:style>
  <w:style w:type="character" w:styleId="Hyperlink">
    <w:name w:val="Hyperlink"/>
    <w:rsid w:val="000423E3"/>
    <w:rPr>
      <w:color w:val="0000FF"/>
      <w:u w:val="single"/>
    </w:rPr>
  </w:style>
  <w:style w:type="character" w:customStyle="1" w:styleId="FooterChar">
    <w:name w:val="Footer Char"/>
    <w:link w:val="Footer"/>
    <w:uiPriority w:val="99"/>
    <w:rsid w:val="000423E3"/>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51422"/>
  </w:style>
  <w:style w:type="paragraph" w:styleId="BalloonText">
    <w:name w:val="Balloon Text"/>
    <w:basedOn w:val="Normal"/>
    <w:link w:val="BalloonTextChar"/>
    <w:uiPriority w:val="99"/>
    <w:semiHidden/>
    <w:unhideWhenUsed/>
    <w:rsid w:val="00713C94"/>
    <w:rPr>
      <w:rFonts w:ascii="Segoe UI" w:hAnsi="Segoe UI" w:cs="Segoe UI"/>
      <w:sz w:val="18"/>
      <w:szCs w:val="18"/>
    </w:rPr>
  </w:style>
  <w:style w:type="character" w:customStyle="1" w:styleId="BalloonTextChar">
    <w:name w:val="Balloon Text Char"/>
    <w:link w:val="BalloonText"/>
    <w:uiPriority w:val="99"/>
    <w:semiHidden/>
    <w:rsid w:val="00713C94"/>
    <w:rPr>
      <w:rFonts w:ascii="Segoe UI" w:hAnsi="Segoe UI" w:cs="Segoe UI"/>
      <w:snapToGrid w:val="0"/>
      <w:kern w:val="28"/>
      <w:sz w:val="18"/>
      <w:szCs w:val="18"/>
    </w:rPr>
  </w:style>
  <w:style w:type="character" w:customStyle="1" w:styleId="UnresolvedMention1">
    <w:name w:val="Unresolved Mention1"/>
    <w:uiPriority w:val="99"/>
    <w:rsid w:val="00B621AE"/>
    <w:rPr>
      <w:color w:val="605E5C"/>
      <w:shd w:val="clear" w:color="auto" w:fill="E1DFDD"/>
    </w:rPr>
  </w:style>
  <w:style w:type="paragraph" w:styleId="ListParagraph">
    <w:name w:val="List Paragraph"/>
    <w:basedOn w:val="Normal"/>
    <w:uiPriority w:val="34"/>
    <w:qFormat/>
    <w:rsid w:val="001D730F"/>
    <w:pPr>
      <w:ind w:left="720"/>
      <w:contextualSpacing/>
    </w:pPr>
  </w:style>
  <w:style w:type="character" w:styleId="CommentReference">
    <w:name w:val="annotation reference"/>
    <w:uiPriority w:val="99"/>
    <w:semiHidden/>
    <w:unhideWhenUsed/>
    <w:rsid w:val="00191C03"/>
    <w:rPr>
      <w:sz w:val="16"/>
      <w:szCs w:val="16"/>
    </w:rPr>
  </w:style>
  <w:style w:type="paragraph" w:styleId="CommentText">
    <w:name w:val="annotation text"/>
    <w:basedOn w:val="Normal"/>
    <w:link w:val="CommentTextChar"/>
    <w:uiPriority w:val="99"/>
    <w:semiHidden/>
    <w:unhideWhenUsed/>
    <w:rsid w:val="00191C03"/>
    <w:rPr>
      <w:sz w:val="20"/>
    </w:rPr>
  </w:style>
  <w:style w:type="character" w:customStyle="1" w:styleId="CommentTextChar">
    <w:name w:val="Comment Text Char"/>
    <w:link w:val="CommentText"/>
    <w:uiPriority w:val="99"/>
    <w:semiHidden/>
    <w:rsid w:val="00191C03"/>
    <w:rPr>
      <w:snapToGrid w:val="0"/>
      <w:kern w:val="28"/>
    </w:rPr>
  </w:style>
  <w:style w:type="paragraph" w:styleId="CommentSubject">
    <w:name w:val="annotation subject"/>
    <w:basedOn w:val="CommentText"/>
    <w:next w:val="CommentText"/>
    <w:link w:val="CommentSubjectChar"/>
    <w:uiPriority w:val="99"/>
    <w:semiHidden/>
    <w:unhideWhenUsed/>
    <w:rsid w:val="00191C03"/>
    <w:rPr>
      <w:b/>
      <w:bCs/>
    </w:rPr>
  </w:style>
  <w:style w:type="character" w:customStyle="1" w:styleId="CommentSubjectChar">
    <w:name w:val="Comment Subject Char"/>
    <w:link w:val="CommentSubject"/>
    <w:uiPriority w:val="99"/>
    <w:semiHidden/>
    <w:rsid w:val="00191C03"/>
    <w:rPr>
      <w:b/>
      <w:bCs/>
      <w:snapToGrid w:val="0"/>
      <w:kern w:val="28"/>
    </w:rPr>
  </w:style>
  <w:style w:type="character" w:styleId="FollowedHyperlink">
    <w:name w:val="FollowedHyperlink"/>
    <w:uiPriority w:val="99"/>
    <w:semiHidden/>
    <w:unhideWhenUsed/>
    <w:rsid w:val="00D36F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Sieradzki@fcc.gov" TargetMode="External" /><Relationship Id="rId6" Type="http://schemas.openxmlformats.org/officeDocument/2006/relationships/hyperlink" Target="mailto:adam.copeland@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273047516225/WIA%20Petition%20for%20Rulemaking%20(8-27-19).pdf" TargetMode="External" /><Relationship Id="rId2" Type="http://schemas.openxmlformats.org/officeDocument/2006/relationships/hyperlink" Target="https://ecfsapi.fcc.gov/file/10827091727851/WIA%20Petition%20for%20Declaratory%20Ruling%20(8-27-19).pdf" TargetMode="External" /><Relationship Id="rId3" Type="http://schemas.openxmlformats.org/officeDocument/2006/relationships/hyperlink" Target="https://ecfsapi.fcc.gov/file/10906760521179/190906%20CTIA%20Infrastructure%20PDR%20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