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B20363" w:rsidP="00013A8B">
      <w:pPr>
        <w:jc w:val="right"/>
        <w:rPr>
          <w:b/>
          <w:sz w:val="24"/>
        </w:rPr>
      </w:pPr>
      <w:r>
        <w:rPr>
          <w:b/>
          <w:sz w:val="24"/>
        </w:rPr>
        <w:t>DA 19-</w:t>
      </w:r>
      <w:r w:rsidR="00685497">
        <w:rPr>
          <w:b/>
          <w:sz w:val="24"/>
        </w:rPr>
        <w:t>914</w:t>
      </w:r>
    </w:p>
    <w:p w:rsidR="00013A8B" w:rsidRPr="00B20363" w:rsidP="00013A8B">
      <w:pPr>
        <w:spacing w:before="60"/>
        <w:jc w:val="right"/>
        <w:rPr>
          <w:b/>
          <w:sz w:val="24"/>
        </w:rPr>
      </w:pPr>
      <w:r>
        <w:rPr>
          <w:b/>
          <w:sz w:val="24"/>
        </w:rPr>
        <w:t xml:space="preserve">Released:  </w:t>
      </w:r>
      <w:r w:rsidR="005B15D4">
        <w:rPr>
          <w:b/>
          <w:sz w:val="24"/>
        </w:rPr>
        <w:t>September</w:t>
      </w:r>
      <w:r w:rsidR="001D6C79">
        <w:rPr>
          <w:b/>
          <w:sz w:val="24"/>
        </w:rPr>
        <w:t xml:space="preserve"> </w:t>
      </w:r>
      <w:r w:rsidR="005B15D4">
        <w:rPr>
          <w:b/>
          <w:sz w:val="24"/>
        </w:rPr>
        <w:t>13</w:t>
      </w:r>
      <w:r w:rsidR="001D6C79">
        <w:rPr>
          <w:b/>
          <w:sz w:val="24"/>
        </w:rPr>
        <w:t>, 2019</w:t>
      </w:r>
    </w:p>
    <w:p w:rsidR="00013A8B" w:rsidP="00013A8B">
      <w:pPr>
        <w:jc w:val="right"/>
        <w:rPr>
          <w:sz w:val="24"/>
        </w:rPr>
      </w:pPr>
    </w:p>
    <w:p w:rsidR="00013A8B" w:rsidRPr="00B20363" w:rsidP="00013A8B">
      <w:pPr>
        <w:spacing w:after="240"/>
        <w:jc w:val="center"/>
        <w:rPr>
          <w:rFonts w:ascii="Times New Roman Bold" w:hAnsi="Times New Roman Bold"/>
          <w:b/>
          <w:caps/>
          <w:sz w:val="24"/>
        </w:rPr>
      </w:pPr>
      <w:r w:rsidRPr="001D6C79">
        <w:rPr>
          <w:rFonts w:ascii="Times New Roman Bold" w:hAnsi="Times New Roman Bold"/>
          <w:b/>
          <w:caps/>
          <w:sz w:val="24"/>
        </w:rPr>
        <w:t>COMMENTS INVITED ON SECTION 214 APPLICATION(S) TO DISCONTINUE DOMESTIC NON-DOMINANT CARRIER TELECOMMUNICATIONS SERVICES as part of a technology TRANSITION</w:t>
      </w:r>
    </w:p>
    <w:p w:rsidR="00013A8B" w:rsidP="00013A8B">
      <w:pPr>
        <w:spacing w:after="240"/>
        <w:jc w:val="center"/>
        <w:rPr>
          <w:b/>
          <w:sz w:val="24"/>
        </w:rPr>
      </w:pPr>
      <w:r w:rsidRPr="001D6C79">
        <w:rPr>
          <w:b/>
          <w:sz w:val="24"/>
        </w:rPr>
        <w:t>WC Docket No(s). 19-</w:t>
      </w:r>
      <w:r w:rsidR="00BB44C4">
        <w:rPr>
          <w:b/>
          <w:sz w:val="24"/>
        </w:rPr>
        <w:t>259</w:t>
      </w:r>
    </w:p>
    <w:p w:rsidR="001D6C79" w:rsidP="001D6C7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B15D4">
        <w:rPr>
          <w:b/>
          <w:kern w:val="0"/>
          <w:szCs w:val="22"/>
        </w:rPr>
        <w:t xml:space="preserve">September </w:t>
      </w:r>
      <w:r w:rsidR="00B83336">
        <w:rPr>
          <w:b/>
          <w:kern w:val="0"/>
          <w:szCs w:val="22"/>
        </w:rPr>
        <w:t>30</w:t>
      </w:r>
      <w:r>
        <w:rPr>
          <w:b/>
          <w:kern w:val="0"/>
          <w:szCs w:val="22"/>
        </w:rPr>
        <w:t>, 2019</w:t>
      </w:r>
    </w:p>
    <w:p w:rsidR="00CF580A" w:rsidP="00CF580A">
      <w:pPr>
        <w:rPr>
          <w:b/>
          <w:sz w:val="24"/>
        </w:rPr>
      </w:pPr>
    </w:p>
    <w:p w:rsidR="00CF580A" w:rsidRPr="00047E2E"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bookmarkStart w:id="0" w:name="TOChere"/>
      <w:r>
        <w:rPr>
          <w:spacing w:val="-3"/>
          <w:szCs w:val="22"/>
        </w:rPr>
        <w:tab/>
      </w:r>
      <w:r w:rsidRPr="00047E2E">
        <w:rPr>
          <w:spacing w:val="-3"/>
          <w:szCs w:val="22"/>
        </w:rPr>
        <w:t xml:space="preserve">Unless otherwise specified, the following procedures </w:t>
      </w:r>
      <w:r>
        <w:rPr>
          <w:spacing w:val="-3"/>
          <w:szCs w:val="22"/>
        </w:rPr>
        <w:t>and dates apply to the application(s) (</w:t>
      </w:r>
      <w:r w:rsidRPr="009C502C">
        <w:rPr>
          <w:spacing w:val="-3"/>
          <w:szCs w:val="22"/>
        </w:rPr>
        <w:t>the Section 214 Discontinuance Application</w:t>
      </w:r>
      <w:r>
        <w:rPr>
          <w:spacing w:val="-3"/>
          <w:szCs w:val="22"/>
        </w:rPr>
        <w:t>(</w:t>
      </w:r>
      <w:r w:rsidRPr="009C502C">
        <w:rPr>
          <w:spacing w:val="-3"/>
          <w:szCs w:val="22"/>
        </w:rPr>
        <w:t>s</w:t>
      </w:r>
      <w:r>
        <w:rPr>
          <w:spacing w:val="-3"/>
          <w:szCs w:val="22"/>
        </w:rPr>
        <w:t>)) listed in the Appendix.</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RPr="000B013D" w:rsidP="00CF580A">
      <w:pPr>
        <w:autoSpaceDE w:val="0"/>
        <w:autoSpaceDN w:val="0"/>
        <w:adjustRightInd w:val="0"/>
        <w:rPr>
          <w:rFonts w:eastAsia="MS Mincho"/>
          <w:szCs w:val="22"/>
        </w:rPr>
      </w:pPr>
      <w:r>
        <w:rPr>
          <w:spacing w:val="-3"/>
          <w:szCs w:val="22"/>
        </w:rPr>
        <w:tab/>
      </w:r>
      <w:r w:rsidRPr="000B013D">
        <w:rPr>
          <w:spacing w:val="-3"/>
          <w:szCs w:val="22"/>
        </w:rPr>
        <w:t xml:space="preserve">The Wireline </w:t>
      </w:r>
      <w:r>
        <w:rPr>
          <w:spacing w:val="-3"/>
          <w:szCs w:val="22"/>
        </w:rPr>
        <w:t>Competition Bureau</w:t>
      </w:r>
      <w:r w:rsidRPr="000B013D">
        <w:rPr>
          <w:spacing w:val="-3"/>
          <w:szCs w:val="22"/>
        </w:rPr>
        <w:t xml:space="preserve"> (Bureau)</w:t>
      </w:r>
      <w:r>
        <w:rPr>
          <w:spacing w:val="-3"/>
          <w:szCs w:val="22"/>
        </w:rPr>
        <w:t>, upon initial review, has found the</w:t>
      </w:r>
      <w:r w:rsidRPr="000B013D">
        <w:rPr>
          <w:spacing w:val="-3"/>
          <w:szCs w:val="22"/>
        </w:rPr>
        <w:t xml:space="preserve"> Section 214</w:t>
      </w:r>
      <w:r>
        <w:rPr>
          <w:spacing w:val="-3"/>
          <w:szCs w:val="22"/>
        </w:rPr>
        <w:t xml:space="preserve"> Discontinuance A</w:t>
      </w:r>
      <w:r w:rsidRPr="000B013D">
        <w:rPr>
          <w:spacing w:val="-3"/>
          <w:szCs w:val="22"/>
        </w:rPr>
        <w:t>pplication</w:t>
      </w:r>
      <w:r>
        <w:rPr>
          <w:spacing w:val="-3"/>
          <w:szCs w:val="22"/>
        </w:rPr>
        <w:t>(</w:t>
      </w:r>
      <w:r w:rsidRPr="000B013D">
        <w:rPr>
          <w:spacing w:val="-3"/>
          <w:szCs w:val="22"/>
        </w:rPr>
        <w:t>s</w:t>
      </w:r>
      <w:r>
        <w:rPr>
          <w:spacing w:val="-3"/>
          <w:szCs w:val="22"/>
        </w:rPr>
        <w:t>)</w:t>
      </w:r>
      <w:r w:rsidRPr="000B013D">
        <w:rPr>
          <w:spacing w:val="-3"/>
          <w:szCs w:val="22"/>
        </w:rPr>
        <w:t xml:space="preserve"> listed </w:t>
      </w:r>
      <w:r>
        <w:rPr>
          <w:spacing w:val="-3"/>
          <w:szCs w:val="22"/>
        </w:rPr>
        <w:t xml:space="preserve">herein </w:t>
      </w:r>
      <w:r w:rsidRPr="000B013D">
        <w:rPr>
          <w:spacing w:val="-3"/>
          <w:szCs w:val="22"/>
        </w:rPr>
        <w:t>to be acceptable for filing and subject to the procedures set forth in Section 63.71 of the Commission's rules.</w:t>
      </w:r>
      <w:r>
        <w:rPr>
          <w:rStyle w:val="FootnoteReference"/>
          <w:spacing w:val="-3"/>
          <w:szCs w:val="22"/>
        </w:rPr>
        <w:footnoteReference w:id="3"/>
      </w:r>
      <w:r w:rsidRPr="000B013D">
        <w:rPr>
          <w:spacing w:val="-3"/>
          <w:szCs w:val="22"/>
        </w:rPr>
        <w:t xml:space="preserve">  The application</w:t>
      </w:r>
      <w:r>
        <w:rPr>
          <w:spacing w:val="-3"/>
          <w:szCs w:val="22"/>
        </w:rPr>
        <w:t>(</w:t>
      </w:r>
      <w:r w:rsidRPr="000B013D">
        <w:rPr>
          <w:spacing w:val="-3"/>
          <w:szCs w:val="22"/>
        </w:rPr>
        <w:t>s</w:t>
      </w:r>
      <w:r>
        <w:rPr>
          <w:spacing w:val="-3"/>
          <w:szCs w:val="22"/>
        </w:rPr>
        <w:t>)</w:t>
      </w:r>
      <w:r w:rsidRPr="000B013D">
        <w:rPr>
          <w:spacing w:val="-3"/>
          <w:szCs w:val="22"/>
        </w:rPr>
        <w:t xml:space="preserve"> request authority</w:t>
      </w:r>
      <w:r w:rsidRPr="000B013D">
        <w:rPr>
          <w:rFonts w:eastAsia="MS Mincho"/>
          <w:szCs w:val="22"/>
        </w:rPr>
        <w:t>, under section 214 of the Communications Act of 1934, as amended,</w:t>
      </w:r>
      <w:r>
        <w:rPr>
          <w:rStyle w:val="FootnoteReference"/>
          <w:rFonts w:eastAsia="MS Mincho"/>
          <w:szCs w:val="22"/>
        </w:rPr>
        <w:footnoteReference w:id="4"/>
      </w:r>
      <w:r w:rsidRPr="000B013D">
        <w:rPr>
          <w:rFonts w:eastAsia="MS Mincho"/>
          <w:szCs w:val="22"/>
        </w:rPr>
        <w:t xml:space="preserve"> and section 63.71 of the Commission’s rules,</w:t>
      </w:r>
      <w:r>
        <w:rPr>
          <w:rStyle w:val="FootnoteReference"/>
          <w:rFonts w:eastAsia="MS Mincho"/>
          <w:szCs w:val="22"/>
        </w:rPr>
        <w:footnoteReference w:id="5"/>
      </w:r>
      <w:r w:rsidRPr="000B013D">
        <w:rPr>
          <w:rFonts w:eastAsia="MS Mincho"/>
          <w:szCs w:val="22"/>
        </w:rPr>
        <w:t xml:space="preserve"> to discontinue</w:t>
      </w:r>
      <w:r>
        <w:rPr>
          <w:rFonts w:eastAsia="MS Mincho"/>
          <w:szCs w:val="22"/>
        </w:rPr>
        <w:t>, reduce, or impair</w:t>
      </w:r>
      <w:r w:rsidRPr="000B013D">
        <w:rPr>
          <w:rFonts w:eastAsia="MS Mincho"/>
          <w:szCs w:val="22"/>
        </w:rPr>
        <w:t xml:space="preserve"> certain domestic telecommunications service</w:t>
      </w:r>
      <w:r>
        <w:rPr>
          <w:rFonts w:eastAsia="MS Mincho"/>
          <w:szCs w:val="22"/>
        </w:rPr>
        <w:t>(</w:t>
      </w:r>
      <w:r w:rsidRPr="000B013D">
        <w:rPr>
          <w:rFonts w:eastAsia="MS Mincho"/>
          <w:szCs w:val="22"/>
        </w:rPr>
        <w:t>s</w:t>
      </w:r>
      <w:r>
        <w:rPr>
          <w:rFonts w:eastAsia="MS Mincho"/>
          <w:szCs w:val="22"/>
        </w:rPr>
        <w:t>) (Affected Service(s)) in specified geographic areas (Service Area(s)) as applicable and as fully described in each application.</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CF580A" w:rsidP="00CF580A">
      <w:pPr>
        <w:autoSpaceDE w:val="0"/>
        <w:autoSpaceDN w:val="0"/>
        <w:adjustRightInd w:val="0"/>
        <w:rPr>
          <w:spacing w:val="-3"/>
          <w:szCs w:val="22"/>
        </w:rPr>
      </w:pPr>
      <w:r w:rsidRPr="00715A41">
        <w:rPr>
          <w:spacing w:val="-3"/>
          <w:szCs w:val="22"/>
        </w:rPr>
        <w:tab/>
      </w:r>
      <w:r w:rsidRPr="00946191">
        <w:rPr>
          <w:spacing w:val="-3"/>
          <w:szCs w:val="22"/>
        </w:rPr>
        <w:t xml:space="preserve">In accordance with section 63.71(f) of the Commission’s rules, the Section 214 Discontinuance Application(s) listed in the Appendix will be deemed granted automatically on </w:t>
      </w:r>
      <w:r w:rsidR="005B15D4">
        <w:rPr>
          <w:spacing w:val="-3"/>
          <w:szCs w:val="22"/>
        </w:rPr>
        <w:t>October</w:t>
      </w:r>
      <w:r w:rsidRPr="00946191">
        <w:rPr>
          <w:spacing w:val="-3"/>
          <w:szCs w:val="22"/>
        </w:rPr>
        <w:t xml:space="preserve"> </w:t>
      </w:r>
      <w:r w:rsidR="005B15D4">
        <w:rPr>
          <w:spacing w:val="-3"/>
          <w:szCs w:val="22"/>
        </w:rPr>
        <w:t>14</w:t>
      </w:r>
      <w:r w:rsidRPr="00946191">
        <w:rPr>
          <w:spacing w:val="-3"/>
          <w:szCs w:val="22"/>
        </w:rPr>
        <w:t>, 2019, the 31st day after the release date of this public notice, unless the Commission notifies any applicant(s) that their grant will not be automatically effective.</w:t>
      </w:r>
      <w:r>
        <w:rPr>
          <w:rStyle w:val="FootnoteReference"/>
          <w:spacing w:val="-3"/>
          <w:szCs w:val="22"/>
        </w:rPr>
        <w:footnoteReference w:id="6"/>
      </w:r>
      <w:r w:rsidRPr="00946191">
        <w:rPr>
          <w:spacing w:val="-3"/>
          <w:szCs w:val="22"/>
        </w:rPr>
        <w:t xml:space="preserve">  </w:t>
      </w:r>
      <w:r>
        <w:rPr>
          <w:rFonts w:eastAsia="MS Mincho"/>
          <w:szCs w:val="22"/>
        </w:rPr>
        <w:t xml:space="preserve">We note that the date on which an application for Commission authorization is deemed granted may be different from the date on which applicants are authorized to discontinue, reduce, or impair service (“Authorized Date”).  Any applicant whose application has been deemed granted may discontinue, reduce or impair their Affected Service(s) in their Service Area(s) on or after the authorized date(s) specified in the Appendix, in accordance with their filed representations.  </w:t>
      </w:r>
      <w:r w:rsidRPr="009C502C">
        <w:rPr>
          <w:rFonts w:eastAsia="MS Mincho"/>
          <w:szCs w:val="22"/>
        </w:rPr>
        <w:t>Accordingly, pursuant to section 63.71(</w:t>
      </w:r>
      <w:r>
        <w:rPr>
          <w:rFonts w:eastAsia="MS Mincho"/>
          <w:szCs w:val="22"/>
        </w:rPr>
        <w:t>f</w:t>
      </w:r>
      <w:r w:rsidRPr="009C502C">
        <w:rPr>
          <w:rFonts w:eastAsia="MS Mincho"/>
          <w:szCs w:val="22"/>
        </w:rPr>
        <w:t xml:space="preserve">), and the terms outlined in each </w:t>
      </w:r>
      <w:r>
        <w:rPr>
          <w:rFonts w:eastAsia="MS Mincho"/>
          <w:szCs w:val="22"/>
        </w:rPr>
        <w:t>application</w:t>
      </w:r>
      <w:r w:rsidRPr="009C502C">
        <w:rPr>
          <w:rFonts w:eastAsia="MS Mincho"/>
          <w:szCs w:val="22"/>
        </w:rPr>
        <w:t>, absent further Commission action, each applicant may discontinue</w:t>
      </w:r>
      <w:r>
        <w:rPr>
          <w:rFonts w:eastAsia="MS Mincho"/>
          <w:szCs w:val="22"/>
        </w:rPr>
        <w:t>, reduce or impair</w:t>
      </w:r>
      <w:r w:rsidRPr="009C502C">
        <w:rPr>
          <w:rFonts w:eastAsia="MS Mincho"/>
          <w:szCs w:val="22"/>
        </w:rPr>
        <w:t xml:space="preserve"> the Affected Service</w:t>
      </w:r>
      <w:r>
        <w:rPr>
          <w:rFonts w:eastAsia="MS Mincho"/>
          <w:szCs w:val="22"/>
        </w:rPr>
        <w:t>(</w:t>
      </w:r>
      <w:r w:rsidRPr="009C502C">
        <w:rPr>
          <w:rFonts w:eastAsia="MS Mincho"/>
          <w:szCs w:val="22"/>
        </w:rPr>
        <w:t>s</w:t>
      </w:r>
      <w:r>
        <w:rPr>
          <w:rFonts w:eastAsia="MS Mincho"/>
          <w:szCs w:val="22"/>
        </w:rPr>
        <w:t>)</w:t>
      </w:r>
      <w:r w:rsidRPr="009C502C">
        <w:rPr>
          <w:rFonts w:eastAsia="MS Mincho"/>
          <w:szCs w:val="22"/>
        </w:rPr>
        <w:t xml:space="preserve"> </w:t>
      </w:r>
      <w:r>
        <w:rPr>
          <w:rFonts w:eastAsia="MS Mincho"/>
          <w:szCs w:val="22"/>
        </w:rPr>
        <w:t xml:space="preserve">in the Service Area(s) described in their application </w:t>
      </w:r>
      <w:r w:rsidRPr="00715A41">
        <w:rPr>
          <w:rFonts w:eastAsia="MS Mincho"/>
          <w:szCs w:val="22"/>
        </w:rPr>
        <w:t xml:space="preserve">on </w:t>
      </w:r>
      <w:r>
        <w:rPr>
          <w:rFonts w:eastAsia="MS Mincho"/>
          <w:bCs/>
          <w:szCs w:val="22"/>
        </w:rPr>
        <w:t xml:space="preserve">or after the authorized discontinuance date(s) listed in </w:t>
      </w:r>
      <w:r>
        <w:rPr>
          <w:rFonts w:eastAsia="MS Mincho"/>
          <w:bCs/>
          <w:szCs w:val="22"/>
        </w:rPr>
        <w:t>the Appendix for that application</w:t>
      </w:r>
      <w:r>
        <w:rPr>
          <w:rFonts w:eastAsia="MS Mincho"/>
          <w:szCs w:val="22"/>
        </w:rPr>
        <w:t xml:space="preserve">.  </w:t>
      </w:r>
      <w:r w:rsidRPr="00792917">
        <w:rPr>
          <w:rFonts w:eastAsia="MS Mincho"/>
          <w:szCs w:val="22"/>
        </w:rPr>
        <w:t>For purposes of computation of time when filing a petition for reconsideration</w:t>
      </w:r>
      <w:r>
        <w:rPr>
          <w:rFonts w:eastAsia="MS Mincho"/>
          <w:szCs w:val="22"/>
        </w:rPr>
        <w:t>,</w:t>
      </w:r>
      <w:r w:rsidRPr="00792917">
        <w:rPr>
          <w:rFonts w:eastAsia="MS Mincho"/>
          <w:szCs w:val="22"/>
        </w:rPr>
        <w:t xml:space="preserve"> application for review, or </w:t>
      </w:r>
      <w:r>
        <w:rPr>
          <w:rFonts w:eastAsia="MS Mincho"/>
          <w:szCs w:val="22"/>
        </w:rPr>
        <w:t>petition f</w:t>
      </w:r>
      <w:r w:rsidRPr="00792917">
        <w:rPr>
          <w:rFonts w:eastAsia="MS Mincho"/>
          <w:szCs w:val="22"/>
        </w:rPr>
        <w:t>or judicial review of the Commission’s decision</w:t>
      </w:r>
      <w:r>
        <w:rPr>
          <w:rFonts w:eastAsia="MS Mincho"/>
          <w:szCs w:val="22"/>
        </w:rPr>
        <w:t>(s)</w:t>
      </w:r>
      <w:r w:rsidRPr="00792917">
        <w:rPr>
          <w:rFonts w:eastAsia="MS Mincho"/>
          <w:szCs w:val="22"/>
        </w:rPr>
        <w:t xml:space="preserve">, the date of “public notice” shall be the </w:t>
      </w:r>
      <w:r>
        <w:rPr>
          <w:rFonts w:eastAsia="MS Mincho"/>
          <w:szCs w:val="22"/>
        </w:rPr>
        <w:t>auto grant date</w:t>
      </w:r>
      <w:r w:rsidRPr="00792917">
        <w:rPr>
          <w:rFonts w:eastAsia="MS Mincho"/>
          <w:szCs w:val="22"/>
        </w:rPr>
        <w:t xml:space="preserve"> stated </w:t>
      </w:r>
      <w:r>
        <w:rPr>
          <w:rFonts w:eastAsia="MS Mincho"/>
          <w:szCs w:val="22"/>
        </w:rPr>
        <w:t xml:space="preserve">above </w:t>
      </w:r>
      <w:r w:rsidRPr="00792917">
        <w:rPr>
          <w:rFonts w:eastAsia="MS Mincho"/>
          <w:szCs w:val="22"/>
        </w:rPr>
        <w:t>in this Public Notice, or the release date</w:t>
      </w:r>
      <w:r>
        <w:rPr>
          <w:rFonts w:eastAsia="MS Mincho"/>
          <w:szCs w:val="22"/>
        </w:rPr>
        <w:t>(s)</w:t>
      </w:r>
      <w:r w:rsidRPr="00792917">
        <w:rPr>
          <w:rFonts w:eastAsia="MS Mincho"/>
          <w:szCs w:val="22"/>
        </w:rPr>
        <w:t xml:space="preserve"> of any further public notice</w:t>
      </w:r>
      <w:r>
        <w:rPr>
          <w:rFonts w:eastAsia="MS Mincho"/>
          <w:szCs w:val="22"/>
        </w:rPr>
        <w:t>(s)</w:t>
      </w:r>
      <w:r w:rsidRPr="00792917">
        <w:rPr>
          <w:rFonts w:eastAsia="MS Mincho"/>
          <w:szCs w:val="22"/>
        </w:rPr>
        <w:t xml:space="preserve"> or order</w:t>
      </w:r>
      <w:r>
        <w:rPr>
          <w:rFonts w:eastAsia="MS Mincho"/>
          <w:szCs w:val="22"/>
        </w:rPr>
        <w:t>(s)</w:t>
      </w:r>
      <w:r w:rsidRPr="00792917">
        <w:rPr>
          <w:rFonts w:eastAsia="MS Mincho"/>
          <w:szCs w:val="22"/>
        </w:rPr>
        <w:t xml:space="preserve"> announcing final </w:t>
      </w:r>
      <w:r w:rsidRPr="00F92C2C">
        <w:rPr>
          <w:rFonts w:eastAsia="MS Mincho"/>
          <w:szCs w:val="22"/>
        </w:rPr>
        <w:t xml:space="preserve">Commission </w:t>
      </w:r>
      <w:r w:rsidRPr="00792917">
        <w:rPr>
          <w:rFonts w:eastAsia="MS Mincho"/>
          <w:szCs w:val="22"/>
        </w:rPr>
        <w:t>action, as applicable.  Should no petitions for reconsideration, applications for review, or petitions for judicial review be timely filed, the proceeding</w:t>
      </w:r>
      <w:r>
        <w:rPr>
          <w:rFonts w:eastAsia="MS Mincho"/>
          <w:szCs w:val="22"/>
        </w:rPr>
        <w:t>(s)</w:t>
      </w:r>
      <w:r w:rsidRPr="00792917">
        <w:rPr>
          <w:rFonts w:eastAsia="MS Mincho"/>
          <w:szCs w:val="22"/>
        </w:rPr>
        <w:t xml:space="preserve"> listed in this Public Notice shall be terminated, and the docket</w:t>
      </w:r>
      <w:r>
        <w:rPr>
          <w:rFonts w:eastAsia="MS Mincho"/>
          <w:szCs w:val="22"/>
        </w:rPr>
        <w:t>(s)</w:t>
      </w:r>
      <w:r w:rsidRPr="00792917">
        <w:rPr>
          <w:rFonts w:eastAsia="MS Mincho"/>
          <w:szCs w:val="22"/>
        </w:rPr>
        <w:t xml:space="preserve"> will be closed.</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30569F"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Comments objecting to any of the</w:t>
      </w:r>
      <w:r w:rsidRPr="00D332AC">
        <w:rPr>
          <w:rFonts w:eastAsia="MS Mincho"/>
          <w:szCs w:val="22"/>
        </w:rPr>
        <w:t xml:space="preserve"> </w:t>
      </w:r>
      <w:r>
        <w:rPr>
          <w:rFonts w:eastAsia="MS Mincho"/>
          <w:szCs w:val="22"/>
        </w:rPr>
        <w:t>applications listed</w:t>
      </w:r>
      <w:r>
        <w:rPr>
          <w:szCs w:val="22"/>
        </w:rPr>
        <w:t xml:space="preserve"> in the Appendix must be filed with the Commission on or before</w:t>
      </w:r>
      <w:r>
        <w:rPr>
          <w:b/>
          <w:szCs w:val="22"/>
        </w:rPr>
        <w:t xml:space="preserve"> </w:t>
      </w:r>
      <w:r w:rsidR="005B15D4">
        <w:rPr>
          <w:b/>
          <w:szCs w:val="22"/>
        </w:rPr>
        <w:t xml:space="preserve">September </w:t>
      </w:r>
      <w:r w:rsidR="00B83336">
        <w:rPr>
          <w:b/>
          <w:szCs w:val="22"/>
        </w:rPr>
        <w:t>30</w:t>
      </w:r>
      <w:r>
        <w:rPr>
          <w:b/>
          <w:szCs w:val="22"/>
        </w:rPr>
        <w:t>, 2019</w:t>
      </w:r>
      <w:r>
        <w:rPr>
          <w:szCs w:val="22"/>
        </w:rPr>
        <w:t>.  Comments should refer to the specific WC Docket No. and Comp. Pol. File No. listed in the Appendix for the particular Section 214 Discontinuance Application that the commenter intends to address.  Comments should include specific information about the impact of the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Pr>
            <w:rStyle w:val="Hyperlink"/>
            <w:szCs w:val="22"/>
          </w:rPr>
          <w:t>http://apps.fcc.gov/ecfs</w:t>
        </w:r>
      </w:hyperlink>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Pr>
          <w:szCs w:val="22"/>
        </w:rPr>
        <w:t>Commercial overnight mail (other than U.S. Postal Service Express Mail and Priority Mail) must be sent to 9050 Junction Drive, Annapolis Junction, MD 20701.</w:t>
      </w:r>
      <w:r>
        <w:rPr>
          <w:szCs w:val="22"/>
        </w:rPr>
        <w:t xml:space="preserve">  U.S. Postal Service first-class, Express, and Priority mail must be addressed to 445 12th Street, S.W., Washington, D.C. 20554.</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Copies of the comments may also be sent to the Competition Policy Division, Wireline Competition Bureau, Federal Communications Commission, 445 12th Street, S.W., Room 5-C140, Washington, D.C. 20554, Attention:  Carmell Weathers, or faxed to </w:t>
      </w:r>
      <w:r w:rsidRPr="002658A1">
        <w:rPr>
          <w:szCs w:val="22"/>
        </w:rPr>
        <w:t>the FCC at (202) 418-1413, Attention:  Carmell Weathers</w:t>
      </w:r>
      <w:r>
        <w:rPr>
          <w:szCs w:val="22"/>
        </w:rPr>
        <w:t>.  In addition, comments should be served upon the Applicant(s).</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These proceedings are considered “permit but disclose” proceedings for purposes of the Commission’s ex parte rules.</w:t>
      </w:r>
      <w:r>
        <w:rPr>
          <w:rStyle w:val="FootnoteReference"/>
          <w:szCs w:val="22"/>
        </w:rPr>
        <w:footnoteReference w:id="8"/>
      </w:r>
      <w:r>
        <w:rPr>
          <w:szCs w:val="22"/>
        </w:rPr>
        <w:t xml:space="preserve">  Participants should familiarize themselves with the Commission’s </w:t>
      </w:r>
      <w:r w:rsidRPr="00C91996">
        <w:rPr>
          <w:i/>
          <w:szCs w:val="22"/>
        </w:rPr>
        <w:t>ex parte</w:t>
      </w:r>
      <w:r>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w:t>
      </w:r>
      <w:r>
        <w:t xml:space="preserve">be written </w:t>
      </w:r>
      <w:r>
        <w:rPr>
          <w:i/>
          <w:iCs/>
        </w:rPr>
        <w:t>ex parte</w:t>
      </w:r>
      <w:r>
        <w:t xml:space="preserve"> presentations and must be filed consistent with rule 1.1206(b).</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CF580A" w:rsidRPr="00665F81"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Pr>
          <w:szCs w:val="22"/>
        </w:rPr>
        <w:t xml:space="preserve">People with Disabilities:  To request materials in accessible formats for people with disabilities (Braille, large print, electronic files, audio format), send an e-mail to </w:t>
      </w:r>
      <w:hyperlink r:id="rId6" w:history="1">
        <w:r w:rsidRPr="00545B81">
          <w:rPr>
            <w:rStyle w:val="Hyperlink"/>
            <w:szCs w:val="22"/>
          </w:rPr>
          <w:t>fcc504@fcc.gov</w:t>
        </w:r>
      </w:hyperlink>
      <w:r>
        <w:rPr>
          <w:szCs w:val="22"/>
        </w:rPr>
        <w:t xml:space="preserve"> or call the Consumer &amp; Governmental Affairs Bureau at (202) 418-0530 (voice), (888) 835-5322 (</w:t>
      </w:r>
      <w:r>
        <w:rPr>
          <w:szCs w:val="22"/>
        </w:rPr>
        <w:t>tty</w:t>
      </w:r>
      <w:r>
        <w:rPr>
          <w:szCs w:val="22"/>
        </w:rPr>
        <w:t>).</w:t>
      </w: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665F81"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Pr>
          <w:szCs w:val="22"/>
        </w:rPr>
        <w:t>please see the contacts for the specific discontinuance proceeding you are interested in as listed in the Appendix</w:t>
      </w:r>
      <w:r w:rsidRPr="00665F81">
        <w:rPr>
          <w:szCs w:val="22"/>
        </w:rPr>
        <w:t xml:space="preserve">.  The </w:t>
      </w:r>
      <w:r w:rsidRPr="00665F81">
        <w:rPr>
          <w:szCs w:val="22"/>
        </w:rPr>
        <w:t>tty</w:t>
      </w:r>
      <w:r w:rsidRPr="00665F81">
        <w:rPr>
          <w:szCs w:val="22"/>
        </w:rPr>
        <w:t xml:space="preserve"> number is </w:t>
      </w:r>
      <w:r>
        <w:rPr>
          <w:szCs w:val="22"/>
        </w:rPr>
        <w:t>(888) 835-5322</w:t>
      </w:r>
      <w:r w:rsidRPr="00665F81">
        <w:rPr>
          <w:szCs w:val="22"/>
        </w:rPr>
        <w:t xml:space="preserve">.  For further information on procedures regarding section 214 please visit </w:t>
      </w:r>
      <w:hyperlink r:id="rId7" w:history="1">
        <w:r w:rsidRPr="0034665D">
          <w:rPr>
            <w:rStyle w:val="Hyperlink"/>
            <w:szCs w:val="22"/>
          </w:rPr>
          <w:t>https://www.fcc.gov/encyclopedia/domestic-section-214-discontinuance-service</w:t>
        </w:r>
      </w:hyperlink>
      <w:r>
        <w:rPr>
          <w:szCs w:val="22"/>
        </w:rPr>
        <w:t>.</w:t>
      </w:r>
    </w:p>
    <w:p w:rsidR="00CF580A" w:rsidRPr="00665F81"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RPr="00556AE0" w:rsidP="00CF580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556AE0">
        <w:rPr>
          <w:b/>
          <w:szCs w:val="22"/>
        </w:rPr>
        <w:t>– FCC –</w:t>
      </w:r>
    </w:p>
    <w:p w:rsidR="00CF580A" w:rsidP="00CF580A">
      <w:pPr>
        <w:jc w:val="center"/>
        <w:rPr>
          <w:szCs w:val="22"/>
        </w:rPr>
      </w:pPr>
      <w:r>
        <w:rPr>
          <w:szCs w:val="22"/>
        </w:rPr>
        <w:br w:type="page"/>
      </w:r>
      <w:r w:rsidRPr="00AC52E0">
        <w:rPr>
          <w:b/>
          <w:szCs w:val="22"/>
        </w:rPr>
        <w:t>Appendix</w:t>
      </w:r>
    </w:p>
    <w:p w:rsidR="00CF580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CF580A" w:rsidP="00CF580A">
      <w:pPr>
        <w:pStyle w:val="ListParagraph"/>
        <w:numPr>
          <w:ilvl w:val="0"/>
          <w:numId w:val="7"/>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498950039"/>
      <w:r w:rsidRPr="00D4271A">
        <w:rPr>
          <w:b/>
          <w:szCs w:val="22"/>
        </w:rPr>
        <w:t>Applicant(s):</w:t>
      </w:r>
      <w:r w:rsidR="005B15D4">
        <w:rPr>
          <w:b/>
          <w:szCs w:val="22"/>
        </w:rPr>
        <w:t xml:space="preserve"> </w:t>
      </w:r>
      <w:r w:rsidR="007032FD">
        <w:rPr>
          <w:b/>
          <w:szCs w:val="22"/>
        </w:rPr>
        <w:t xml:space="preserve"> </w:t>
      </w:r>
      <w:r w:rsidRPr="005B15D4" w:rsidR="005B15D4">
        <w:rPr>
          <w:b/>
          <w:szCs w:val="22"/>
        </w:rPr>
        <w:t>ConvergeOne Licensing Holdings, Inc.</w:t>
      </w:r>
    </w:p>
    <w:p w:rsidR="00CF580A" w:rsidRPr="00D4271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4271A">
        <w:rPr>
          <w:b/>
          <w:szCs w:val="22"/>
        </w:rPr>
        <w:t>WC Docket No. 19-</w:t>
      </w:r>
      <w:r w:rsidR="00BB44C4">
        <w:rPr>
          <w:b/>
          <w:szCs w:val="22"/>
        </w:rPr>
        <w:t>259</w:t>
      </w:r>
      <w:r w:rsidRPr="00D4271A">
        <w:rPr>
          <w:b/>
          <w:szCs w:val="22"/>
        </w:rPr>
        <w:t>, Comp. Pol. File No. 15</w:t>
      </w:r>
      <w:r w:rsidR="005B15D4">
        <w:rPr>
          <w:b/>
          <w:szCs w:val="22"/>
        </w:rPr>
        <w:t>6</w:t>
      </w:r>
      <w:r>
        <w:rPr>
          <w:b/>
          <w:szCs w:val="22"/>
        </w:rPr>
        <w:t>4</w:t>
      </w:r>
    </w:p>
    <w:p w:rsidR="00B4402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Link</w:t>
      </w:r>
      <w:r w:rsidRPr="00D4271A">
        <w:rPr>
          <w:szCs w:val="22"/>
        </w:rPr>
        <w:t xml:space="preserve"> –</w:t>
      </w:r>
      <w:r w:rsidR="0046249C">
        <w:rPr>
          <w:szCs w:val="22"/>
        </w:rPr>
        <w:t xml:space="preserve"> </w:t>
      </w:r>
      <w:hyperlink r:id="rId8" w:history="1">
        <w:r w:rsidRPr="0046249C" w:rsidR="0046249C">
          <w:rPr>
            <w:rStyle w:val="Hyperlink"/>
            <w:szCs w:val="22"/>
          </w:rPr>
          <w:t>https://www.fcc.gov/ecfs/search/filings?proceedings_name=19-259&amp;sort=date_disseminated,DESC</w:t>
        </w:r>
      </w:hyperlink>
    </w:p>
    <w:p w:rsidR="00EA3E81"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Affected Service(s)</w:t>
      </w:r>
      <w:r w:rsidRPr="00D4271A">
        <w:rPr>
          <w:szCs w:val="22"/>
        </w:rPr>
        <w:t xml:space="preserve"> </w:t>
      </w:r>
      <w:r>
        <w:rPr>
          <w:szCs w:val="22"/>
        </w:rPr>
        <w:t>–</w:t>
      </w:r>
      <w:r>
        <w:rPr>
          <w:szCs w:val="22"/>
        </w:rPr>
        <w:t xml:space="preserve"> </w:t>
      </w:r>
      <w:r w:rsidR="00250ED7">
        <w:rPr>
          <w:szCs w:val="22"/>
        </w:rPr>
        <w:t xml:space="preserve">wireline telecommunications services and associated features including all </w:t>
      </w:r>
      <w:r w:rsidRPr="00EA3E81">
        <w:rPr>
          <w:szCs w:val="22"/>
        </w:rPr>
        <w:t xml:space="preserve">interstate telecommunications services using TDM circuits </w:t>
      </w:r>
      <w:r w:rsidR="00250ED7">
        <w:rPr>
          <w:szCs w:val="22"/>
        </w:rPr>
        <w:t>(</w:t>
      </w:r>
      <w:r w:rsidRPr="00EA3E81">
        <w:rPr>
          <w:szCs w:val="22"/>
        </w:rPr>
        <w:t>and all pricing plans associated with these services</w:t>
      </w:r>
      <w:r w:rsidR="00250ED7">
        <w:rPr>
          <w:szCs w:val="22"/>
        </w:rPr>
        <w:t>)</w:t>
      </w:r>
    </w:p>
    <w:p w:rsidR="00CF580A" w:rsidRPr="00D4271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Service Area(s)</w:t>
      </w:r>
      <w:r w:rsidRPr="00D4271A">
        <w:rPr>
          <w:szCs w:val="22"/>
        </w:rPr>
        <w:t xml:space="preserve"> –</w:t>
      </w:r>
      <w:r>
        <w:rPr>
          <w:szCs w:val="22"/>
        </w:rPr>
        <w:t xml:space="preserve"> </w:t>
      </w:r>
      <w:r w:rsidR="00EA3E81">
        <w:rPr>
          <w:szCs w:val="22"/>
        </w:rPr>
        <w:t>New York</w:t>
      </w:r>
    </w:p>
    <w:p w:rsidR="00CF580A" w:rsidRPr="00D4271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Authorized Date(s)</w:t>
      </w:r>
      <w:r w:rsidRPr="00D4271A">
        <w:rPr>
          <w:szCs w:val="22"/>
        </w:rPr>
        <w:t xml:space="preserve"> – on or after </w:t>
      </w:r>
      <w:r w:rsidR="00EA3E81">
        <w:rPr>
          <w:szCs w:val="22"/>
        </w:rPr>
        <w:t>October 14</w:t>
      </w:r>
      <w:r w:rsidRPr="00D4271A">
        <w:rPr>
          <w:szCs w:val="22"/>
        </w:rPr>
        <w:t>, 2019</w:t>
      </w:r>
    </w:p>
    <w:p w:rsidR="00CF580A" w:rsidP="00CF58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4271A">
        <w:rPr>
          <w:b/>
          <w:szCs w:val="22"/>
        </w:rPr>
        <w:t>Contact(s)</w:t>
      </w:r>
      <w:r w:rsidRPr="00D4271A">
        <w:rPr>
          <w:szCs w:val="22"/>
        </w:rPr>
        <w:t xml:space="preserve"> – Kimberly Jackson, (202) 418-7393 (voice), Kimberly.Jackson@fcc.gov, of the Competition Policy Division, Wireline Competition Bureau  </w:t>
      </w:r>
    </w:p>
    <w:bookmarkEnd w:id="1"/>
    <w:p w:rsidR="00F96F63" w:rsidRPr="00930ECF" w:rsidP="00F96F63">
      <w:pPr>
        <w:rPr>
          <w:sz w:val="24"/>
        </w:rPr>
      </w:pPr>
    </w:p>
    <w:bookmarkEnd w:id="0"/>
    <w:p w:rsidR="00F96F63" w:rsidP="00F96F63">
      <w:pPr>
        <w:rPr>
          <w:sz w:val="24"/>
        </w:rPr>
      </w:pPr>
    </w:p>
    <w:p w:rsidR="00930ECF" w:rsidRPr="00930ECF" w:rsidP="00F96F63">
      <w:pPr>
        <w:rPr>
          <w:sz w:val="24"/>
        </w:rPr>
      </w:pPr>
    </w:p>
    <w:sectPr w:rsidSect="000E5884">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E4EEA">
      <w:r>
        <w:separator/>
      </w:r>
    </w:p>
  </w:footnote>
  <w:footnote w:type="continuationSeparator" w:id="1">
    <w:p w:rsidR="00CE4EEA">
      <w:pPr>
        <w:rPr>
          <w:sz w:val="20"/>
        </w:rPr>
      </w:pPr>
      <w:r>
        <w:rPr>
          <w:sz w:val="20"/>
        </w:rPr>
        <w:t xml:space="preserve">(Continued from previous page)  </w:t>
      </w:r>
      <w:r>
        <w:rPr>
          <w:sz w:val="20"/>
        </w:rPr>
        <w:separator/>
      </w:r>
    </w:p>
  </w:footnote>
  <w:footnote w:type="continuationNotice" w:id="2">
    <w:p w:rsidR="00CE4EEA" w:rsidP="00910F12">
      <w:pPr>
        <w:jc w:val="right"/>
        <w:rPr>
          <w:sz w:val="20"/>
        </w:rPr>
      </w:pPr>
      <w:r>
        <w:rPr>
          <w:sz w:val="20"/>
        </w:rPr>
        <w:t>(continued….)</w:t>
      </w:r>
    </w:p>
  </w:footnote>
  <w:footnote w:id="3">
    <w:p w:rsidR="00CF580A" w:rsidRPr="00C91996" w:rsidP="00CF580A">
      <w:pPr>
        <w:pStyle w:val="FootnoteText"/>
      </w:pPr>
      <w:r w:rsidRPr="00C91996">
        <w:rPr>
          <w:rStyle w:val="FootnoteReference"/>
        </w:rPr>
        <w:footnoteRef/>
      </w:r>
      <w:r w:rsidRPr="00C91996">
        <w:t xml:space="preserve"> </w:t>
      </w:r>
      <w:r w:rsidRPr="007F5954">
        <w:t>47 CFR § 63.71.</w:t>
      </w:r>
      <w:r>
        <w:t xml:space="preserve"> </w:t>
      </w:r>
    </w:p>
  </w:footnote>
  <w:footnote w:id="4">
    <w:p w:rsidR="00CF580A" w:rsidP="00CF580A">
      <w:pPr>
        <w:pStyle w:val="FootnoteText"/>
      </w:pPr>
      <w:r>
        <w:rPr>
          <w:rStyle w:val="FootnoteReference"/>
        </w:rPr>
        <w:footnoteRef/>
      </w:r>
      <w:r>
        <w:t xml:space="preserve"> </w:t>
      </w:r>
      <w:r w:rsidRPr="00E31736">
        <w:t>47 U.S.C</w:t>
      </w:r>
      <w:r>
        <w:t>.</w:t>
      </w:r>
      <w:r w:rsidRPr="00E31736">
        <w:t xml:space="preserve"> </w:t>
      </w:r>
      <w:r w:rsidRPr="00E31736">
        <w:rPr>
          <w:rFonts w:eastAsia="MS Mincho"/>
        </w:rPr>
        <w:t>§ 214</w:t>
      </w:r>
      <w:r>
        <w:rPr>
          <w:rFonts w:eastAsia="MS Mincho"/>
        </w:rPr>
        <w:t>.</w:t>
      </w:r>
    </w:p>
  </w:footnote>
  <w:footnote w:id="5">
    <w:p w:rsidR="00CF580A" w:rsidP="00CF580A">
      <w:pPr>
        <w:pStyle w:val="FootnoteText"/>
      </w:pPr>
      <w:r>
        <w:rPr>
          <w:rStyle w:val="FootnoteReference"/>
        </w:rPr>
        <w:footnoteRef/>
      </w:r>
      <w:r>
        <w:t xml:space="preserve"> </w:t>
      </w:r>
      <w:r w:rsidRPr="00E31736">
        <w:rPr>
          <w:rFonts w:eastAsia="MS Mincho"/>
        </w:rPr>
        <w:t>47 CFR § 63.71</w:t>
      </w:r>
      <w:r>
        <w:rPr>
          <w:rFonts w:eastAsia="MS Mincho"/>
        </w:rPr>
        <w:t>.</w:t>
      </w:r>
    </w:p>
  </w:footnote>
  <w:footnote w:id="6">
    <w:p w:rsidR="00CF580A" w:rsidRPr="00EB0093" w:rsidP="00CF580A">
      <w:pPr>
        <w:pStyle w:val="FootnoteText"/>
      </w:pPr>
      <w:r w:rsidRPr="00EB0093">
        <w:rPr>
          <w:rStyle w:val="FootnoteReference"/>
        </w:rPr>
        <w:footnoteRef/>
      </w:r>
      <w:r w:rsidRPr="00EB0093">
        <w:t xml:space="preserve"> </w:t>
      </w:r>
      <w:r w:rsidRPr="00EB0093">
        <w:rPr>
          <w:i/>
        </w:rPr>
        <w:t xml:space="preserve">See </w:t>
      </w:r>
      <w:r w:rsidRPr="00EB0093">
        <w:t>47 CFR § 63.71(f) (stating, in relevant part, that an application filed by a non-dominant carrier “shall be automatically granted on the 31st day… unless the Commission has notified the applicant that the grant will not be automatically effective.”).</w:t>
      </w:r>
      <w:r>
        <w:t xml:space="preserve">  </w:t>
      </w:r>
      <w:r w:rsidRPr="00C06C25">
        <w:rPr>
          <w:i/>
        </w:rPr>
        <w:t>See also</w:t>
      </w:r>
      <w:r>
        <w:t xml:space="preserve"> 47 CFR § 63.71(f)(2)(ii) (stating that “[a]</w:t>
      </w:r>
      <w:r w:rsidRPr="00C06C25">
        <w:t>n application to discontinue, reduce, or impair an existing retail service as part of a technology transition, as defined in §</w:t>
      </w:r>
      <w:r>
        <w:t xml:space="preserve"> </w:t>
      </w:r>
      <w:r w:rsidRPr="00C06C25">
        <w:t>63.60(</w:t>
      </w:r>
      <w:r w:rsidRPr="00C06C25">
        <w:t>i</w:t>
      </w:r>
      <w:r w:rsidRPr="00C06C25">
        <w:t>), may be automatically granted only if:</w:t>
      </w:r>
      <w:r>
        <w:t xml:space="preserve">  </w:t>
      </w:r>
      <w:r w:rsidRPr="00C06C25">
        <w:t>The applicant:</w:t>
      </w:r>
      <w:r>
        <w:t xml:space="preserve">  </w:t>
      </w:r>
      <w:r w:rsidRPr="00C06C25">
        <w:t>(A) Offers a stand-alone interconnected VoIP service, as defined in §</w:t>
      </w:r>
      <w:r>
        <w:t xml:space="preserve"> </w:t>
      </w:r>
      <w:r w:rsidRPr="00C06C25">
        <w:t>9.3 of this chapter, throughout the affected service area, and</w:t>
      </w:r>
      <w:r>
        <w:t xml:space="preserve"> </w:t>
      </w:r>
      <w:r w:rsidRPr="00C06C25">
        <w:t>(B) At least one other alternative stand-alone facilities-based wireline or wireless voice service is available from another unaffiliated provider throughout the affected service area.</w:t>
      </w:r>
      <w:r>
        <w:t>”).</w:t>
      </w:r>
    </w:p>
  </w:footnote>
  <w:footnote w:id="7">
    <w:p w:rsidR="00CF580A" w:rsidRPr="00C91996" w:rsidP="00CF580A">
      <w:pPr>
        <w:pStyle w:val="FootnoteText"/>
      </w:pPr>
      <w:r w:rsidRPr="00C91996">
        <w:rPr>
          <w:rStyle w:val="FootnoteReference"/>
        </w:rPr>
        <w:footnoteRef/>
      </w:r>
      <w:r w:rsidRPr="00C91996">
        <w:t xml:space="preserve"> </w:t>
      </w:r>
      <w:r w:rsidRPr="007F5954">
        <w:rPr>
          <w:i/>
        </w:rPr>
        <w:t>See Electronic Filing of Documents in Rulemaking Proceedings</w:t>
      </w:r>
      <w:r w:rsidRPr="007F5954">
        <w:t>, 63 FR 24121 (1998).</w:t>
      </w:r>
    </w:p>
  </w:footnote>
  <w:footnote w:id="8">
    <w:p w:rsidR="00CF580A" w:rsidRPr="007F5954" w:rsidP="00CF580A">
      <w:pPr>
        <w:pStyle w:val="FootnoteText"/>
      </w:pPr>
      <w:r w:rsidRPr="00C91996">
        <w:rPr>
          <w:rStyle w:val="FootnoteReference"/>
        </w:rPr>
        <w:footnoteRef/>
      </w:r>
      <w:r w:rsidRPr="00C91996">
        <w:t xml:space="preserve"> </w:t>
      </w:r>
      <w:r w:rsidRPr="007F5954">
        <w:t>47 CFR §</w:t>
      </w:r>
      <w:r>
        <w:t xml:space="preserve"> </w:t>
      </w:r>
      <w:r w:rsidRPr="007F5954">
        <w:t xml:space="preserve">1.1200 </w:t>
      </w:r>
      <w:r w:rsidRPr="007F5954">
        <w:rPr>
          <w:i/>
        </w:rPr>
        <w:t>et seq</w:t>
      </w:r>
      <w:r w:rsidRPr="007F595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1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3E15E1">
      <w:rPr>
        <w:b/>
      </w:rPr>
      <w:t xml:space="preserve">DA </w:t>
    </w:r>
    <w:r w:rsidR="003E15E1">
      <w:rPr>
        <w:b/>
      </w:rPr>
      <w:t>19-</w:t>
    </w:r>
    <w:r w:rsidR="00685497">
      <w:rPr>
        <w:b/>
      </w:rPr>
      <w:t>914</w:t>
    </w:r>
    <w:bookmarkStart w:id="2" w:name="_GoBack"/>
    <w:bookmarkEnd w:id="2"/>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70518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EA"/>
    <w:rsid w:val="000072CE"/>
    <w:rsid w:val="00013A8B"/>
    <w:rsid w:val="00021445"/>
    <w:rsid w:val="00036039"/>
    <w:rsid w:val="00037F90"/>
    <w:rsid w:val="00047E2E"/>
    <w:rsid w:val="000875BF"/>
    <w:rsid w:val="00096D8C"/>
    <w:rsid w:val="000B013D"/>
    <w:rsid w:val="000B7B6A"/>
    <w:rsid w:val="000C0B65"/>
    <w:rsid w:val="000D00C5"/>
    <w:rsid w:val="000E3D42"/>
    <w:rsid w:val="000E5884"/>
    <w:rsid w:val="00122BD5"/>
    <w:rsid w:val="001979D9"/>
    <w:rsid w:val="001B2C47"/>
    <w:rsid w:val="001D6BCF"/>
    <w:rsid w:val="001D6C79"/>
    <w:rsid w:val="001E01CA"/>
    <w:rsid w:val="002060D9"/>
    <w:rsid w:val="00226822"/>
    <w:rsid w:val="00250ED7"/>
    <w:rsid w:val="00260594"/>
    <w:rsid w:val="002658A1"/>
    <w:rsid w:val="0026597A"/>
    <w:rsid w:val="00285017"/>
    <w:rsid w:val="002A2D2E"/>
    <w:rsid w:val="002E1255"/>
    <w:rsid w:val="002F5103"/>
    <w:rsid w:val="0030569F"/>
    <w:rsid w:val="00343749"/>
    <w:rsid w:val="0034665D"/>
    <w:rsid w:val="00357D50"/>
    <w:rsid w:val="003925DC"/>
    <w:rsid w:val="003B0550"/>
    <w:rsid w:val="003B694F"/>
    <w:rsid w:val="003E15E1"/>
    <w:rsid w:val="003F171C"/>
    <w:rsid w:val="00412FC5"/>
    <w:rsid w:val="00422276"/>
    <w:rsid w:val="004242F1"/>
    <w:rsid w:val="00445A00"/>
    <w:rsid w:val="00451B0F"/>
    <w:rsid w:val="0046125F"/>
    <w:rsid w:val="0046249C"/>
    <w:rsid w:val="004634A5"/>
    <w:rsid w:val="00487524"/>
    <w:rsid w:val="00496106"/>
    <w:rsid w:val="004C12D0"/>
    <w:rsid w:val="004C2EE3"/>
    <w:rsid w:val="004E4A22"/>
    <w:rsid w:val="00511968"/>
    <w:rsid w:val="00545B81"/>
    <w:rsid w:val="0055614C"/>
    <w:rsid w:val="00556AE0"/>
    <w:rsid w:val="005B15D4"/>
    <w:rsid w:val="00607BA5"/>
    <w:rsid w:val="00626EB6"/>
    <w:rsid w:val="006353A3"/>
    <w:rsid w:val="00655D03"/>
    <w:rsid w:val="006564AC"/>
    <w:rsid w:val="00665F81"/>
    <w:rsid w:val="00683F84"/>
    <w:rsid w:val="00685497"/>
    <w:rsid w:val="006A6A81"/>
    <w:rsid w:val="006E26AF"/>
    <w:rsid w:val="006F7393"/>
    <w:rsid w:val="0070224F"/>
    <w:rsid w:val="007032FD"/>
    <w:rsid w:val="007115F7"/>
    <w:rsid w:val="0071235D"/>
    <w:rsid w:val="00715A41"/>
    <w:rsid w:val="00737334"/>
    <w:rsid w:val="00785689"/>
    <w:rsid w:val="00792917"/>
    <w:rsid w:val="0079754B"/>
    <w:rsid w:val="007A1E6D"/>
    <w:rsid w:val="007F5954"/>
    <w:rsid w:val="00822CE0"/>
    <w:rsid w:val="00837C62"/>
    <w:rsid w:val="00841AB1"/>
    <w:rsid w:val="008C22FD"/>
    <w:rsid w:val="008F6CF8"/>
    <w:rsid w:val="00910F12"/>
    <w:rsid w:val="00926503"/>
    <w:rsid w:val="00930ECF"/>
    <w:rsid w:val="00946191"/>
    <w:rsid w:val="009838BC"/>
    <w:rsid w:val="009C26DE"/>
    <w:rsid w:val="009C502C"/>
    <w:rsid w:val="00A41953"/>
    <w:rsid w:val="00A45F4F"/>
    <w:rsid w:val="00A600A9"/>
    <w:rsid w:val="00A866AC"/>
    <w:rsid w:val="00AA55B7"/>
    <w:rsid w:val="00AA5B9E"/>
    <w:rsid w:val="00AA6F46"/>
    <w:rsid w:val="00AB2407"/>
    <w:rsid w:val="00AB53DF"/>
    <w:rsid w:val="00AC52E0"/>
    <w:rsid w:val="00B07E5C"/>
    <w:rsid w:val="00B20363"/>
    <w:rsid w:val="00B326E3"/>
    <w:rsid w:val="00B4402A"/>
    <w:rsid w:val="00B811F7"/>
    <w:rsid w:val="00B83336"/>
    <w:rsid w:val="00BA5DC6"/>
    <w:rsid w:val="00BA6196"/>
    <w:rsid w:val="00BB44C4"/>
    <w:rsid w:val="00BC6D8C"/>
    <w:rsid w:val="00C06C25"/>
    <w:rsid w:val="00C16AF2"/>
    <w:rsid w:val="00C34006"/>
    <w:rsid w:val="00C426B1"/>
    <w:rsid w:val="00C82B6B"/>
    <w:rsid w:val="00C90D6A"/>
    <w:rsid w:val="00C91996"/>
    <w:rsid w:val="00CC72B6"/>
    <w:rsid w:val="00CE4EEA"/>
    <w:rsid w:val="00CF580A"/>
    <w:rsid w:val="00D0218D"/>
    <w:rsid w:val="00D216CD"/>
    <w:rsid w:val="00D332AC"/>
    <w:rsid w:val="00D4271A"/>
    <w:rsid w:val="00DA2529"/>
    <w:rsid w:val="00DB130A"/>
    <w:rsid w:val="00DC10A1"/>
    <w:rsid w:val="00DC655F"/>
    <w:rsid w:val="00DD7EBD"/>
    <w:rsid w:val="00DF62B6"/>
    <w:rsid w:val="00E07225"/>
    <w:rsid w:val="00E155B7"/>
    <w:rsid w:val="00E31736"/>
    <w:rsid w:val="00E5409F"/>
    <w:rsid w:val="00EA3E81"/>
    <w:rsid w:val="00EB0093"/>
    <w:rsid w:val="00EC0185"/>
    <w:rsid w:val="00EF493C"/>
    <w:rsid w:val="00F021FA"/>
    <w:rsid w:val="00F57ACA"/>
    <w:rsid w:val="00F62E97"/>
    <w:rsid w:val="00F64209"/>
    <w:rsid w:val="00F92C2C"/>
    <w:rsid w:val="00F93BF5"/>
    <w:rsid w:val="00F96F63"/>
    <w:rsid w:val="00FC55D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2D2A1A6-301F-438A-A2A8-47858F50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46"/>
    <w:pPr>
      <w:widowControl w:val="0"/>
    </w:pPr>
    <w:rPr>
      <w:snapToGrid w:val="0"/>
      <w:kern w:val="28"/>
      <w:sz w:val="22"/>
    </w:rPr>
  </w:style>
  <w:style w:type="paragraph" w:styleId="Heading1">
    <w:name w:val="heading 1"/>
    <w:basedOn w:val="Normal"/>
    <w:next w:val="ParaNum"/>
    <w:qFormat/>
    <w:rsid w:val="00AA6F4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A6F46"/>
    <w:pPr>
      <w:keepNext/>
      <w:numPr>
        <w:ilvl w:val="1"/>
        <w:numId w:val="3"/>
      </w:numPr>
      <w:spacing w:after="120"/>
      <w:outlineLvl w:val="1"/>
    </w:pPr>
    <w:rPr>
      <w:b/>
    </w:rPr>
  </w:style>
  <w:style w:type="paragraph" w:styleId="Heading3">
    <w:name w:val="heading 3"/>
    <w:basedOn w:val="Normal"/>
    <w:next w:val="ParaNum"/>
    <w:qFormat/>
    <w:rsid w:val="00AA6F46"/>
    <w:pPr>
      <w:keepNext/>
      <w:numPr>
        <w:ilvl w:val="2"/>
        <w:numId w:val="3"/>
      </w:numPr>
      <w:tabs>
        <w:tab w:val="left" w:pos="2160"/>
      </w:tabs>
      <w:spacing w:after="120"/>
      <w:outlineLvl w:val="2"/>
    </w:pPr>
    <w:rPr>
      <w:b/>
    </w:rPr>
  </w:style>
  <w:style w:type="paragraph" w:styleId="Heading4">
    <w:name w:val="heading 4"/>
    <w:basedOn w:val="Normal"/>
    <w:next w:val="ParaNum"/>
    <w:qFormat/>
    <w:rsid w:val="00AA6F46"/>
    <w:pPr>
      <w:keepNext/>
      <w:numPr>
        <w:ilvl w:val="3"/>
        <w:numId w:val="3"/>
      </w:numPr>
      <w:tabs>
        <w:tab w:val="left" w:pos="2880"/>
      </w:tabs>
      <w:spacing w:after="120"/>
      <w:outlineLvl w:val="3"/>
    </w:pPr>
    <w:rPr>
      <w:b/>
    </w:rPr>
  </w:style>
  <w:style w:type="paragraph" w:styleId="Heading5">
    <w:name w:val="heading 5"/>
    <w:basedOn w:val="Normal"/>
    <w:next w:val="ParaNum"/>
    <w:qFormat/>
    <w:rsid w:val="00AA6F4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A6F46"/>
    <w:pPr>
      <w:numPr>
        <w:ilvl w:val="5"/>
        <w:numId w:val="3"/>
      </w:numPr>
      <w:tabs>
        <w:tab w:val="left" w:pos="4320"/>
      </w:tabs>
      <w:spacing w:after="120"/>
      <w:outlineLvl w:val="5"/>
    </w:pPr>
    <w:rPr>
      <w:b/>
    </w:rPr>
  </w:style>
  <w:style w:type="paragraph" w:styleId="Heading7">
    <w:name w:val="heading 7"/>
    <w:basedOn w:val="Normal"/>
    <w:next w:val="ParaNum"/>
    <w:qFormat/>
    <w:rsid w:val="00AA6F4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A6F4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A6F4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A6F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A6F46"/>
  </w:style>
  <w:style w:type="paragraph" w:customStyle="1" w:styleId="ParaNum">
    <w:name w:val="ParaNum"/>
    <w:basedOn w:val="Normal"/>
    <w:rsid w:val="00AA6F46"/>
    <w:pPr>
      <w:numPr>
        <w:numId w:val="2"/>
      </w:numPr>
      <w:tabs>
        <w:tab w:val="clear" w:pos="1080"/>
        <w:tab w:val="num" w:pos="1440"/>
      </w:tabs>
      <w:spacing w:after="120"/>
    </w:pPr>
  </w:style>
  <w:style w:type="paragraph" w:styleId="EndnoteText">
    <w:name w:val="endnote text"/>
    <w:basedOn w:val="Normal"/>
    <w:semiHidden/>
    <w:rsid w:val="00AA6F46"/>
    <w:rPr>
      <w:sz w:val="20"/>
    </w:rPr>
  </w:style>
  <w:style w:type="character" w:styleId="EndnoteReference">
    <w:name w:val="endnote reference"/>
    <w:semiHidden/>
    <w:rsid w:val="00AA6F46"/>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AA6F46"/>
    <w:pPr>
      <w:spacing w:after="120"/>
    </w:pPr>
  </w:style>
  <w:style w:type="character" w:styleId="FootnoteReference">
    <w:name w:val="footnote reference"/>
    <w:semiHidden/>
    <w:rsid w:val="00AA6F46"/>
    <w:rPr>
      <w:rFonts w:ascii="Times New Roman" w:hAnsi="Times New Roman"/>
      <w:dstrike w:val="0"/>
      <w:color w:val="auto"/>
      <w:sz w:val="22"/>
      <w:vertAlign w:val="superscript"/>
    </w:rPr>
  </w:style>
  <w:style w:type="paragraph" w:styleId="TOC1">
    <w:name w:val="toc 1"/>
    <w:basedOn w:val="Normal"/>
    <w:next w:val="Normal"/>
    <w:uiPriority w:val="39"/>
    <w:rsid w:val="00AA6F4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A6F46"/>
    <w:pPr>
      <w:tabs>
        <w:tab w:val="left" w:pos="720"/>
        <w:tab w:val="right" w:leader="dot" w:pos="9360"/>
      </w:tabs>
      <w:suppressAutoHyphens/>
      <w:ind w:left="720" w:right="720" w:hanging="360"/>
    </w:pPr>
    <w:rPr>
      <w:noProof/>
    </w:rPr>
  </w:style>
  <w:style w:type="paragraph" w:styleId="TOC3">
    <w:name w:val="toc 3"/>
    <w:basedOn w:val="Normal"/>
    <w:next w:val="Normal"/>
    <w:semiHidden/>
    <w:rsid w:val="00AA6F4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A6F4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A6F4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A6F4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A6F4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A6F4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A6F4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A6F46"/>
    <w:pPr>
      <w:tabs>
        <w:tab w:val="right" w:pos="9360"/>
      </w:tabs>
      <w:suppressAutoHyphens/>
    </w:pPr>
  </w:style>
  <w:style w:type="character" w:customStyle="1" w:styleId="EquationCaption">
    <w:name w:val="_Equation Caption"/>
    <w:rsid w:val="00AA6F46"/>
  </w:style>
  <w:style w:type="paragraph" w:styleId="Header">
    <w:name w:val="header"/>
    <w:basedOn w:val="Normal"/>
    <w:link w:val="HeaderChar"/>
    <w:autoRedefine/>
    <w:rsid w:val="00AA6F4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A6F46"/>
    <w:pPr>
      <w:tabs>
        <w:tab w:val="center" w:pos="4320"/>
        <w:tab w:val="right" w:pos="8640"/>
      </w:tabs>
    </w:pPr>
  </w:style>
  <w:style w:type="character" w:styleId="PageNumber">
    <w:name w:val="page number"/>
    <w:basedOn w:val="DefaultParagraphFont"/>
    <w:rsid w:val="00AA6F46"/>
  </w:style>
  <w:style w:type="paragraph" w:styleId="BlockText">
    <w:name w:val="Block Text"/>
    <w:basedOn w:val="Normal"/>
    <w:rsid w:val="00AA6F46"/>
    <w:pPr>
      <w:spacing w:after="240"/>
      <w:ind w:left="1440" w:right="1440"/>
    </w:pPr>
  </w:style>
  <w:style w:type="paragraph" w:customStyle="1" w:styleId="Paratitle">
    <w:name w:val="Para title"/>
    <w:basedOn w:val="Normal"/>
    <w:rsid w:val="00AA6F46"/>
    <w:pPr>
      <w:tabs>
        <w:tab w:val="center" w:pos="9270"/>
      </w:tabs>
      <w:spacing w:after="240"/>
    </w:pPr>
    <w:rPr>
      <w:spacing w:val="-2"/>
    </w:rPr>
  </w:style>
  <w:style w:type="paragraph" w:customStyle="1" w:styleId="Bullet">
    <w:name w:val="Bullet"/>
    <w:basedOn w:val="Normal"/>
    <w:rsid w:val="00AA6F46"/>
    <w:pPr>
      <w:numPr>
        <w:numId w:val="1"/>
      </w:numPr>
      <w:tabs>
        <w:tab w:val="clear" w:pos="360"/>
        <w:tab w:val="left" w:pos="2160"/>
      </w:tabs>
      <w:spacing w:after="220"/>
      <w:ind w:left="2160" w:hanging="720"/>
    </w:pPr>
  </w:style>
  <w:style w:type="paragraph" w:customStyle="1" w:styleId="TableFormat">
    <w:name w:val="TableFormat"/>
    <w:basedOn w:val="Bullet"/>
    <w:rsid w:val="00AA6F46"/>
    <w:pPr>
      <w:numPr>
        <w:numId w:val="0"/>
      </w:numPr>
      <w:tabs>
        <w:tab w:val="clear" w:pos="2160"/>
        <w:tab w:val="left" w:pos="5040"/>
      </w:tabs>
      <w:ind w:left="5040" w:hanging="3600"/>
    </w:pPr>
  </w:style>
  <w:style w:type="paragraph" w:customStyle="1" w:styleId="TOCTitle">
    <w:name w:val="TOC Title"/>
    <w:basedOn w:val="Normal"/>
    <w:rsid w:val="00AA6F4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A6F46"/>
    <w:pPr>
      <w:jc w:val="center"/>
    </w:pPr>
    <w:rPr>
      <w:rFonts w:ascii="Times New Roman Bold" w:hAnsi="Times New Roman Bold"/>
      <w:b/>
      <w:bCs/>
      <w:caps/>
      <w:szCs w:val="22"/>
    </w:rPr>
  </w:style>
  <w:style w:type="character" w:styleId="Hyperlink">
    <w:name w:val="Hyperlink"/>
    <w:rsid w:val="00AA6F46"/>
    <w:rPr>
      <w:color w:val="0000FF"/>
      <w:u w:val="single"/>
    </w:rPr>
  </w:style>
  <w:style w:type="character" w:customStyle="1" w:styleId="FooterChar">
    <w:name w:val="Footer Char"/>
    <w:link w:val="Footer"/>
    <w:uiPriority w:val="99"/>
    <w:rsid w:val="00AA6F46"/>
    <w:rPr>
      <w:snapToGrid w:val="0"/>
      <w:kern w:val="28"/>
      <w:sz w:val="22"/>
    </w:rPr>
  </w:style>
  <w:style w:type="character" w:customStyle="1" w:styleId="FootnoteTextChar">
    <w:name w:val="Footnote Text Char"/>
    <w:aliases w:val="Footnote Text Char Char Char1 Char Char Char Char,Footnote Text Char1 Char1 Char Char Char Char,Footnote Text Char2 Char Char,Footnote Text Char2 Char Char Char Char,Footnote Text Char3 Char Char Char"/>
    <w:link w:val="FootnoteText"/>
    <w:semiHidden/>
    <w:rsid w:val="00CF580A"/>
  </w:style>
  <w:style w:type="paragraph" w:styleId="ListParagraph">
    <w:name w:val="List Paragraph"/>
    <w:basedOn w:val="Normal"/>
    <w:uiPriority w:val="34"/>
    <w:qFormat/>
    <w:rsid w:val="00CF580A"/>
    <w:pPr>
      <w:widowControl/>
      <w:ind w:left="720"/>
      <w:contextualSpacing/>
    </w:pPr>
    <w:rPr>
      <w:snapToGrid/>
      <w:kern w:val="0"/>
    </w:rPr>
  </w:style>
  <w:style w:type="character" w:customStyle="1" w:styleId="HeaderChar">
    <w:name w:val="Header Char"/>
    <w:basedOn w:val="DefaultParagraphFont"/>
    <w:link w:val="Header"/>
    <w:rsid w:val="003E15E1"/>
    <w:rPr>
      <w:rFonts w:ascii="Arial" w:hAnsi="Arial" w:cs="Arial"/>
      <w:b/>
      <w:snapToGrid w:val="0"/>
      <w:kern w:val="28"/>
      <w:sz w:val="96"/>
      <w:szCs w:val="96"/>
    </w:rPr>
  </w:style>
  <w:style w:type="paragraph" w:styleId="BalloonText">
    <w:name w:val="Balloon Text"/>
    <w:basedOn w:val="Normal"/>
    <w:link w:val="BalloonTextChar"/>
    <w:uiPriority w:val="99"/>
    <w:semiHidden/>
    <w:unhideWhenUsed/>
    <w:rsid w:val="00A41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953"/>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462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259&amp;sort=date_disseminated,DESC"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