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Pr>
                <w:spacing w:val="-2"/>
              </w:rPr>
              <w:t xml:space="preserve">Connect </w:t>
            </w:r>
            <w:r w:rsidR="007C246C">
              <w:rPr>
                <w:spacing w:val="-2"/>
              </w:rPr>
              <w:t>America Fund</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7C246C">
            <w:pPr>
              <w:tabs>
                <w:tab w:val="center" w:pos="4680"/>
              </w:tabs>
              <w:suppressAutoHyphens/>
              <w:rPr>
                <w:b/>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WC Docket No. 10-90</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7C246C">
        <w:rPr>
          <w:b/>
          <w:spacing w:val="-2"/>
        </w:rPr>
        <w:t>September 16,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C246C">
        <w:rPr>
          <w:b/>
          <w:spacing w:val="-2"/>
        </w:rPr>
        <w:t>September 16, 2019</w:t>
      </w:r>
    </w:p>
    <w:p w:rsidR="00822CE0"/>
    <w:p w:rsidR="004C2EE3" w:rsidP="001B4F30">
      <w:pPr>
        <w:spacing w:after="120"/>
        <w:rPr>
          <w:spacing w:val="-2"/>
        </w:rPr>
      </w:pPr>
      <w:r>
        <w:t xml:space="preserve">By </w:t>
      </w:r>
      <w:r w:rsidR="004E4A22">
        <w:t>the</w:t>
      </w:r>
      <w:r w:rsidR="007C246C">
        <w:rPr>
          <w:spacing w:val="-2"/>
        </w:rPr>
        <w:t xml:space="preserve"> </w:t>
      </w:r>
      <w:r w:rsidR="007C246C">
        <w:t xml:space="preserve">Associate </w:t>
      </w:r>
      <w:r w:rsidR="007C246C">
        <w:rPr>
          <w:spacing w:val="-2"/>
        </w:rPr>
        <w:t>Chief, Wireline Competition Bureau</w:t>
      </w:r>
      <w:r>
        <w:rPr>
          <w:spacing w:val="-2"/>
        </w:rPr>
        <w:t>:</w:t>
      </w:r>
    </w:p>
    <w:p w:rsidR="007C246C" w:rsidP="001B4F30">
      <w:pPr>
        <w:pStyle w:val="ParaNum"/>
        <w:widowControl/>
        <w:numPr>
          <w:ilvl w:val="0"/>
          <w:numId w:val="7"/>
        </w:numPr>
        <w:tabs>
          <w:tab w:val="left" w:pos="1440"/>
        </w:tabs>
      </w:pPr>
      <w:r>
        <w:t>In this Order, the Wireline Competition Bureau (Bureau), on its own motion, grants a brief, limited waiver of the filing deadline for the Florida Public Service Commission (</w:t>
      </w:r>
      <w:r>
        <w:t>FPSC</w:t>
      </w:r>
      <w:r>
        <w:t>) to certify eligible telecommunications carriers (ETCs) pursuant to section 54.314(d)(1) of the Commission’s rules.</w:t>
      </w:r>
      <w:r>
        <w:rPr>
          <w:rStyle w:val="FootnoteReference"/>
        </w:rPr>
        <w:footnoteReference w:id="3"/>
      </w:r>
      <w:r>
        <w:t xml:space="preserve">  Under the limited waiver granted herein, the </w:t>
      </w:r>
      <w:r>
        <w:t>FPSC</w:t>
      </w:r>
      <w:r>
        <w:t xml:space="preserve"> must file the section 54.314 certification through USAC’s database by </w:t>
      </w:r>
      <w:r w:rsidRPr="003F4548">
        <w:t>October 11, 2019</w:t>
      </w:r>
      <w:r>
        <w:t xml:space="preserve">. </w:t>
      </w:r>
    </w:p>
    <w:p w:rsidR="007C246C" w:rsidRPr="002B4C5B" w:rsidP="001B4F30">
      <w:pPr>
        <w:widowControl/>
        <w:numPr>
          <w:ilvl w:val="0"/>
          <w:numId w:val="7"/>
        </w:numPr>
        <w:tabs>
          <w:tab w:val="left" w:pos="1440"/>
        </w:tabs>
        <w:spacing w:after="120"/>
        <w:rPr>
          <w:b/>
          <w:bCs/>
        </w:rPr>
      </w:pPr>
      <w:r>
        <w:t>Pursuant to</w:t>
      </w:r>
      <w:r w:rsidRPr="002B4C5B">
        <w:rPr>
          <w:szCs w:val="22"/>
          <w:lang w:eastAsia="ja-JP"/>
        </w:rPr>
        <w:t xml:space="preserve"> section 54.314</w:t>
      </w:r>
      <w:r>
        <w:rPr>
          <w:szCs w:val="22"/>
          <w:lang w:eastAsia="ja-JP"/>
        </w:rPr>
        <w:t>(a)</w:t>
      </w:r>
      <w:r w:rsidRPr="002B4C5B">
        <w:rPr>
          <w:szCs w:val="22"/>
          <w:lang w:eastAsia="ja-JP"/>
        </w:rPr>
        <w:t xml:space="preserve"> of the Commission’s rules, a state must certify annually that </w:t>
      </w:r>
      <w:r>
        <w:rPr>
          <w:szCs w:val="22"/>
          <w:lang w:eastAsia="ja-JP"/>
        </w:rPr>
        <w:t xml:space="preserve">federal high-cost </w:t>
      </w:r>
      <w:r w:rsidRPr="002B4C5B">
        <w:rPr>
          <w:szCs w:val="22"/>
          <w:lang w:eastAsia="ja-JP"/>
        </w:rPr>
        <w:t xml:space="preserve">support </w:t>
      </w:r>
      <w:r>
        <w:rPr>
          <w:szCs w:val="22"/>
          <w:lang w:eastAsia="ja-JP"/>
        </w:rPr>
        <w:t>awarded</w:t>
      </w:r>
      <w:r w:rsidRPr="002B4C5B">
        <w:rPr>
          <w:szCs w:val="22"/>
          <w:lang w:eastAsia="ja-JP"/>
        </w:rPr>
        <w:t xml:space="preserve"> to ETCs within that state has been used and will be used </w:t>
      </w:r>
      <w:r>
        <w:rPr>
          <w:szCs w:val="22"/>
          <w:lang w:eastAsia="ja-JP"/>
        </w:rPr>
        <w:t>“</w:t>
      </w:r>
      <w:r w:rsidRPr="002B4C5B">
        <w:rPr>
          <w:szCs w:val="22"/>
          <w:lang w:eastAsia="ja-JP"/>
        </w:rPr>
        <w:t xml:space="preserve">only for the </w:t>
      </w:r>
      <w:r>
        <w:rPr>
          <w:szCs w:val="22"/>
          <w:lang w:eastAsia="ja-JP"/>
        </w:rPr>
        <w:t>provision, maintenance, and upgrading of facilities and services for which the support is intended.”</w:t>
      </w:r>
      <w:r w:rsidRPr="00295940">
        <w:rPr>
          <w:rStyle w:val="FootnoteReference"/>
          <w:szCs w:val="22"/>
          <w:lang w:eastAsia="ja-JP"/>
        </w:rPr>
        <w:t xml:space="preserve"> </w:t>
      </w:r>
      <w:r>
        <w:rPr>
          <w:rStyle w:val="FootnoteReference"/>
          <w:szCs w:val="22"/>
          <w:lang w:eastAsia="ja-JP"/>
        </w:rPr>
        <w:footnoteReference w:id="4"/>
      </w:r>
      <w:r>
        <w:rPr>
          <w:szCs w:val="22"/>
          <w:lang w:eastAsia="ja-JP"/>
        </w:rPr>
        <w:t xml:space="preserve">  In order for a carrier to be eligible for high-cost universal service support for all of calendar year 2020, section </w:t>
      </w:r>
      <w:r w:rsidRPr="00324B72">
        <w:rPr>
          <w:szCs w:val="22"/>
          <w:lang w:eastAsia="ja-JP"/>
        </w:rPr>
        <w:t>54.31</w:t>
      </w:r>
      <w:r w:rsidRPr="00324B72" w:rsidR="00324B72">
        <w:rPr>
          <w:szCs w:val="22"/>
          <w:lang w:eastAsia="ja-JP"/>
        </w:rPr>
        <w:t>4</w:t>
      </w:r>
      <w:r>
        <w:rPr>
          <w:szCs w:val="22"/>
          <w:lang w:eastAsia="ja-JP"/>
        </w:rPr>
        <w:t xml:space="preserve"> certification must be submitted to the Commission by October 1, 2019</w:t>
      </w:r>
      <w:r w:rsidRPr="002B4C5B">
        <w:rPr>
          <w:szCs w:val="22"/>
          <w:lang w:eastAsia="ja-JP"/>
        </w:rPr>
        <w:t>.</w:t>
      </w:r>
      <w:r>
        <w:rPr>
          <w:rStyle w:val="FootnoteReference"/>
          <w:szCs w:val="22"/>
          <w:lang w:eastAsia="ja-JP"/>
        </w:rPr>
        <w:footnoteReference w:id="5"/>
      </w:r>
      <w:r w:rsidRPr="002B4C5B">
        <w:rPr>
          <w:szCs w:val="22"/>
          <w:lang w:eastAsia="ja-JP"/>
        </w:rPr>
        <w:t xml:space="preserve"> </w:t>
      </w:r>
    </w:p>
    <w:p w:rsidR="007C246C" w:rsidRPr="00E736A6" w:rsidP="001B4F30">
      <w:pPr>
        <w:pStyle w:val="ParaNum"/>
        <w:widowControl/>
        <w:numPr>
          <w:ilvl w:val="0"/>
          <w:numId w:val="7"/>
        </w:numPr>
        <w:tabs>
          <w:tab w:val="left" w:pos="1440"/>
        </w:tabs>
      </w:pPr>
      <w:r>
        <w:rPr>
          <w:szCs w:val="22"/>
          <w:lang w:eastAsia="ja-JP"/>
        </w:rPr>
        <w:t>On August 24, 2019, Hurricane Dorian formed in the Atlantic Ocean and gathered strength on its path towards the south-eastern coast of the United States.  On August 30, 2019, the Federal Emergency Management Agency (FEMA) designated all Florida counties to be eligible for individual assistance through the agency’s programs and the President of the United States declared a state of emergency for the entire State of Florida.</w:t>
      </w:r>
      <w:r>
        <w:rPr>
          <w:rStyle w:val="FootnoteReference"/>
          <w:szCs w:val="22"/>
          <w:lang w:eastAsia="ja-JP"/>
        </w:rPr>
        <w:footnoteReference w:id="6"/>
      </w:r>
      <w:r>
        <w:rPr>
          <w:szCs w:val="22"/>
          <w:lang w:eastAsia="ja-JP"/>
        </w:rPr>
        <w:t xml:space="preserve">  The </w:t>
      </w:r>
      <w:r>
        <w:rPr>
          <w:szCs w:val="22"/>
          <w:lang w:eastAsia="ja-JP"/>
        </w:rPr>
        <w:t>FPSC</w:t>
      </w:r>
      <w:r>
        <w:rPr>
          <w:szCs w:val="22"/>
          <w:lang w:eastAsia="ja-JP"/>
        </w:rPr>
        <w:t xml:space="preserve"> was set to meet on September 5, 2019, to vote on whether to certify to the Commission that federal high-cost </w:t>
      </w:r>
      <w:r w:rsidRPr="002B4C5B">
        <w:rPr>
          <w:szCs w:val="22"/>
          <w:lang w:eastAsia="ja-JP"/>
        </w:rPr>
        <w:t xml:space="preserve">support </w:t>
      </w:r>
      <w:r>
        <w:rPr>
          <w:szCs w:val="22"/>
          <w:lang w:eastAsia="ja-JP"/>
        </w:rPr>
        <w:t>awarded</w:t>
      </w:r>
      <w:r w:rsidRPr="002B4C5B">
        <w:rPr>
          <w:szCs w:val="22"/>
          <w:lang w:eastAsia="ja-JP"/>
        </w:rPr>
        <w:t xml:space="preserve"> to </w:t>
      </w:r>
      <w:r>
        <w:rPr>
          <w:szCs w:val="22"/>
          <w:lang w:eastAsia="ja-JP"/>
        </w:rPr>
        <w:t xml:space="preserve">11 </w:t>
      </w:r>
      <w:r w:rsidRPr="002B4C5B">
        <w:rPr>
          <w:szCs w:val="22"/>
          <w:lang w:eastAsia="ja-JP"/>
        </w:rPr>
        <w:t xml:space="preserve">ETCs within </w:t>
      </w:r>
      <w:r>
        <w:rPr>
          <w:szCs w:val="22"/>
          <w:lang w:eastAsia="ja-JP"/>
        </w:rPr>
        <w:t>Florida</w:t>
      </w:r>
      <w:r w:rsidRPr="002B4C5B">
        <w:rPr>
          <w:szCs w:val="22"/>
          <w:lang w:eastAsia="ja-JP"/>
        </w:rPr>
        <w:t xml:space="preserve"> ha</w:t>
      </w:r>
      <w:r>
        <w:rPr>
          <w:szCs w:val="22"/>
          <w:lang w:eastAsia="ja-JP"/>
        </w:rPr>
        <w:t>d</w:t>
      </w:r>
      <w:r w:rsidRPr="002B4C5B">
        <w:rPr>
          <w:szCs w:val="22"/>
          <w:lang w:eastAsia="ja-JP"/>
        </w:rPr>
        <w:t xml:space="preserve"> been </w:t>
      </w:r>
      <w:r>
        <w:rPr>
          <w:szCs w:val="22"/>
          <w:lang w:eastAsia="ja-JP"/>
        </w:rPr>
        <w:t xml:space="preserve">properly </w:t>
      </w:r>
      <w:r w:rsidRPr="002B4C5B">
        <w:rPr>
          <w:szCs w:val="22"/>
          <w:lang w:eastAsia="ja-JP"/>
        </w:rPr>
        <w:t xml:space="preserve">used </w:t>
      </w:r>
      <w:r>
        <w:rPr>
          <w:szCs w:val="22"/>
          <w:lang w:eastAsia="ja-JP"/>
        </w:rPr>
        <w:t>in anticipation of the October 1, 2019 certification deadline.</w:t>
      </w:r>
      <w:r>
        <w:rPr>
          <w:rStyle w:val="FootnoteReference"/>
          <w:szCs w:val="22"/>
          <w:lang w:eastAsia="ja-JP"/>
        </w:rPr>
        <w:footnoteReference w:id="7"/>
      </w:r>
      <w:r>
        <w:rPr>
          <w:szCs w:val="22"/>
          <w:lang w:eastAsia="ja-JP"/>
        </w:rPr>
        <w:t xml:space="preserve">  The </w:t>
      </w:r>
      <w:r>
        <w:rPr>
          <w:szCs w:val="22"/>
          <w:lang w:eastAsia="ja-JP"/>
        </w:rPr>
        <w:t>FPSC</w:t>
      </w:r>
      <w:r>
        <w:rPr>
          <w:szCs w:val="22"/>
          <w:lang w:eastAsia="ja-JP"/>
        </w:rPr>
        <w:t xml:space="preserve"> postponed this meeting until October 3, 2019 given Hurricane Dorian’s potential landfall.</w:t>
      </w:r>
      <w:r>
        <w:rPr>
          <w:rStyle w:val="FootnoteReference"/>
          <w:szCs w:val="22"/>
          <w:lang w:eastAsia="ja-JP"/>
        </w:rPr>
        <w:footnoteReference w:id="8"/>
      </w:r>
      <w:r>
        <w:rPr>
          <w:szCs w:val="22"/>
          <w:lang w:eastAsia="ja-JP"/>
        </w:rPr>
        <w:t xml:space="preserve"> </w:t>
      </w:r>
    </w:p>
    <w:p w:rsidR="007C246C" w:rsidRPr="00512107" w:rsidP="001B4F30">
      <w:pPr>
        <w:pStyle w:val="ParaNum"/>
        <w:widowControl/>
        <w:numPr>
          <w:ilvl w:val="0"/>
          <w:numId w:val="7"/>
        </w:numPr>
        <w:tabs>
          <w:tab w:val="left" w:pos="1440"/>
        </w:tabs>
        <w:rPr>
          <w:szCs w:val="22"/>
        </w:rPr>
      </w:pPr>
      <w:r w:rsidRPr="00512107">
        <w:rPr>
          <w:szCs w:val="22"/>
          <w:lang w:eastAsia="ja-JP"/>
        </w:rPr>
        <w:t>T</w:t>
      </w:r>
      <w:r>
        <w:t>he Bureau, on its own motion, grants a limited waiver of the October 1, 2019 section 54.314(d)(1) certification deadline.  Generally, the Commission’s rules may be waived for good cause shown.</w:t>
      </w:r>
      <w:r>
        <w:rPr>
          <w:rStyle w:val="FootnoteReference"/>
        </w:rPr>
        <w:footnoteReference w:id="9"/>
      </w:r>
      <w:r>
        <w:t xml:space="preserve"> </w:t>
      </w:r>
      <w:bookmarkStart w:id="0" w:name="_Ref332636794"/>
      <w:r>
        <w:t xml:space="preserve"> Waiver of section 54.314(d)(1) is justified by the special circumstance that the </w:t>
      </w:r>
      <w:r>
        <w:t>FPSC</w:t>
      </w:r>
      <w:r>
        <w:t xml:space="preserve"> was unable to vote prior to the October 1 deadline on whether to certify that 11 ETCs had properly utilized high-cost support.  A limited waiver will serve the public interest by allowing the </w:t>
      </w:r>
      <w:r>
        <w:t>FPSC</w:t>
      </w:r>
      <w:r>
        <w:t xml:space="preserve"> to certify these ETCs at the October 3 meeting and then submit the required information to USAC. </w:t>
      </w:r>
      <w:bookmarkEnd w:id="0"/>
    </w:p>
    <w:p w:rsidR="007C246C" w:rsidRPr="00512107" w:rsidP="001B4F30">
      <w:pPr>
        <w:pStyle w:val="ParaNum"/>
        <w:widowControl/>
        <w:numPr>
          <w:ilvl w:val="0"/>
          <w:numId w:val="7"/>
        </w:numPr>
        <w:tabs>
          <w:tab w:val="left" w:pos="1440"/>
        </w:tabs>
        <w:rPr>
          <w:szCs w:val="22"/>
        </w:rPr>
      </w:pPr>
      <w:r>
        <w:t>Accordingly, IT IS ORDERED that, pursuant to sections 0.91, 0.291, and 1.3 of the Commission’s rules, 47 CFR §§ 0.91, 0.291, 1.3, section 54.314(d)(1) of the Commission’s rules, 47 CFR § 54.314(d)(1), IS WAIVED to the extent described above.</w:t>
      </w:r>
    </w:p>
    <w:p w:rsidR="00700D0E" w:rsidRPr="00700D0E" w:rsidP="00700D0E">
      <w:pPr>
        <w:pStyle w:val="ParaNum"/>
        <w:widowControl/>
        <w:numPr>
          <w:ilvl w:val="0"/>
          <w:numId w:val="7"/>
        </w:numPr>
        <w:tabs>
          <w:tab w:val="left" w:pos="1440"/>
        </w:tabs>
      </w:pPr>
      <w:r>
        <w:rPr>
          <w:szCs w:val="22"/>
        </w:rPr>
        <w:t>IT IS FURTHER ORDERED that, pursuant to section 1.102(b)(1) of the Commission’s rules, 47 CFR § 1.102(b)(1), this Order SHALL BE EFFECTIVE upon release.</w:t>
      </w:r>
      <w:bookmarkStart w:id="1" w:name="_GoBack"/>
      <w:bookmarkEnd w:id="1"/>
    </w:p>
    <w:p w:rsidR="007C246C" w:rsidP="00700D0E">
      <w:pPr>
        <w:pStyle w:val="ParaNum"/>
        <w:widowControl/>
        <w:numPr>
          <w:ilvl w:val="0"/>
          <w:numId w:val="0"/>
        </w:numPr>
        <w:tabs>
          <w:tab w:val="left" w:pos="1440"/>
        </w:tabs>
        <w:ind w:left="720"/>
      </w:pPr>
      <w:r>
        <w:rPr>
          <w:szCs w:val="22"/>
        </w:rPr>
        <w:tab/>
      </w:r>
      <w:r>
        <w:rPr>
          <w:szCs w:val="22"/>
        </w:rPr>
        <w:tab/>
      </w:r>
      <w:r>
        <w:rPr>
          <w:szCs w:val="22"/>
        </w:rPr>
        <w:tab/>
      </w:r>
      <w:r>
        <w:rPr>
          <w:szCs w:val="22"/>
        </w:rPr>
        <w:tab/>
      </w:r>
      <w:r>
        <w:rPr>
          <w:szCs w:val="22"/>
        </w:rPr>
        <w:tab/>
      </w:r>
      <w:r>
        <w:t>FEDERAL COMMUNICATIONS COMMISSION</w:t>
      </w:r>
    </w:p>
    <w:p w:rsidR="007C246C" w:rsidP="0017296B"/>
    <w:p w:rsidR="007C246C" w:rsidP="0017296B"/>
    <w:p w:rsidR="007C246C" w:rsidP="0017296B"/>
    <w:p w:rsidR="007C246C" w:rsidP="0017296B"/>
    <w:p w:rsidR="007C246C" w:rsidP="007C246C">
      <w:pPr>
        <w:pStyle w:val="ParaNum"/>
        <w:widowControl/>
        <w:numPr>
          <w:ilvl w:val="0"/>
          <w:numId w:val="0"/>
        </w:numPr>
        <w:spacing w:after="0"/>
      </w:pPr>
      <w:r>
        <w:tab/>
      </w:r>
      <w:r>
        <w:tab/>
      </w:r>
      <w:r>
        <w:tab/>
      </w:r>
      <w:r>
        <w:tab/>
      </w:r>
      <w:r>
        <w:tab/>
      </w:r>
      <w:r>
        <w:tab/>
        <w:t>Sue McNeil</w:t>
      </w:r>
    </w:p>
    <w:p w:rsidR="007C246C" w:rsidP="007C246C">
      <w:pPr>
        <w:pStyle w:val="ParaNum"/>
        <w:widowControl/>
        <w:numPr>
          <w:ilvl w:val="0"/>
          <w:numId w:val="0"/>
        </w:numPr>
        <w:spacing w:after="0"/>
      </w:pPr>
      <w:r>
        <w:tab/>
      </w:r>
      <w:r>
        <w:tab/>
      </w:r>
      <w:r>
        <w:tab/>
      </w:r>
      <w:r>
        <w:tab/>
      </w:r>
      <w:r>
        <w:tab/>
      </w:r>
      <w:r>
        <w:tab/>
        <w:t>Associate Chief</w:t>
      </w:r>
    </w:p>
    <w:p w:rsidR="007C246C" w:rsidP="007C246C">
      <w:r>
        <w:tab/>
      </w:r>
      <w:r>
        <w:tab/>
      </w:r>
      <w:r>
        <w:tab/>
      </w:r>
      <w:r>
        <w:tab/>
      </w:r>
      <w:r>
        <w:tab/>
      </w:r>
      <w:r>
        <w:tab/>
        <w:t>Wireline Competition Bureau</w:t>
      </w:r>
    </w:p>
    <w:p w:rsidR="007C246C" w:rsidP="007C246C"/>
    <w:p w:rsidR="007C246C" w:rsidP="007C246C">
      <w:pPr>
        <w:pStyle w:val="ParaNum"/>
        <w:widowControl/>
        <w:numPr>
          <w:ilvl w:val="0"/>
          <w:numId w:val="0"/>
        </w:numPr>
        <w:spacing w:after="0"/>
      </w:pPr>
    </w:p>
    <w:p w:rsidR="007C246C" w:rsidP="007C246C">
      <w:pPr>
        <w:pStyle w:val="ParaNum"/>
        <w:widowControl/>
        <w:numPr>
          <w:ilvl w:val="0"/>
          <w:numId w:val="0"/>
        </w:numPr>
        <w:spacing w:after="0"/>
      </w:pPr>
    </w:p>
    <w:p w:rsidR="007C246C" w:rsidP="007C246C">
      <w:pPr>
        <w:pStyle w:val="ParaNum"/>
        <w:widowControl/>
        <w:numPr>
          <w:ilvl w:val="0"/>
          <w:numId w:val="0"/>
        </w:numPr>
        <w:spacing w:after="0"/>
      </w:pPr>
    </w:p>
    <w:p w:rsidR="007C246C" w:rsidP="007C246C">
      <w:pPr>
        <w:pStyle w:val="ParaNum"/>
        <w:widowControl/>
        <w:numPr>
          <w:ilvl w:val="0"/>
          <w:numId w:val="0"/>
        </w:numPr>
        <w:spacing w:after="0"/>
      </w:pPr>
    </w:p>
    <w:p w:rsidR="007C246C" w:rsidP="007C246C">
      <w:pPr>
        <w:pStyle w:val="ParaNum"/>
        <w:widowControl/>
        <w:numPr>
          <w:ilvl w:val="0"/>
          <w:numId w:val="0"/>
        </w:numPr>
        <w:spacing w:after="0"/>
      </w:pPr>
      <w:r>
        <w:tab/>
      </w:r>
      <w:r>
        <w:tab/>
      </w:r>
      <w:r>
        <w:tab/>
      </w:r>
      <w:r>
        <w:tab/>
      </w:r>
    </w:p>
    <w:p w:rsidR="00412FC5" w:rsidP="007C246C">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4F4D">
      <w:r>
        <w:separator/>
      </w:r>
    </w:p>
  </w:footnote>
  <w:footnote w:type="continuationSeparator" w:id="1">
    <w:p w:rsidR="009B4F4D" w:rsidP="00C721AC">
      <w:pPr>
        <w:spacing w:before="120"/>
        <w:rPr>
          <w:sz w:val="20"/>
        </w:rPr>
      </w:pPr>
      <w:r>
        <w:rPr>
          <w:sz w:val="20"/>
        </w:rPr>
        <w:t xml:space="preserve">(Continued from previous page)  </w:t>
      </w:r>
      <w:r>
        <w:rPr>
          <w:sz w:val="20"/>
        </w:rPr>
        <w:separator/>
      </w:r>
    </w:p>
  </w:footnote>
  <w:footnote w:type="continuationNotice" w:id="2">
    <w:p w:rsidR="009B4F4D" w:rsidP="00C721AC">
      <w:pPr>
        <w:jc w:val="right"/>
        <w:rPr>
          <w:sz w:val="20"/>
        </w:rPr>
      </w:pPr>
      <w:r>
        <w:rPr>
          <w:sz w:val="20"/>
        </w:rPr>
        <w:t>(continued….)</w:t>
      </w:r>
    </w:p>
  </w:footnote>
  <w:footnote w:id="3">
    <w:p w:rsidR="007C246C" w:rsidP="007C246C">
      <w:pPr>
        <w:pStyle w:val="FootnoteText"/>
      </w:pPr>
      <w:r>
        <w:rPr>
          <w:rStyle w:val="FootnoteReference"/>
        </w:rPr>
        <w:footnoteRef/>
      </w:r>
      <w:r>
        <w:t xml:space="preserve"> 47 CFR § 54.314(d)(1).</w:t>
      </w:r>
    </w:p>
  </w:footnote>
  <w:footnote w:id="4">
    <w:p w:rsidR="007C246C" w:rsidRPr="002B4C5B" w:rsidP="007C246C">
      <w:pPr>
        <w:pStyle w:val="FootnoteText"/>
      </w:pPr>
      <w:r>
        <w:rPr>
          <w:rStyle w:val="FootnoteReference"/>
        </w:rPr>
        <w:footnoteRef/>
      </w:r>
      <w:r>
        <w:t xml:space="preserve"> 47 CFR § 54.314(a).  </w:t>
      </w:r>
      <w:r>
        <w:rPr>
          <w:szCs w:val="22"/>
          <w:lang w:eastAsia="ja-JP"/>
        </w:rPr>
        <w:t xml:space="preserve">ETCs not subject to the jurisdiction of the state must file the same certification.  </w:t>
      </w:r>
      <w:r>
        <w:t>47 CFR § 54.314(b).</w:t>
      </w:r>
      <w:r>
        <w:rPr>
          <w:szCs w:val="22"/>
          <w:lang w:eastAsia="ja-JP"/>
        </w:rPr>
        <w:t xml:space="preserve">  </w:t>
      </w:r>
      <w:r>
        <w:rPr>
          <w:i/>
          <w:szCs w:val="22"/>
          <w:lang w:eastAsia="ja-JP"/>
        </w:rPr>
        <w:t xml:space="preserve">See also </w:t>
      </w:r>
      <w:r>
        <w:rPr>
          <w:szCs w:val="22"/>
          <w:lang w:eastAsia="ja-JP"/>
        </w:rPr>
        <w:t xml:space="preserve">47 U.S.C. </w:t>
      </w:r>
      <w:r>
        <w:t>§ 254(e).</w:t>
      </w:r>
      <w:r>
        <w:rPr>
          <w:szCs w:val="22"/>
          <w:lang w:eastAsia="ja-JP"/>
        </w:rPr>
        <w:t xml:space="preserve"> </w:t>
      </w:r>
    </w:p>
  </w:footnote>
  <w:footnote w:id="5">
    <w:p w:rsidR="007C246C" w:rsidP="007C246C">
      <w:pPr>
        <w:pStyle w:val="FootnoteText"/>
      </w:pPr>
      <w:r>
        <w:rPr>
          <w:rStyle w:val="FootnoteReference"/>
        </w:rPr>
        <w:footnoteRef/>
      </w:r>
      <w:r>
        <w:t xml:space="preserve"> 47 C.F.R. § 54.314(d)(1). </w:t>
      </w:r>
    </w:p>
  </w:footnote>
  <w:footnote w:id="6">
    <w:p w:rsidR="007C246C" w:rsidRPr="00295940" w:rsidP="007C246C">
      <w:pPr>
        <w:pStyle w:val="FootnoteText"/>
      </w:pPr>
      <w:r>
        <w:rPr>
          <w:rStyle w:val="FootnoteReference"/>
        </w:rPr>
        <w:footnoteRef/>
      </w:r>
      <w:r>
        <w:t xml:space="preserve"> </w:t>
      </w:r>
      <w:r w:rsidRPr="00295940">
        <w:t xml:space="preserve">FEMA, </w:t>
      </w:r>
      <w:r w:rsidRPr="005B324A">
        <w:rPr>
          <w:i/>
        </w:rPr>
        <w:t>Florida Hurricane Dorian (DR-3419)</w:t>
      </w:r>
      <w:r w:rsidRPr="00295940">
        <w:t xml:space="preserve">, </w:t>
      </w:r>
      <w:hyperlink r:id="rId1" w:history="1">
        <w:r w:rsidRPr="00295940">
          <w:rPr>
            <w:rStyle w:val="Hyperlink"/>
          </w:rPr>
          <w:t>https://www.fema.gov/disaster/notices/initial-notice-176</w:t>
        </w:r>
      </w:hyperlink>
      <w:r w:rsidRPr="00295940">
        <w:t xml:space="preserve">  (last visited Sep</w:t>
      </w:r>
      <w:r w:rsidR="00927B46">
        <w:t>t</w:t>
      </w:r>
      <w:r w:rsidRPr="00295940">
        <w:t>. 1</w:t>
      </w:r>
      <w:r w:rsidR="00324B72">
        <w:t>6</w:t>
      </w:r>
      <w:r w:rsidRPr="00295940">
        <w:t xml:space="preserve">, 2019). </w:t>
      </w:r>
    </w:p>
  </w:footnote>
  <w:footnote w:id="7">
    <w:p w:rsidR="007C246C" w:rsidRPr="005B324A" w:rsidP="007C246C">
      <w:pPr>
        <w:pStyle w:val="FootnoteText"/>
      </w:pPr>
      <w:r>
        <w:rPr>
          <w:rStyle w:val="FootnoteReference"/>
        </w:rPr>
        <w:footnoteRef/>
      </w:r>
      <w:r>
        <w:t xml:space="preserve"> State of Florida Public Service Commission, </w:t>
      </w:r>
      <w:r>
        <w:rPr>
          <w:i/>
        </w:rPr>
        <w:t>Docket No. 20190119-TP-2020 State Certification under 47 C.F.R. §54.313 and §54.314, annual reporting requirements for high-cost recipients and certification of support for eligible telecommunications carriers</w:t>
      </w:r>
      <w:r>
        <w:t xml:space="preserve">, Public Service Commission, </w:t>
      </w:r>
      <w:hyperlink r:id="rId2" w:history="1">
        <w:r w:rsidRPr="009505FC">
          <w:rPr>
            <w:rStyle w:val="Hyperlink"/>
          </w:rPr>
          <w:t>http://www.psc.state.fl.us/library/filings/2019/08315-2019/08315-2019.pdf</w:t>
        </w:r>
      </w:hyperlink>
      <w:r>
        <w:t xml:space="preserve"> (last visited Sep</w:t>
      </w:r>
      <w:r w:rsidR="00927B46">
        <w:t>t</w:t>
      </w:r>
      <w:r>
        <w:t>. 1</w:t>
      </w:r>
      <w:r w:rsidR="00324B72">
        <w:t>6</w:t>
      </w:r>
      <w:r>
        <w:t xml:space="preserve">, 2019). </w:t>
      </w:r>
    </w:p>
  </w:footnote>
  <w:footnote w:id="8">
    <w:p w:rsidR="007C246C" w:rsidRPr="00B96A6E" w:rsidP="007C246C">
      <w:pPr>
        <w:pStyle w:val="FootnoteText"/>
      </w:pPr>
      <w:r>
        <w:rPr>
          <w:rStyle w:val="FootnoteReference"/>
        </w:rPr>
        <w:footnoteRef/>
      </w:r>
      <w:r>
        <w:t xml:space="preserve"> </w:t>
      </w:r>
      <w:r w:rsidRPr="008A1BB7" w:rsidR="008A1BB7">
        <w:t xml:space="preserve">State of Florida Public Service Commission, Internal Affairs Agenda, Public Service Commission, </w:t>
      </w:r>
      <w:hyperlink r:id="rId3" w:history="1">
        <w:r w:rsidR="008A1BB7">
          <w:rPr>
            <w:rStyle w:val="Hyperlink"/>
          </w:rPr>
          <w:t>http://www.psc.state.fl.us/Files/PDF/Agendas/InternalAffairs/Iapdfs/IA-09-05-19.pdf</w:t>
        </w:r>
      </w:hyperlink>
      <w:r w:rsidRPr="008A1BB7" w:rsidR="008A1BB7">
        <w:t xml:space="preserve"> (last visited S</w:t>
      </w:r>
      <w:r w:rsidR="00927B46">
        <w:t>e</w:t>
      </w:r>
      <w:r w:rsidRPr="008A1BB7" w:rsidR="008A1BB7">
        <w:t>p</w:t>
      </w:r>
      <w:r w:rsidR="00927B46">
        <w:t>t</w:t>
      </w:r>
      <w:r w:rsidRPr="008A1BB7" w:rsidR="008A1BB7">
        <w:t>. 16, 2019).</w:t>
      </w:r>
    </w:p>
  </w:footnote>
  <w:footnote w:id="9">
    <w:p w:rsidR="007C246C" w:rsidP="007C246C">
      <w:pPr>
        <w:pStyle w:val="FootnoteText"/>
      </w:pPr>
      <w:r>
        <w:rPr>
          <w:rStyle w:val="FootnoteReference"/>
        </w:rPr>
        <w:footnoteRef/>
      </w:r>
      <w:r>
        <w:t xml:space="preserve"> 47 CFR § 1.3.  The Commission may exercise its discretion to waive a rule where the particular facts make strict compliance inconsistent with the public interest.  </w:t>
      </w:r>
      <w:r>
        <w:rPr>
          <w:i/>
        </w:rPr>
        <w:t>Northeast Cellular Telephone Co. v. FCC</w:t>
      </w:r>
      <w:r>
        <w:t xml:space="preserve">, 897 </w:t>
      </w:r>
      <w:r>
        <w:t>F.2d</w:t>
      </w:r>
      <w:r>
        <w:t xml:space="preserve"> 1164, 1166 (D.C. Cir. 1990) (</w:t>
      </w:r>
      <w:r>
        <w:rPr>
          <w:i/>
        </w:rPr>
        <w:t>Northeast Cellular</w:t>
      </w:r>
      <w:r>
        <w:t xml:space="preserve">).  In addition, the Commission may </w:t>
      </w:r>
      <w:r>
        <w:t>take into account</w:t>
      </w:r>
      <w:r>
        <w:t xml:space="preserve"> considerations of hardship, equity, or more effective implementation of overall policy on an individual basis. </w:t>
      </w:r>
      <w:r>
        <w:rPr>
          <w:i/>
        </w:rPr>
        <w:t xml:space="preserve"> WAIT Radio v. FCC</w:t>
      </w:r>
      <w:r>
        <w:t xml:space="preserve">, 418 </w:t>
      </w:r>
      <w:r>
        <w:t>F.2d</w:t>
      </w:r>
      <w:r>
        <w:t xml:space="preserve"> 1153, 1159 (D.C. Cir. 1969); </w:t>
      </w:r>
      <w:r>
        <w:rPr>
          <w:i/>
        </w:rPr>
        <w:t>Northeast Cellular</w:t>
      </w:r>
      <w:r>
        <w:t xml:space="preserve">, 897 </w:t>
      </w:r>
      <w:r>
        <w:t>F.2d</w:t>
      </w:r>
      <w:r>
        <w:t xml:space="preserve"> at 1166.  Waiver of a filing deadline in the Commission’s rules is appropriate when (</w:t>
      </w:r>
      <w:r>
        <w:t>i</w:t>
      </w:r>
      <w:r>
        <w:t xml:space="preserve">) special circumstances warrant a deviation from the general rule, and (ii) such deviation will serve the public interest.  </w:t>
      </w:r>
      <w:r>
        <w:rPr>
          <w:i/>
        </w:rPr>
        <w:t>Northeast Cellular</w:t>
      </w:r>
      <w:r>
        <w:t xml:space="preserve">, 897 </w:t>
      </w:r>
      <w:r>
        <w:t>F.2d</w:t>
      </w:r>
      <w:r>
        <w:t xml:space="preserve"> at 1166.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D3013">
      <w:t>DA 19-917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D3013">
      <w:rPr>
        <w:spacing w:val="-2"/>
      </w:rPr>
      <w:t>DA 19-917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4D"/>
    <w:rsid w:val="00036039"/>
    <w:rsid w:val="00037F90"/>
    <w:rsid w:val="000875BF"/>
    <w:rsid w:val="00096D8C"/>
    <w:rsid w:val="000C0B65"/>
    <w:rsid w:val="000E05FE"/>
    <w:rsid w:val="000E3D42"/>
    <w:rsid w:val="00122BD5"/>
    <w:rsid w:val="00133F79"/>
    <w:rsid w:val="0017296B"/>
    <w:rsid w:val="00194A66"/>
    <w:rsid w:val="001B4F30"/>
    <w:rsid w:val="001D6BCF"/>
    <w:rsid w:val="001E01CA"/>
    <w:rsid w:val="00275CF5"/>
    <w:rsid w:val="0028301F"/>
    <w:rsid w:val="00285017"/>
    <w:rsid w:val="00295940"/>
    <w:rsid w:val="002A2D2E"/>
    <w:rsid w:val="002B4C5B"/>
    <w:rsid w:val="002C00E8"/>
    <w:rsid w:val="00324B72"/>
    <w:rsid w:val="00343749"/>
    <w:rsid w:val="003660ED"/>
    <w:rsid w:val="00377704"/>
    <w:rsid w:val="003B0550"/>
    <w:rsid w:val="003B694F"/>
    <w:rsid w:val="003F171C"/>
    <w:rsid w:val="003F4548"/>
    <w:rsid w:val="00412FC5"/>
    <w:rsid w:val="00422276"/>
    <w:rsid w:val="004242F1"/>
    <w:rsid w:val="00445A00"/>
    <w:rsid w:val="00451B0F"/>
    <w:rsid w:val="004C1CD2"/>
    <w:rsid w:val="004C2EE3"/>
    <w:rsid w:val="004E4A22"/>
    <w:rsid w:val="00511968"/>
    <w:rsid w:val="00512107"/>
    <w:rsid w:val="0055614C"/>
    <w:rsid w:val="00566D06"/>
    <w:rsid w:val="005B324A"/>
    <w:rsid w:val="005E14C2"/>
    <w:rsid w:val="00607BA5"/>
    <w:rsid w:val="0061180A"/>
    <w:rsid w:val="00626EB6"/>
    <w:rsid w:val="00655D03"/>
    <w:rsid w:val="00683388"/>
    <w:rsid w:val="00683F84"/>
    <w:rsid w:val="006A6A81"/>
    <w:rsid w:val="006F7393"/>
    <w:rsid w:val="00700D0E"/>
    <w:rsid w:val="0070224F"/>
    <w:rsid w:val="007115F7"/>
    <w:rsid w:val="00785689"/>
    <w:rsid w:val="0079754B"/>
    <w:rsid w:val="007A1E6D"/>
    <w:rsid w:val="007B0EB2"/>
    <w:rsid w:val="007C246C"/>
    <w:rsid w:val="00810B6F"/>
    <w:rsid w:val="00822CE0"/>
    <w:rsid w:val="00841AB1"/>
    <w:rsid w:val="008A1BB7"/>
    <w:rsid w:val="008C68F1"/>
    <w:rsid w:val="008D3013"/>
    <w:rsid w:val="00921803"/>
    <w:rsid w:val="00926503"/>
    <w:rsid w:val="00927B46"/>
    <w:rsid w:val="009505FC"/>
    <w:rsid w:val="009726D8"/>
    <w:rsid w:val="009B4F4D"/>
    <w:rsid w:val="009D7308"/>
    <w:rsid w:val="009F76DB"/>
    <w:rsid w:val="00A32C3B"/>
    <w:rsid w:val="00A45F4F"/>
    <w:rsid w:val="00A600A9"/>
    <w:rsid w:val="00AA55B7"/>
    <w:rsid w:val="00AA5B9E"/>
    <w:rsid w:val="00AB2407"/>
    <w:rsid w:val="00AB53DF"/>
    <w:rsid w:val="00B07E5C"/>
    <w:rsid w:val="00B811F7"/>
    <w:rsid w:val="00B96A6E"/>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36A6"/>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DFB885F-8A5B-4182-BD89-1F9AF238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rsid w:val="007C2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ma.gov/disaster/notices/initial-notice-176" TargetMode="External" /><Relationship Id="rId2" Type="http://schemas.openxmlformats.org/officeDocument/2006/relationships/hyperlink" Target="http://www.psc.state.fl.us/library/filings/2019/08315-2019/08315-2019.pdf" TargetMode="External" /><Relationship Id="rId3" Type="http://schemas.openxmlformats.org/officeDocument/2006/relationships/hyperlink" Target="http://www.psc.state.fl.us/Files/PDF/Agendas/InternalAffairs/Iapdfs/IA-09-05-1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