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296A38" w:rsidP="00C82B6B" w14:paraId="046FF75C" w14:textId="77777777">
      <w:pPr>
        <w:jc w:val="right"/>
        <w:rPr>
          <w:szCs w:val="22"/>
        </w:rPr>
      </w:pPr>
      <w:bookmarkStart w:id="0" w:name="_GoBack"/>
      <w:bookmarkEnd w:id="0"/>
    </w:p>
    <w:p w:rsidR="00013A8B" w:rsidRPr="00296A38" w:rsidP="00013A8B" w14:paraId="56713C18" w14:textId="4C100158">
      <w:pPr>
        <w:jc w:val="right"/>
        <w:rPr>
          <w:b/>
          <w:szCs w:val="22"/>
        </w:rPr>
      </w:pPr>
      <w:r w:rsidRPr="00296A38">
        <w:rPr>
          <w:b/>
          <w:szCs w:val="22"/>
        </w:rPr>
        <w:t>DA 19-</w:t>
      </w:r>
      <w:r w:rsidR="00FE0AA5">
        <w:rPr>
          <w:b/>
          <w:szCs w:val="22"/>
        </w:rPr>
        <w:t>922</w:t>
      </w:r>
    </w:p>
    <w:p w:rsidR="00013A8B" w:rsidRPr="00296A38" w:rsidP="00013A8B" w14:paraId="511B3CFC" w14:textId="29A41CE2">
      <w:pPr>
        <w:spacing w:before="60"/>
        <w:jc w:val="right"/>
        <w:rPr>
          <w:b/>
          <w:szCs w:val="22"/>
        </w:rPr>
      </w:pPr>
      <w:r w:rsidRPr="00296A38">
        <w:rPr>
          <w:b/>
          <w:szCs w:val="22"/>
        </w:rPr>
        <w:t xml:space="preserve">Released:  </w:t>
      </w:r>
      <w:r w:rsidRPr="00296A38" w:rsidR="00D45998">
        <w:rPr>
          <w:b/>
          <w:szCs w:val="22"/>
        </w:rPr>
        <w:t xml:space="preserve">September </w:t>
      </w:r>
      <w:r w:rsidR="003A438C">
        <w:rPr>
          <w:b/>
          <w:szCs w:val="22"/>
        </w:rPr>
        <w:t>18</w:t>
      </w:r>
      <w:r w:rsidRPr="00296A38" w:rsidR="00D45998">
        <w:rPr>
          <w:b/>
          <w:szCs w:val="22"/>
        </w:rPr>
        <w:t>, 2019</w:t>
      </w:r>
    </w:p>
    <w:p w:rsidR="00013A8B" w:rsidRPr="00296A38" w:rsidP="00013A8B" w14:paraId="1CFF6857" w14:textId="77777777">
      <w:pPr>
        <w:jc w:val="right"/>
        <w:rPr>
          <w:szCs w:val="22"/>
        </w:rPr>
      </w:pPr>
    </w:p>
    <w:p w:rsidR="00013A8B" w:rsidRPr="00296A38" w:rsidP="00013A8B" w14:paraId="0D528E73" w14:textId="31B8407F">
      <w:pPr>
        <w:spacing w:after="240"/>
        <w:jc w:val="center"/>
        <w:rPr>
          <w:b/>
          <w:caps/>
          <w:szCs w:val="22"/>
        </w:rPr>
      </w:pPr>
      <w:r w:rsidRPr="00296A38">
        <w:rPr>
          <w:b/>
          <w:caps/>
          <w:szCs w:val="22"/>
        </w:rPr>
        <w:t xml:space="preserve">WIRELESS TELECOMMUNICATIONS BUREAU SEEKS COMMENT ON PETITION REQUESTING DECLARATORY RULING </w:t>
      </w:r>
      <w:r w:rsidRPr="00296A38" w:rsidR="009E553E">
        <w:rPr>
          <w:b/>
          <w:caps/>
          <w:szCs w:val="22"/>
        </w:rPr>
        <w:t xml:space="preserve">that </w:t>
      </w:r>
      <w:r w:rsidRPr="00296A38" w:rsidR="00730AF8">
        <w:rPr>
          <w:b/>
          <w:caps/>
          <w:szCs w:val="22"/>
        </w:rPr>
        <w:t xml:space="preserve">zoning decision </w:t>
      </w:r>
      <w:r w:rsidRPr="00296A38" w:rsidR="009E553E">
        <w:rPr>
          <w:b/>
          <w:caps/>
          <w:szCs w:val="22"/>
        </w:rPr>
        <w:t>is</w:t>
      </w:r>
      <w:r w:rsidRPr="00296A38" w:rsidR="00507F99">
        <w:rPr>
          <w:b/>
          <w:caps/>
          <w:szCs w:val="22"/>
        </w:rPr>
        <w:t xml:space="preserve"> PREEMPTED BY the COMMISSION’S OVER-THE-AIR RECEPTION DEVICES RULE</w:t>
      </w:r>
    </w:p>
    <w:p w:rsidR="00013A8B" w:rsidRPr="00296A38" w:rsidP="00013A8B" w14:paraId="332F9823" w14:textId="06D3866D">
      <w:pPr>
        <w:jc w:val="center"/>
        <w:rPr>
          <w:b/>
          <w:szCs w:val="22"/>
        </w:rPr>
      </w:pPr>
      <w:r w:rsidRPr="00296A38">
        <w:rPr>
          <w:b/>
          <w:szCs w:val="22"/>
        </w:rPr>
        <w:t>WT Docket No. 19-</w:t>
      </w:r>
      <w:r w:rsidR="00917FA1">
        <w:rPr>
          <w:b/>
          <w:szCs w:val="22"/>
        </w:rPr>
        <w:t>270</w:t>
      </w:r>
    </w:p>
    <w:p w:rsidR="00D45998" w:rsidRPr="00296A38" w:rsidP="00013A8B" w14:paraId="43EC3FB2" w14:textId="77777777">
      <w:pPr>
        <w:jc w:val="center"/>
        <w:rPr>
          <w:b/>
          <w:szCs w:val="22"/>
        </w:rPr>
      </w:pPr>
    </w:p>
    <w:p w:rsidR="00D45998" w:rsidRPr="00296A38" w:rsidP="00D45998" w14:paraId="5954665B" w14:textId="4B8E9AE9">
      <w:pPr>
        <w:rPr>
          <w:b/>
          <w:szCs w:val="22"/>
        </w:rPr>
      </w:pPr>
      <w:r w:rsidRPr="00296A38">
        <w:rPr>
          <w:b/>
          <w:szCs w:val="22"/>
        </w:rPr>
        <w:t>Comments</w:t>
      </w:r>
      <w:r w:rsidRPr="00296A38">
        <w:rPr>
          <w:b/>
          <w:szCs w:val="22"/>
        </w:rPr>
        <w:t xml:space="preserve"> Due:</w:t>
      </w:r>
      <w:r w:rsidRPr="00296A38">
        <w:rPr>
          <w:b/>
          <w:szCs w:val="22"/>
        </w:rPr>
        <w:tab/>
        <w:t xml:space="preserve">October </w:t>
      </w:r>
      <w:r w:rsidR="003A438C">
        <w:rPr>
          <w:b/>
          <w:szCs w:val="22"/>
        </w:rPr>
        <w:t>18</w:t>
      </w:r>
      <w:r w:rsidRPr="00296A38">
        <w:rPr>
          <w:b/>
          <w:szCs w:val="22"/>
        </w:rPr>
        <w:t>, 2019</w:t>
      </w:r>
    </w:p>
    <w:p w:rsidR="00D45998" w:rsidRPr="00296A38" w:rsidP="00D45998" w14:paraId="15E790F8" w14:textId="28488F1F">
      <w:pPr>
        <w:rPr>
          <w:b/>
          <w:szCs w:val="22"/>
        </w:rPr>
      </w:pPr>
      <w:r w:rsidRPr="00296A38">
        <w:rPr>
          <w:b/>
          <w:szCs w:val="22"/>
        </w:rPr>
        <w:t>Replies Due:</w:t>
      </w:r>
      <w:r w:rsidRPr="00296A38">
        <w:rPr>
          <w:b/>
          <w:szCs w:val="22"/>
        </w:rPr>
        <w:tab/>
      </w:r>
      <w:r w:rsidRPr="00296A38">
        <w:rPr>
          <w:b/>
          <w:szCs w:val="22"/>
        </w:rPr>
        <w:tab/>
      </w:r>
      <w:r w:rsidR="003A438C">
        <w:rPr>
          <w:b/>
          <w:szCs w:val="22"/>
        </w:rPr>
        <w:t xml:space="preserve">November </w:t>
      </w:r>
      <w:r w:rsidR="00917FA1">
        <w:rPr>
          <w:b/>
          <w:szCs w:val="22"/>
        </w:rPr>
        <w:t>4</w:t>
      </w:r>
      <w:r w:rsidRPr="00296A38">
        <w:rPr>
          <w:b/>
          <w:szCs w:val="22"/>
        </w:rPr>
        <w:t>, 2019</w:t>
      </w:r>
    </w:p>
    <w:p w:rsidR="00F96F63" w:rsidRPr="00296A38" w:rsidP="00F96F63" w14:paraId="6FB140C0" w14:textId="77777777">
      <w:pPr>
        <w:rPr>
          <w:szCs w:val="22"/>
        </w:rPr>
      </w:pPr>
      <w:bookmarkStart w:id="1" w:name="TOChere"/>
    </w:p>
    <w:bookmarkEnd w:id="1"/>
    <w:p w:rsidR="00D45998" w:rsidRPr="00296A38" w:rsidP="00E92A57" w14:paraId="76EE02AA" w14:textId="1CA00DF9">
      <w:pPr>
        <w:ind w:firstLine="720"/>
        <w:rPr>
          <w:szCs w:val="22"/>
        </w:rPr>
      </w:pPr>
      <w:r w:rsidRPr="00296A38">
        <w:rPr>
          <w:szCs w:val="22"/>
        </w:rPr>
        <w:t xml:space="preserve">On August 15, 2019, </w:t>
      </w:r>
      <w:r w:rsidRPr="00296A38" w:rsidR="00AE1830">
        <w:rPr>
          <w:szCs w:val="22"/>
        </w:rPr>
        <w:t>Rodecker Slater, LLC and Wisp.net</w:t>
      </w:r>
      <w:r w:rsidRPr="00296A38" w:rsidR="00CB30BD">
        <w:rPr>
          <w:szCs w:val="22"/>
        </w:rPr>
        <w:t>, a w</w:t>
      </w:r>
      <w:r w:rsidRPr="00296A38" w:rsidR="00EC3A07">
        <w:rPr>
          <w:szCs w:val="22"/>
        </w:rPr>
        <w:t xml:space="preserve">ireless internet service </w:t>
      </w:r>
      <w:r w:rsidRPr="00296A38" w:rsidR="00CB30BD">
        <w:rPr>
          <w:szCs w:val="22"/>
        </w:rPr>
        <w:t>provider,</w:t>
      </w:r>
      <w:r w:rsidRPr="00296A38" w:rsidR="00AE1830">
        <w:rPr>
          <w:szCs w:val="22"/>
        </w:rPr>
        <w:t xml:space="preserve"> filed a Petition for Declaratory Ruling </w:t>
      </w:r>
      <w:r w:rsidRPr="00296A38" w:rsidR="0041487E">
        <w:rPr>
          <w:szCs w:val="22"/>
        </w:rPr>
        <w:t xml:space="preserve">seeking a </w:t>
      </w:r>
      <w:r w:rsidRPr="00296A38" w:rsidR="00AB5FC4">
        <w:rPr>
          <w:szCs w:val="22"/>
        </w:rPr>
        <w:t>determin</w:t>
      </w:r>
      <w:r w:rsidRPr="00296A38" w:rsidR="0041487E">
        <w:rPr>
          <w:szCs w:val="22"/>
        </w:rPr>
        <w:t>ation</w:t>
      </w:r>
      <w:r w:rsidRPr="00296A38" w:rsidR="00CB30BD">
        <w:rPr>
          <w:szCs w:val="22"/>
        </w:rPr>
        <w:t xml:space="preserve"> </w:t>
      </w:r>
      <w:r w:rsidRPr="00296A38" w:rsidR="00AE1830">
        <w:rPr>
          <w:szCs w:val="22"/>
        </w:rPr>
        <w:t xml:space="preserve">that the </w:t>
      </w:r>
      <w:r w:rsidRPr="00296A38" w:rsidR="006D6415">
        <w:rPr>
          <w:szCs w:val="22"/>
        </w:rPr>
        <w:t>c</w:t>
      </w:r>
      <w:r w:rsidRPr="00296A38" w:rsidR="00AE1830">
        <w:rPr>
          <w:szCs w:val="22"/>
        </w:rPr>
        <w:t>ity of Fountain Valley, California’s denial of a zoning permit is preempted by Section 1.4000 of the Commission’s rules (“Over-the-Air Reception Devices Rule”).</w:t>
      </w:r>
      <w:r w:rsidRPr="00296A38" w:rsidR="00815654">
        <w:rPr>
          <w:szCs w:val="22"/>
        </w:rPr>
        <w:t xml:space="preserve">  </w:t>
      </w:r>
      <w:r w:rsidRPr="00296A38" w:rsidR="009A7286">
        <w:rPr>
          <w:szCs w:val="22"/>
        </w:rPr>
        <w:t xml:space="preserve">The Rule addresses governmental and non-governmental restrictions on installation, maintenance, or use of antennas that receive television broadcast signals; satellite dish antennas one meter or less in diameter that receive or transmit video, data, or other programming; and antennas one meter or less in diagonal measurement that receive or transmit video, data, other programming via multipoint distribution services, or fixed wireless service.  </w:t>
      </w:r>
      <w:r w:rsidRPr="00296A38" w:rsidR="00815654">
        <w:rPr>
          <w:szCs w:val="22"/>
        </w:rPr>
        <w:t xml:space="preserve">The petitioners state that </w:t>
      </w:r>
      <w:r w:rsidRPr="00296A38" w:rsidR="006D6415">
        <w:rPr>
          <w:szCs w:val="22"/>
        </w:rPr>
        <w:t>Fountain</w:t>
      </w:r>
      <w:r w:rsidRPr="00296A38" w:rsidR="00815654">
        <w:rPr>
          <w:szCs w:val="22"/>
        </w:rPr>
        <w:t xml:space="preserve"> Valley denied a conditional use permit with variance for</w:t>
      </w:r>
      <w:r w:rsidRPr="00296A38" w:rsidR="008D78D0">
        <w:rPr>
          <w:szCs w:val="22"/>
        </w:rPr>
        <w:t xml:space="preserve"> “several point-to-multipoint radio devices” attached to a 40</w:t>
      </w:r>
      <w:r w:rsidRPr="00296A38">
        <w:rPr>
          <w:szCs w:val="22"/>
        </w:rPr>
        <w:t>-</w:t>
      </w:r>
      <w:r w:rsidRPr="00296A38" w:rsidR="008D78D0">
        <w:rPr>
          <w:szCs w:val="22"/>
        </w:rPr>
        <w:t xml:space="preserve">foot </w:t>
      </w:r>
      <w:r w:rsidRPr="00296A38" w:rsidR="00CB30BD">
        <w:rPr>
          <w:szCs w:val="22"/>
        </w:rPr>
        <w:t xml:space="preserve">rooftop antenna, used to provide fixed wireless internet access service.  </w:t>
      </w:r>
    </w:p>
    <w:p w:rsidR="00CE60FF" w:rsidRPr="00296A38" w:rsidP="00D45998" w14:paraId="7DDE67C6" w14:textId="77777777">
      <w:pPr>
        <w:rPr>
          <w:szCs w:val="22"/>
        </w:rPr>
      </w:pPr>
    </w:p>
    <w:p w:rsidR="000829CE" w:rsidRPr="000829CE" w:rsidP="00E92A57" w14:paraId="049098E1" w14:textId="6387B927">
      <w:pPr>
        <w:ind w:firstLine="720"/>
        <w:rPr>
          <w:szCs w:val="22"/>
        </w:rPr>
      </w:pPr>
      <w:r w:rsidRPr="000829CE">
        <w:rPr>
          <w:i/>
          <w:szCs w:val="22"/>
        </w:rPr>
        <w:t xml:space="preserve">Filing Requirements.  </w:t>
      </w:r>
      <w:r w:rsidRPr="000829CE">
        <w:rPr>
          <w:szCs w:val="22"/>
        </w:rPr>
        <w:t>Interested parties may file comments on or before the date indicated on the first page of this document.</w:t>
      </w:r>
      <w:r>
        <w:rPr>
          <w:szCs w:val="22"/>
          <w:vertAlign w:val="superscript"/>
        </w:rPr>
        <w:footnoteReference w:id="3"/>
      </w:r>
      <w:r w:rsidRPr="000829CE">
        <w:rPr>
          <w:szCs w:val="22"/>
        </w:rPr>
        <w:t xml:space="preserve">  </w:t>
      </w:r>
      <w:r w:rsidRPr="000829CE">
        <w:rPr>
          <w:iCs/>
          <w:szCs w:val="22"/>
        </w:rPr>
        <w:t>All filings must refer to</w:t>
      </w:r>
      <w:r w:rsidRPr="000829CE">
        <w:rPr>
          <w:szCs w:val="22"/>
        </w:rPr>
        <w:t xml:space="preserve"> </w:t>
      </w:r>
      <w:r w:rsidRPr="000829CE">
        <w:rPr>
          <w:b/>
          <w:bCs/>
          <w:iCs/>
          <w:szCs w:val="22"/>
        </w:rPr>
        <w:t>WT Docket No. 19-</w:t>
      </w:r>
      <w:r w:rsidR="000020EA">
        <w:rPr>
          <w:b/>
          <w:bCs/>
          <w:iCs/>
          <w:szCs w:val="22"/>
        </w:rPr>
        <w:t>270</w:t>
      </w:r>
      <w:r w:rsidRPr="00296A38" w:rsidR="00AC1831">
        <w:rPr>
          <w:iCs/>
          <w:szCs w:val="22"/>
        </w:rPr>
        <w:t>.</w:t>
      </w:r>
      <w:r w:rsidRPr="000829CE">
        <w:rPr>
          <w:iCs/>
          <w:szCs w:val="22"/>
        </w:rPr>
        <w:t xml:space="preserve">  </w:t>
      </w:r>
      <w:r w:rsidRPr="000829CE">
        <w:rPr>
          <w:szCs w:val="22"/>
        </w:rPr>
        <w:t>Comments may be filed using the Commission’s Electronic Comment Filing System (ECFS).</w:t>
      </w:r>
      <w:r>
        <w:rPr>
          <w:szCs w:val="22"/>
          <w:vertAlign w:val="superscript"/>
        </w:rPr>
        <w:footnoteReference w:id="4"/>
      </w:r>
      <w:r w:rsidRPr="000829CE">
        <w:rPr>
          <w:szCs w:val="22"/>
        </w:rPr>
        <w:t xml:space="preserve">  </w:t>
      </w:r>
    </w:p>
    <w:p w:rsidR="000829CE" w:rsidRPr="000829CE" w:rsidP="000829CE" w14:paraId="3A45932E" w14:textId="77777777">
      <w:pPr>
        <w:numPr>
          <w:ilvl w:val="0"/>
          <w:numId w:val="10"/>
        </w:numPr>
        <w:rPr>
          <w:szCs w:val="22"/>
        </w:rPr>
      </w:pPr>
      <w:r w:rsidRPr="000829CE">
        <w:rPr>
          <w:szCs w:val="22"/>
        </w:rPr>
        <w:t xml:space="preserve">Electronic Filers:  Comments may be filed electronically using the Commission’s online Electronic Comment Filing System (ECFS):  </w:t>
      </w:r>
      <w:r w:rsidRPr="000829CE">
        <w:rPr>
          <w:szCs w:val="22"/>
          <w:u w:val="single"/>
        </w:rPr>
        <w:t>https://www.fcc.gov/ecfs/</w:t>
      </w:r>
      <w:r w:rsidRPr="000829CE">
        <w:rPr>
          <w:szCs w:val="22"/>
        </w:rPr>
        <w:t xml:space="preserve">.  </w:t>
      </w:r>
    </w:p>
    <w:p w:rsidR="000829CE" w:rsidRPr="000829CE" w:rsidP="000829CE" w14:paraId="1A2C2255" w14:textId="77777777">
      <w:pPr>
        <w:numPr>
          <w:ilvl w:val="0"/>
          <w:numId w:val="10"/>
        </w:numPr>
        <w:rPr>
          <w:szCs w:val="22"/>
        </w:rPr>
      </w:pPr>
      <w:r w:rsidRPr="000829CE">
        <w:rPr>
          <w:szCs w:val="22"/>
        </w:rPr>
        <w:t>Paper Filers:  Parties who choose to file by paper must file an original and one copy of each filing.</w:t>
      </w:r>
    </w:p>
    <w:p w:rsidR="000829CE" w:rsidRPr="000829CE" w:rsidP="000829CE" w14:paraId="2A2DC975" w14:textId="77777777">
      <w:pPr>
        <w:numPr>
          <w:ilvl w:val="0"/>
          <w:numId w:val="10"/>
        </w:numPr>
        <w:rPr>
          <w:szCs w:val="22"/>
        </w:rPr>
      </w:pPr>
      <w:r w:rsidRPr="000829C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829CE" w:rsidRPr="000829CE" w:rsidP="000829CE" w14:paraId="39965848" w14:textId="77777777">
      <w:pPr>
        <w:numPr>
          <w:ilvl w:val="1"/>
          <w:numId w:val="10"/>
        </w:numPr>
        <w:rPr>
          <w:szCs w:val="22"/>
        </w:rPr>
      </w:pPr>
      <w:r w:rsidRPr="000829CE">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0829CE" w:rsidRPr="000829CE" w:rsidP="000829CE" w14:paraId="57C5A6A2" w14:textId="77777777">
      <w:pPr>
        <w:numPr>
          <w:ilvl w:val="1"/>
          <w:numId w:val="10"/>
        </w:numPr>
        <w:rPr>
          <w:szCs w:val="22"/>
        </w:rPr>
      </w:pPr>
      <w:r w:rsidRPr="000829CE">
        <w:rPr>
          <w:szCs w:val="22"/>
        </w:rPr>
        <w:t>Commercial overnight mail (other than U.S. Postal Service Express Mail and Priority Mail) must be sent to 9050 Junction Drive, Annapolis Junction, MD 20701.</w:t>
      </w:r>
    </w:p>
    <w:p w:rsidR="000829CE" w:rsidRPr="000829CE" w:rsidP="000829CE" w14:paraId="549684F1" w14:textId="77777777">
      <w:pPr>
        <w:numPr>
          <w:ilvl w:val="1"/>
          <w:numId w:val="10"/>
        </w:numPr>
        <w:rPr>
          <w:szCs w:val="22"/>
        </w:rPr>
      </w:pPr>
      <w:r w:rsidRPr="000829CE">
        <w:rPr>
          <w:szCs w:val="22"/>
        </w:rPr>
        <w:t xml:space="preserve">U.S. Postal Service first-class, Express, and Priority mail must be addressed to 445 12th </w:t>
      </w:r>
      <w:r w:rsidRPr="000829CE">
        <w:rPr>
          <w:szCs w:val="22"/>
        </w:rPr>
        <w:t>Street, SW, Washington DC  20554.</w:t>
      </w:r>
    </w:p>
    <w:p w:rsidR="000829CE" w:rsidRPr="00296A38" w:rsidP="000829CE" w14:paraId="23EC52DA" w14:textId="77777777">
      <w:pPr>
        <w:rPr>
          <w:i/>
          <w:szCs w:val="22"/>
        </w:rPr>
      </w:pPr>
    </w:p>
    <w:p w:rsidR="000829CE" w:rsidRPr="000829CE" w:rsidP="00E92A57" w14:paraId="2D770790" w14:textId="6025C465">
      <w:pPr>
        <w:ind w:firstLine="720"/>
        <w:rPr>
          <w:szCs w:val="22"/>
        </w:rPr>
      </w:pPr>
      <w:r w:rsidRPr="000829CE">
        <w:rPr>
          <w:i/>
          <w:szCs w:val="22"/>
        </w:rPr>
        <w:t>Ex Parte Rules</w:t>
      </w:r>
      <w:r w:rsidRPr="000829CE">
        <w:rPr>
          <w:szCs w:val="22"/>
        </w:rPr>
        <w:t xml:space="preserve">.  This proceeding shall be treated as a “permit-but-disclose” proceeding in accordance with the Commission’s </w:t>
      </w:r>
      <w:r w:rsidRPr="000829CE">
        <w:rPr>
          <w:i/>
          <w:iCs/>
          <w:szCs w:val="22"/>
        </w:rPr>
        <w:t xml:space="preserve">ex parte </w:t>
      </w:r>
      <w:r w:rsidRPr="000829CE">
        <w:rPr>
          <w:szCs w:val="22"/>
        </w:rPr>
        <w:t>rules.</w:t>
      </w:r>
      <w:r>
        <w:rPr>
          <w:szCs w:val="22"/>
          <w:vertAlign w:val="superscript"/>
        </w:rPr>
        <w:footnoteReference w:id="5"/>
      </w:r>
      <w:r w:rsidRPr="000829CE">
        <w:rPr>
          <w:szCs w:val="22"/>
        </w:rPr>
        <w:t xml:space="preserve">  Persons making </w:t>
      </w:r>
      <w:r w:rsidRPr="000829CE">
        <w:rPr>
          <w:i/>
          <w:szCs w:val="22"/>
        </w:rPr>
        <w:t xml:space="preserve">ex parte </w:t>
      </w:r>
      <w:r w:rsidRPr="000829C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829CE">
        <w:rPr>
          <w:i/>
          <w:iCs/>
          <w:szCs w:val="22"/>
        </w:rPr>
        <w:t xml:space="preserve">ex parte </w:t>
      </w:r>
      <w:r w:rsidRPr="000829CE">
        <w:rPr>
          <w:szCs w:val="22"/>
        </w:rPr>
        <w:t xml:space="preserve">presentations are reminded that memoranda summarizing the presentation must (1) list all persons attending or otherwise participating in the meeting at which the </w:t>
      </w:r>
      <w:r w:rsidRPr="000829CE">
        <w:rPr>
          <w:i/>
          <w:iCs/>
          <w:szCs w:val="22"/>
        </w:rPr>
        <w:t xml:space="preserve">ex parte </w:t>
      </w:r>
      <w:r w:rsidRPr="000829C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829CE">
        <w:rPr>
          <w:i/>
          <w:iCs/>
          <w:szCs w:val="22"/>
        </w:rPr>
        <w:t xml:space="preserve">ex parte </w:t>
      </w:r>
      <w:r w:rsidRPr="000829CE">
        <w:rPr>
          <w:szCs w:val="22"/>
        </w:rPr>
        <w:t xml:space="preserve">meetings are deemed to be written </w:t>
      </w:r>
      <w:r w:rsidRPr="000829CE">
        <w:rPr>
          <w:i/>
          <w:iCs/>
          <w:szCs w:val="22"/>
        </w:rPr>
        <w:t>ex parte</w:t>
      </w:r>
      <w:r w:rsidRPr="000829CE">
        <w:rPr>
          <w:szCs w:val="22"/>
        </w:rPr>
        <w:t xml:space="preserve"> presentations and must be filed consistent with rule 1.1206(b).  In proceedings governed by rule 1.49(f) or for which the Commission has made available a method of electronic filing, written </w:t>
      </w:r>
      <w:r w:rsidRPr="000829CE">
        <w:rPr>
          <w:i/>
          <w:iCs/>
          <w:szCs w:val="22"/>
        </w:rPr>
        <w:t xml:space="preserve">ex parte </w:t>
      </w:r>
      <w:r w:rsidRPr="000829CE">
        <w:rPr>
          <w:szCs w:val="22"/>
        </w:rPr>
        <w:t xml:space="preserve">presentations and memoranda summarizing oral </w:t>
      </w:r>
      <w:r w:rsidRPr="000829CE">
        <w:rPr>
          <w:i/>
          <w:iCs/>
          <w:szCs w:val="22"/>
        </w:rPr>
        <w:t xml:space="preserve">ex parte </w:t>
      </w:r>
      <w:r w:rsidRPr="000829CE">
        <w:rPr>
          <w:szCs w:val="22"/>
        </w:rPr>
        <w:t>presentations, and all attachments thereto, must be filed through the electronic comment filing system available for that proceeding, and must be filed in their native format (</w:t>
      </w:r>
      <w:r w:rsidRPr="000829CE">
        <w:rPr>
          <w:i/>
          <w:iCs/>
          <w:szCs w:val="22"/>
        </w:rPr>
        <w:t>e.g.</w:t>
      </w:r>
      <w:r w:rsidRPr="000829CE">
        <w:rPr>
          <w:szCs w:val="22"/>
        </w:rPr>
        <w:t xml:space="preserve">, .doc, .xml, .ppt, searchable .pdf).  Participants in this proceeding should familiarize themselves with the Commission’s </w:t>
      </w:r>
      <w:r w:rsidRPr="000829CE">
        <w:rPr>
          <w:i/>
          <w:iCs/>
          <w:szCs w:val="22"/>
        </w:rPr>
        <w:t xml:space="preserve">ex parte </w:t>
      </w:r>
      <w:r w:rsidRPr="000829CE">
        <w:rPr>
          <w:szCs w:val="22"/>
        </w:rPr>
        <w:t>rules.</w:t>
      </w:r>
    </w:p>
    <w:p w:rsidR="00AC1831" w:rsidRPr="00296A38" w:rsidP="000829CE" w14:paraId="49B24769" w14:textId="77777777">
      <w:pPr>
        <w:rPr>
          <w:i/>
          <w:szCs w:val="22"/>
        </w:rPr>
      </w:pPr>
    </w:p>
    <w:p w:rsidR="000829CE" w:rsidRPr="000829CE" w:rsidP="00E92A57" w14:paraId="4A69FC60" w14:textId="1CBE4037">
      <w:pPr>
        <w:ind w:firstLine="720"/>
        <w:rPr>
          <w:szCs w:val="22"/>
        </w:rPr>
      </w:pPr>
      <w:r w:rsidRPr="000829CE">
        <w:rPr>
          <w:i/>
          <w:szCs w:val="22"/>
        </w:rPr>
        <w:t xml:space="preserve">People with Disabilities.  </w:t>
      </w:r>
      <w:r w:rsidRPr="000829CE">
        <w:rPr>
          <w:szCs w:val="22"/>
        </w:rPr>
        <w:t xml:space="preserve">To request materials in accessible formats for people with disabilities (Braille, large print, electronic files, audio format), send an e-mail to </w:t>
      </w:r>
      <w:r w:rsidRPr="000829CE">
        <w:rPr>
          <w:szCs w:val="22"/>
          <w:u w:val="single"/>
        </w:rPr>
        <w:t>fcc504@fcc.gov</w:t>
      </w:r>
      <w:r w:rsidRPr="000829CE">
        <w:rPr>
          <w:szCs w:val="22"/>
        </w:rPr>
        <w:t xml:space="preserve"> or call the Consumer and Governmental Affairs Bureau at 202-418-0530 (voice), 844-432-2275 (videophone), or 202-418-0432 (TTY).  </w:t>
      </w:r>
    </w:p>
    <w:p w:rsidR="000829CE" w:rsidRPr="00296A38" w:rsidP="000829CE" w14:paraId="3607B133" w14:textId="77777777">
      <w:pPr>
        <w:rPr>
          <w:i/>
          <w:szCs w:val="22"/>
        </w:rPr>
      </w:pPr>
    </w:p>
    <w:p w:rsidR="000829CE" w:rsidRPr="00296A38" w:rsidP="00E92A57" w14:paraId="5333A497" w14:textId="02A74D77">
      <w:pPr>
        <w:ind w:firstLine="720"/>
        <w:rPr>
          <w:szCs w:val="22"/>
        </w:rPr>
      </w:pPr>
      <w:r w:rsidRPr="00296A38">
        <w:rPr>
          <w:i/>
          <w:szCs w:val="22"/>
        </w:rPr>
        <w:t xml:space="preserve">Additional Information.  </w:t>
      </w:r>
      <w:r w:rsidRPr="00296A38">
        <w:rPr>
          <w:szCs w:val="22"/>
        </w:rPr>
        <w:t xml:space="preserve">For further information regarding this Notice, contact </w:t>
      </w:r>
      <w:r w:rsidRPr="00296A38" w:rsidR="00AC1831">
        <w:rPr>
          <w:szCs w:val="22"/>
        </w:rPr>
        <w:t>Paul D’Ari</w:t>
      </w:r>
      <w:r w:rsidRPr="00296A38">
        <w:rPr>
          <w:szCs w:val="22"/>
        </w:rPr>
        <w:t xml:space="preserve">, Senior </w:t>
      </w:r>
      <w:r w:rsidRPr="00296A38" w:rsidR="00AC1831">
        <w:rPr>
          <w:szCs w:val="22"/>
        </w:rPr>
        <w:t xml:space="preserve">Legal </w:t>
      </w:r>
      <w:r w:rsidRPr="00296A38">
        <w:rPr>
          <w:szCs w:val="22"/>
        </w:rPr>
        <w:t>Counsel, Competition and Infrastructure Policy Division, Wireless Telecommunication</w:t>
      </w:r>
      <w:r w:rsidR="00917FA1">
        <w:rPr>
          <w:szCs w:val="22"/>
        </w:rPr>
        <w:t>s</w:t>
      </w:r>
      <w:r w:rsidRPr="00296A38" w:rsidR="00AC1831">
        <w:rPr>
          <w:szCs w:val="22"/>
        </w:rPr>
        <w:t xml:space="preserve"> Bureau, at </w:t>
      </w:r>
      <w:r w:rsidR="0026689A">
        <w:rPr>
          <w:szCs w:val="22"/>
        </w:rPr>
        <w:t>(</w:t>
      </w:r>
      <w:r w:rsidRPr="00296A38" w:rsidR="00AC1831">
        <w:rPr>
          <w:szCs w:val="22"/>
        </w:rPr>
        <w:t>202</w:t>
      </w:r>
      <w:r w:rsidR="0026689A">
        <w:rPr>
          <w:szCs w:val="22"/>
        </w:rPr>
        <w:t>) 4</w:t>
      </w:r>
      <w:r w:rsidRPr="00296A38" w:rsidR="00AC1831">
        <w:rPr>
          <w:szCs w:val="22"/>
        </w:rPr>
        <w:t>18-1550</w:t>
      </w:r>
      <w:r w:rsidRPr="00296A38" w:rsidR="00296A38">
        <w:rPr>
          <w:szCs w:val="22"/>
        </w:rPr>
        <w:t xml:space="preserve">, or </w:t>
      </w:r>
      <w:hyperlink r:id="rId5" w:history="1">
        <w:r w:rsidRPr="009B47DE" w:rsidR="00296A38">
          <w:rPr>
            <w:rStyle w:val="Hyperlink"/>
            <w:szCs w:val="22"/>
          </w:rPr>
          <w:t>Paul.Dari@fcc.gov</w:t>
        </w:r>
      </w:hyperlink>
      <w:r w:rsidRPr="00296A38" w:rsidR="00296A38">
        <w:rPr>
          <w:szCs w:val="22"/>
        </w:rPr>
        <w:t>.</w:t>
      </w:r>
      <w:r w:rsidRPr="00296A38" w:rsidR="00AC1831">
        <w:rPr>
          <w:szCs w:val="22"/>
        </w:rPr>
        <w:t xml:space="preserve"> </w:t>
      </w:r>
    </w:p>
    <w:p w:rsidR="000829CE" w:rsidRPr="00296A38" w:rsidP="00D45998" w14:paraId="0B0011C1" w14:textId="77777777">
      <w:pPr>
        <w:rPr>
          <w:szCs w:val="22"/>
        </w:rPr>
      </w:pPr>
    </w:p>
    <w:p w:rsidR="00D45998" w:rsidP="00F96F63" w14:paraId="47DA8BB9" w14:textId="71299C00">
      <w:pPr>
        <w:rPr>
          <w:szCs w:val="22"/>
        </w:rPr>
      </w:pPr>
      <w:bookmarkStart w:id="2" w:name="_Hlk19186218"/>
      <w:r w:rsidRPr="00296A38">
        <w:rPr>
          <w:szCs w:val="22"/>
        </w:rPr>
        <w:t xml:space="preserve"> </w:t>
      </w:r>
      <w:bookmarkEnd w:id="2"/>
    </w:p>
    <w:p w:rsidR="0000103F" w:rsidRPr="00296A38" w:rsidP="0000103F" w14:paraId="64529A84" w14:textId="7C119A76">
      <w:pPr>
        <w:jc w:val="center"/>
        <w:rPr>
          <w:szCs w:val="22"/>
        </w:rPr>
      </w:pPr>
      <w:r>
        <w:rPr>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2245E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83D7D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82F4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2F884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5E80" w14:paraId="15435904" w14:textId="77777777">
      <w:r>
        <w:separator/>
      </w:r>
    </w:p>
  </w:footnote>
  <w:footnote w:type="continuationSeparator" w:id="1">
    <w:p w:rsidR="00B85E80" w14:paraId="39C07AAF" w14:textId="77777777">
      <w:pPr>
        <w:rPr>
          <w:sz w:val="20"/>
        </w:rPr>
      </w:pPr>
      <w:r>
        <w:rPr>
          <w:sz w:val="20"/>
        </w:rPr>
        <w:t xml:space="preserve">(Continued from previous page)  </w:t>
      </w:r>
      <w:r>
        <w:rPr>
          <w:sz w:val="20"/>
        </w:rPr>
        <w:separator/>
      </w:r>
    </w:p>
  </w:footnote>
  <w:footnote w:type="continuationNotice" w:id="2">
    <w:p w:rsidR="00B85E80" w:rsidP="00910F12" w14:paraId="3EEA92D1" w14:textId="77777777">
      <w:pPr>
        <w:jc w:val="right"/>
        <w:rPr>
          <w:sz w:val="20"/>
        </w:rPr>
      </w:pPr>
      <w:r>
        <w:rPr>
          <w:sz w:val="20"/>
        </w:rPr>
        <w:t>(continued….)</w:t>
      </w:r>
    </w:p>
  </w:footnote>
  <w:footnote w:id="3">
    <w:p w:rsidR="000829CE" w:rsidRPr="0087057A" w:rsidP="000829CE" w14:paraId="2CE7C0CC"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4">
    <w:p w:rsidR="000829CE" w:rsidRPr="0087057A" w:rsidP="000829CE" w14:paraId="017B9569"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5">
    <w:p w:rsidR="000829CE" w:rsidRPr="0087057A" w:rsidP="000829CE" w14:paraId="7D1F7F15"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0DE0100" w14:textId="7D6F82B4">
    <w:pPr>
      <w:tabs>
        <w:tab w:val="center" w:pos="4680"/>
        <w:tab w:val="right" w:pos="9360"/>
      </w:tabs>
    </w:pPr>
    <w:r w:rsidRPr="009838BC">
      <w:rPr>
        <w:b/>
      </w:rPr>
      <w:tab/>
      <w:t>Federal Communications Commission</w:t>
    </w:r>
    <w:r w:rsidRPr="009838BC">
      <w:rPr>
        <w:b/>
      </w:rPr>
      <w:tab/>
    </w:r>
    <w:r w:rsidR="00422CFE">
      <w:rPr>
        <w:b/>
      </w:rPr>
      <w:t>DA 19-922</w:t>
    </w:r>
  </w:p>
  <w:p w:rsidR="009838BC" w:rsidRPr="009838BC" w:rsidP="009838BC" w14:paraId="6FD933F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AAC6CB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EBAAC8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09462DE" w14:textId="77777777">
                    <w:pPr>
                      <w:rPr>
                        <w:rFonts w:ascii="Arial" w:hAnsi="Arial"/>
                        <w:b/>
                      </w:rPr>
                    </w:pPr>
                    <w:r>
                      <w:rPr>
                        <w:rFonts w:ascii="Arial" w:hAnsi="Arial"/>
                        <w:b/>
                      </w:rPr>
                      <w:t>Federal Communications Commission</w:t>
                    </w:r>
                  </w:p>
                  <w:p w:rsidR="009838BC" w:rsidP="009838BC" w14:paraId="77A19B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DD1376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42835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A79C1E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C8B7F09" w14:textId="77777777">
                    <w:pPr>
                      <w:spacing w:before="40"/>
                      <w:jc w:val="right"/>
                      <w:rPr>
                        <w:rFonts w:ascii="Arial" w:hAnsi="Arial"/>
                        <w:b/>
                        <w:sz w:val="16"/>
                      </w:rPr>
                    </w:pPr>
                    <w:r>
                      <w:rPr>
                        <w:rFonts w:ascii="Arial" w:hAnsi="Arial"/>
                        <w:b/>
                        <w:sz w:val="16"/>
                      </w:rPr>
                      <w:t>News Media Information 202 / 418-0500</w:t>
                    </w:r>
                  </w:p>
                  <w:p w:rsidR="009838BC" w:rsidP="009838BC" w14:paraId="3E955F1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36E3267" w14:textId="77777777">
                    <w:pPr>
                      <w:jc w:val="right"/>
                    </w:pPr>
                    <w:r>
                      <w:rPr>
                        <w:rFonts w:ascii="Arial" w:hAnsi="Arial"/>
                        <w:b/>
                        <w:sz w:val="16"/>
                      </w:rPr>
                      <w:t>TTY: 1-888-835-5322</w:t>
                    </w:r>
                  </w:p>
                </w:txbxContent>
              </v:textbox>
            </v:shape>
          </w:pict>
        </mc:Fallback>
      </mc:AlternateContent>
    </w:r>
  </w:p>
  <w:p w:rsidR="006F7393" w:rsidRPr="009838BC" w:rsidP="009838BC" w14:paraId="1C0FEB3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74A2FD1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91"/>
    <w:rsid w:val="0000103F"/>
    <w:rsid w:val="000020EA"/>
    <w:rsid w:val="000072CE"/>
    <w:rsid w:val="00013A8B"/>
    <w:rsid w:val="00021445"/>
    <w:rsid w:val="00036039"/>
    <w:rsid w:val="00037F90"/>
    <w:rsid w:val="000514CD"/>
    <w:rsid w:val="000829CE"/>
    <w:rsid w:val="000875BF"/>
    <w:rsid w:val="00096D8C"/>
    <w:rsid w:val="000C0B65"/>
    <w:rsid w:val="000E3D42"/>
    <w:rsid w:val="000E5884"/>
    <w:rsid w:val="000F60F4"/>
    <w:rsid w:val="00122BD5"/>
    <w:rsid w:val="001317A7"/>
    <w:rsid w:val="001979D9"/>
    <w:rsid w:val="001D6BCF"/>
    <w:rsid w:val="001E01CA"/>
    <w:rsid w:val="001E51B7"/>
    <w:rsid w:val="002060D9"/>
    <w:rsid w:val="00223FA7"/>
    <w:rsid w:val="00226822"/>
    <w:rsid w:val="00260594"/>
    <w:rsid w:val="0026689A"/>
    <w:rsid w:val="00285017"/>
    <w:rsid w:val="0028699C"/>
    <w:rsid w:val="00296A38"/>
    <w:rsid w:val="002A2D2E"/>
    <w:rsid w:val="002E7731"/>
    <w:rsid w:val="00343749"/>
    <w:rsid w:val="00357D50"/>
    <w:rsid w:val="003925DC"/>
    <w:rsid w:val="003A438C"/>
    <w:rsid w:val="003B0550"/>
    <w:rsid w:val="003B461E"/>
    <w:rsid w:val="003B694F"/>
    <w:rsid w:val="003F171C"/>
    <w:rsid w:val="00406CBF"/>
    <w:rsid w:val="00412FC5"/>
    <w:rsid w:val="0041487E"/>
    <w:rsid w:val="00422276"/>
    <w:rsid w:val="00422CFE"/>
    <w:rsid w:val="004242F1"/>
    <w:rsid w:val="00433E38"/>
    <w:rsid w:val="00445A00"/>
    <w:rsid w:val="00451B0F"/>
    <w:rsid w:val="0046125F"/>
    <w:rsid w:val="00487524"/>
    <w:rsid w:val="00496106"/>
    <w:rsid w:val="004C12D0"/>
    <w:rsid w:val="004C2EE3"/>
    <w:rsid w:val="004E4A22"/>
    <w:rsid w:val="00507F99"/>
    <w:rsid w:val="00511968"/>
    <w:rsid w:val="0055614C"/>
    <w:rsid w:val="00594A16"/>
    <w:rsid w:val="005A1D95"/>
    <w:rsid w:val="00607BA5"/>
    <w:rsid w:val="00624CD7"/>
    <w:rsid w:val="00626EB6"/>
    <w:rsid w:val="006353A3"/>
    <w:rsid w:val="00655D03"/>
    <w:rsid w:val="00683F84"/>
    <w:rsid w:val="006A6A81"/>
    <w:rsid w:val="006D6415"/>
    <w:rsid w:val="006E26AF"/>
    <w:rsid w:val="006F0B1F"/>
    <w:rsid w:val="006F7393"/>
    <w:rsid w:val="0070224F"/>
    <w:rsid w:val="007115F7"/>
    <w:rsid w:val="007145F7"/>
    <w:rsid w:val="007179E0"/>
    <w:rsid w:val="00730AF8"/>
    <w:rsid w:val="00785689"/>
    <w:rsid w:val="00792AC4"/>
    <w:rsid w:val="0079754B"/>
    <w:rsid w:val="007A1E6D"/>
    <w:rsid w:val="007C5A20"/>
    <w:rsid w:val="00815654"/>
    <w:rsid w:val="00822CE0"/>
    <w:rsid w:val="00837C62"/>
    <w:rsid w:val="00841AB1"/>
    <w:rsid w:val="0087057A"/>
    <w:rsid w:val="008C22FD"/>
    <w:rsid w:val="008D6AA2"/>
    <w:rsid w:val="008D78D0"/>
    <w:rsid w:val="008E2E46"/>
    <w:rsid w:val="00910F12"/>
    <w:rsid w:val="00917FA1"/>
    <w:rsid w:val="00926503"/>
    <w:rsid w:val="00930ECF"/>
    <w:rsid w:val="0093324D"/>
    <w:rsid w:val="009350ED"/>
    <w:rsid w:val="009426CE"/>
    <w:rsid w:val="009838BC"/>
    <w:rsid w:val="009A7286"/>
    <w:rsid w:val="009B47DE"/>
    <w:rsid w:val="009C2EA1"/>
    <w:rsid w:val="009E553E"/>
    <w:rsid w:val="00A45F4F"/>
    <w:rsid w:val="00A600A9"/>
    <w:rsid w:val="00A866AC"/>
    <w:rsid w:val="00AA55B7"/>
    <w:rsid w:val="00AA5B9E"/>
    <w:rsid w:val="00AB2407"/>
    <w:rsid w:val="00AB53DF"/>
    <w:rsid w:val="00AB5FC4"/>
    <w:rsid w:val="00AC1831"/>
    <w:rsid w:val="00AE1830"/>
    <w:rsid w:val="00B03316"/>
    <w:rsid w:val="00B07E5C"/>
    <w:rsid w:val="00B326E3"/>
    <w:rsid w:val="00B811F7"/>
    <w:rsid w:val="00B85E80"/>
    <w:rsid w:val="00BA5DC6"/>
    <w:rsid w:val="00BA6196"/>
    <w:rsid w:val="00BC6D8C"/>
    <w:rsid w:val="00C10B91"/>
    <w:rsid w:val="00C16AF2"/>
    <w:rsid w:val="00C34006"/>
    <w:rsid w:val="00C426B1"/>
    <w:rsid w:val="00C615A5"/>
    <w:rsid w:val="00C82B6B"/>
    <w:rsid w:val="00C90D6A"/>
    <w:rsid w:val="00CA1B74"/>
    <w:rsid w:val="00CB30BD"/>
    <w:rsid w:val="00CC72B6"/>
    <w:rsid w:val="00CE60FF"/>
    <w:rsid w:val="00D0218D"/>
    <w:rsid w:val="00D145D5"/>
    <w:rsid w:val="00D216CD"/>
    <w:rsid w:val="00D45998"/>
    <w:rsid w:val="00DA2529"/>
    <w:rsid w:val="00DB130A"/>
    <w:rsid w:val="00DC10A1"/>
    <w:rsid w:val="00DC655F"/>
    <w:rsid w:val="00DD7EBD"/>
    <w:rsid w:val="00DF62B6"/>
    <w:rsid w:val="00E07225"/>
    <w:rsid w:val="00E12912"/>
    <w:rsid w:val="00E155B7"/>
    <w:rsid w:val="00E5409F"/>
    <w:rsid w:val="00E92A57"/>
    <w:rsid w:val="00EB215E"/>
    <w:rsid w:val="00EC0185"/>
    <w:rsid w:val="00EC3A07"/>
    <w:rsid w:val="00F021FA"/>
    <w:rsid w:val="00F57ACA"/>
    <w:rsid w:val="00F62E97"/>
    <w:rsid w:val="00F64209"/>
    <w:rsid w:val="00F93BF5"/>
    <w:rsid w:val="00F96F63"/>
    <w:rsid w:val="00FE0A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9AA0D3-461A-4DFE-8AA6-329DE67E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EC3A07"/>
    <w:rPr>
      <w:sz w:val="16"/>
      <w:szCs w:val="16"/>
    </w:rPr>
  </w:style>
  <w:style w:type="paragraph" w:styleId="CommentText">
    <w:name w:val="annotation text"/>
    <w:basedOn w:val="Normal"/>
    <w:link w:val="CommentTextChar"/>
    <w:uiPriority w:val="99"/>
    <w:semiHidden/>
    <w:unhideWhenUsed/>
    <w:rsid w:val="00EC3A07"/>
    <w:rPr>
      <w:sz w:val="20"/>
    </w:rPr>
  </w:style>
  <w:style w:type="character" w:customStyle="1" w:styleId="CommentTextChar">
    <w:name w:val="Comment Text Char"/>
    <w:basedOn w:val="DefaultParagraphFont"/>
    <w:link w:val="CommentText"/>
    <w:uiPriority w:val="99"/>
    <w:semiHidden/>
    <w:rsid w:val="00EC3A07"/>
    <w:rPr>
      <w:snapToGrid w:val="0"/>
      <w:kern w:val="28"/>
    </w:rPr>
  </w:style>
  <w:style w:type="paragraph" w:styleId="CommentSubject">
    <w:name w:val="annotation subject"/>
    <w:basedOn w:val="CommentText"/>
    <w:next w:val="CommentText"/>
    <w:link w:val="CommentSubjectChar"/>
    <w:uiPriority w:val="99"/>
    <w:semiHidden/>
    <w:unhideWhenUsed/>
    <w:rsid w:val="00EC3A07"/>
    <w:rPr>
      <w:b/>
      <w:bCs/>
    </w:rPr>
  </w:style>
  <w:style w:type="character" w:customStyle="1" w:styleId="CommentSubjectChar">
    <w:name w:val="Comment Subject Char"/>
    <w:basedOn w:val="CommentTextChar"/>
    <w:link w:val="CommentSubject"/>
    <w:uiPriority w:val="99"/>
    <w:semiHidden/>
    <w:rsid w:val="00EC3A07"/>
    <w:rPr>
      <w:b/>
      <w:bCs/>
      <w:snapToGrid w:val="0"/>
      <w:kern w:val="28"/>
    </w:rPr>
  </w:style>
  <w:style w:type="paragraph" w:styleId="BalloonText">
    <w:name w:val="Balloon Text"/>
    <w:basedOn w:val="Normal"/>
    <w:link w:val="BalloonTextChar"/>
    <w:uiPriority w:val="99"/>
    <w:semiHidden/>
    <w:unhideWhenUsed/>
    <w:rsid w:val="00EC3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07"/>
    <w:rPr>
      <w:rFonts w:ascii="Segoe UI" w:hAnsi="Segoe UI" w:cs="Segoe UI"/>
      <w:snapToGrid w:val="0"/>
      <w:kern w:val="28"/>
      <w:sz w:val="18"/>
      <w:szCs w:val="18"/>
    </w:rPr>
  </w:style>
  <w:style w:type="paragraph" w:styleId="Revision">
    <w:name w:val="Revision"/>
    <w:hidden/>
    <w:uiPriority w:val="99"/>
    <w:semiHidden/>
    <w:rsid w:val="009C2EA1"/>
    <w:rPr>
      <w:snapToGrid w:val="0"/>
      <w:kern w:val="28"/>
      <w:sz w:val="22"/>
    </w:rPr>
  </w:style>
  <w:style w:type="character" w:customStyle="1" w:styleId="UnresolvedMention">
    <w:name w:val="Unresolved Mention"/>
    <w:basedOn w:val="DefaultParagraphFont"/>
    <w:uiPriority w:val="99"/>
    <w:semiHidden/>
    <w:unhideWhenUsed/>
    <w:rsid w:val="00AC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ul.Dari@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