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947C1" w:rsidP="00D47505">
      <w:pPr>
        <w:spacing w:before="60"/>
        <w:jc w:val="right"/>
        <w:rPr>
          <w:b/>
          <w:szCs w:val="22"/>
        </w:rPr>
      </w:pPr>
      <w:r>
        <w:rPr>
          <w:b/>
          <w:szCs w:val="22"/>
        </w:rPr>
        <w:t>DA 19-923</w:t>
      </w:r>
    </w:p>
    <w:p w:rsidR="00D47505" w:rsidP="00D47505">
      <w:pPr>
        <w:spacing w:before="60"/>
        <w:jc w:val="right"/>
        <w:rPr>
          <w:b/>
          <w:szCs w:val="22"/>
        </w:rPr>
      </w:pPr>
      <w:bookmarkStart w:id="0" w:name="_GoBack"/>
      <w:bookmarkEnd w:id="0"/>
      <w:r w:rsidRPr="00811B83">
        <w:rPr>
          <w:b/>
          <w:szCs w:val="22"/>
        </w:rPr>
        <w:t xml:space="preserve">Released:  </w:t>
      </w:r>
      <w:r w:rsidR="00D40094">
        <w:rPr>
          <w:b/>
          <w:szCs w:val="22"/>
        </w:rPr>
        <w:t>September</w:t>
      </w:r>
      <w:r w:rsidRPr="00811B83" w:rsidR="00AA6B24">
        <w:rPr>
          <w:b/>
          <w:szCs w:val="22"/>
        </w:rPr>
        <w:t xml:space="preserve"> </w:t>
      </w:r>
      <w:r w:rsidR="00F0071A">
        <w:rPr>
          <w:b/>
          <w:szCs w:val="22"/>
        </w:rPr>
        <w:t>18</w:t>
      </w:r>
      <w:r w:rsidRPr="00811B83" w:rsidR="00C34090">
        <w:rPr>
          <w:b/>
          <w:szCs w:val="22"/>
        </w:rPr>
        <w:t xml:space="preserve">, </w:t>
      </w:r>
      <w:r w:rsidRPr="00811B83" w:rsidR="00B35C68">
        <w:rPr>
          <w:b/>
          <w:szCs w:val="22"/>
        </w:rPr>
        <w:t>201</w:t>
      </w:r>
      <w:r w:rsidRPr="00811B83" w:rsidR="00E12FC0">
        <w:rPr>
          <w:b/>
          <w:szCs w:val="22"/>
        </w:rPr>
        <w:t>9</w:t>
      </w:r>
    </w:p>
    <w:p w:rsidR="006947C1" w:rsidRPr="00811B83" w:rsidP="006947C1">
      <w:pPr>
        <w:spacing w:before="60"/>
        <w:jc w:val="center"/>
        <w:rPr>
          <w:b/>
          <w:szCs w:val="22"/>
        </w:rPr>
      </w:pPr>
    </w:p>
    <w:p w:rsidR="006947C1">
      <w:pPr>
        <w:autoSpaceDE w:val="0"/>
        <w:autoSpaceDN w:val="0"/>
        <w:jc w:val="center"/>
        <w:rPr>
          <w:b/>
          <w:color w:val="000000"/>
          <w:szCs w:val="22"/>
        </w:rPr>
      </w:pPr>
      <w:r>
        <w:rPr>
          <w:b/>
          <w:color w:val="000000"/>
          <w:szCs w:val="22"/>
        </w:rPr>
        <w:t>OFFICE OF ENGINEERING AND TECHNOLOGY</w:t>
      </w:r>
      <w:r w:rsidRPr="00811B83" w:rsidR="00811B83">
        <w:rPr>
          <w:b/>
          <w:color w:val="000000"/>
          <w:szCs w:val="22"/>
        </w:rPr>
        <w:t xml:space="preserve"> ANNOUNCES FIRST INNOVATION ZONES FOR </w:t>
      </w:r>
      <w:r>
        <w:rPr>
          <w:b/>
          <w:color w:val="000000"/>
          <w:szCs w:val="22"/>
        </w:rPr>
        <w:t xml:space="preserve">PROGRAM </w:t>
      </w:r>
      <w:r w:rsidRPr="00811B83" w:rsidR="00811B83">
        <w:rPr>
          <w:b/>
          <w:color w:val="000000"/>
          <w:szCs w:val="22"/>
        </w:rPr>
        <w:t>EXPERIMENTAL LICENSES</w:t>
      </w:r>
    </w:p>
    <w:p w:rsidR="006947C1">
      <w:pPr>
        <w:autoSpaceDE w:val="0"/>
        <w:autoSpaceDN w:val="0"/>
        <w:jc w:val="center"/>
        <w:rPr>
          <w:b/>
          <w:color w:val="000000"/>
          <w:szCs w:val="22"/>
        </w:rPr>
      </w:pPr>
    </w:p>
    <w:p w:rsidR="00ED49BC">
      <w:pPr>
        <w:autoSpaceDE w:val="0"/>
        <w:autoSpaceDN w:val="0"/>
        <w:jc w:val="center"/>
        <w:rPr>
          <w:b/>
          <w:color w:val="000000"/>
          <w:szCs w:val="22"/>
        </w:rPr>
      </w:pPr>
      <w:r>
        <w:rPr>
          <w:b/>
          <w:color w:val="000000"/>
          <w:szCs w:val="22"/>
        </w:rPr>
        <w:t xml:space="preserve">ET Docket </w:t>
      </w:r>
      <w:r w:rsidR="006947C1">
        <w:rPr>
          <w:b/>
          <w:color w:val="000000"/>
          <w:szCs w:val="22"/>
        </w:rPr>
        <w:t xml:space="preserve">No. </w:t>
      </w:r>
      <w:r>
        <w:rPr>
          <w:b/>
          <w:color w:val="000000"/>
          <w:szCs w:val="22"/>
        </w:rPr>
        <w:t>19-257</w:t>
      </w:r>
    </w:p>
    <w:p w:rsidR="006947C1" w:rsidRPr="00811B83" w:rsidP="006947C1">
      <w:pPr>
        <w:autoSpaceDE w:val="0"/>
        <w:autoSpaceDN w:val="0"/>
        <w:spacing w:after="120"/>
        <w:jc w:val="center"/>
        <w:rPr>
          <w:b/>
          <w:color w:val="000000"/>
          <w:szCs w:val="22"/>
        </w:rPr>
      </w:pPr>
    </w:p>
    <w:p w:rsidR="0025248B" w:rsidP="006947C1">
      <w:pPr>
        <w:pStyle w:val="ParaNum"/>
        <w:numPr>
          <w:ilvl w:val="0"/>
          <w:numId w:val="0"/>
        </w:numPr>
        <w:ind w:firstLine="720"/>
      </w:pPr>
      <w:r>
        <w:t xml:space="preserve">By this Public Notice, the </w:t>
      </w:r>
      <w:r w:rsidR="00A57205">
        <w:t xml:space="preserve">Office of Engineering and Technology </w:t>
      </w:r>
      <w:r w:rsidR="001D3D11">
        <w:t xml:space="preserve">(OET) </w:t>
      </w:r>
      <w:r w:rsidR="00DC548D">
        <w:t xml:space="preserve">creates </w:t>
      </w:r>
      <w:r>
        <w:t>I</w:t>
      </w:r>
      <w:r>
        <w:t xml:space="preserve">nnovation </w:t>
      </w:r>
      <w:r>
        <w:t>Z</w:t>
      </w:r>
      <w:r>
        <w:t>ones for Program Experimental Licenses</w:t>
      </w:r>
      <w:r>
        <w:t xml:space="preserve"> in designated portions of New York City and Salt Lake City</w:t>
      </w:r>
      <w:r>
        <w:t xml:space="preserve">.  These </w:t>
      </w:r>
      <w:r>
        <w:t xml:space="preserve">are the first </w:t>
      </w:r>
      <w:r w:rsidR="00DC548D">
        <w:t>Innovation Zones</w:t>
      </w:r>
      <w:r>
        <w:t xml:space="preserve"> established under our experimental license rules and</w:t>
      </w:r>
      <w:r>
        <w:t xml:space="preserve"> will provide opportunities for </w:t>
      </w:r>
      <w:r>
        <w:t xml:space="preserve">qualified licensees </w:t>
      </w:r>
      <w:r>
        <w:t>to test new advanced technologies</w:t>
      </w:r>
      <w:r>
        <w:t xml:space="preserve"> and prototype networks – such as those that can support</w:t>
      </w:r>
      <w:r>
        <w:t xml:space="preserve"> 5G technologies</w:t>
      </w:r>
      <w:r>
        <w:t xml:space="preserve"> – outside a traditional</w:t>
      </w:r>
      <w:r w:rsidR="00D50274">
        <w:t xml:space="preserve"> </w:t>
      </w:r>
      <w:r>
        <w:t xml:space="preserve">small </w:t>
      </w:r>
      <w:r w:rsidR="00D50274">
        <w:t>campus</w:t>
      </w:r>
      <w:r>
        <w:t xml:space="preserve"> or laboratory setting</w:t>
      </w:r>
      <w:r w:rsidR="00D50274">
        <w:t>.</w:t>
      </w:r>
    </w:p>
    <w:p w:rsidR="00123DB0" w:rsidRPr="00811B83" w:rsidP="006947C1">
      <w:pPr>
        <w:pStyle w:val="ParaNum"/>
        <w:numPr>
          <w:ilvl w:val="0"/>
          <w:numId w:val="0"/>
        </w:numPr>
        <w:ind w:firstLine="720"/>
      </w:pPr>
      <w:r>
        <w:t>Th</w:t>
      </w:r>
      <w:r w:rsidR="0025248B">
        <w:t xml:space="preserve">ese Innovation Zones are based on </w:t>
      </w:r>
      <w:r w:rsidR="00FE3163">
        <w:t xml:space="preserve">a </w:t>
      </w:r>
      <w:r w:rsidR="0025248B">
        <w:t xml:space="preserve">detailed proposal </w:t>
      </w:r>
      <w:r>
        <w:t xml:space="preserve">from </w:t>
      </w:r>
      <w:r w:rsidR="00FE3163">
        <w:t xml:space="preserve">the </w:t>
      </w:r>
      <w:r>
        <w:t>Platforms for Advanced Wireless Research (PAWR) program</w:t>
      </w:r>
      <w:r w:rsidR="00913F5B">
        <w:t>.</w:t>
      </w:r>
      <w:r>
        <w:t xml:space="preserve"> </w:t>
      </w:r>
      <w:r w:rsidR="00FE3163">
        <w:t xml:space="preserve"> According to PAWR, this program, “… </w:t>
      </w:r>
      <w:r w:rsidRPr="00FE3163" w:rsidR="00FE3163">
        <w:t>will enable experimental exploration of robust new wireless devices, communication techniques, networks, systems, and services that will revolutionize the nation's wireless ecosystem, thereby enhancing broadband connectivity, leveraging the emerging Internet of Things (IoT), and sustaining US leadership and economic competitiveness for decades to come.</w:t>
      </w:r>
      <w:r w:rsidR="00FE3163">
        <w:t>”</w:t>
      </w:r>
      <w:r>
        <w:rPr>
          <w:rStyle w:val="FootnoteReference"/>
          <w:szCs w:val="22"/>
        </w:rPr>
        <w:footnoteReference w:id="3"/>
      </w:r>
      <w:r w:rsidR="00913F5B">
        <w:t xml:space="preserve">  This program for new technology experimentation is funded by the National Science Foundation along with a consortium consisting of </w:t>
      </w:r>
      <w:r w:rsidR="00F37EE1">
        <w:t>thirty</w:t>
      </w:r>
      <w:r w:rsidR="00913F5B">
        <w:t xml:space="preserve"> technology and telecommunications companies.</w:t>
      </w:r>
      <w:r>
        <w:rPr>
          <w:rStyle w:val="FootnoteReference"/>
          <w:szCs w:val="22"/>
        </w:rPr>
        <w:footnoteReference w:id="4"/>
      </w:r>
    </w:p>
    <w:p w:rsidR="00FE3163" w:rsidP="00AE5626">
      <w:pPr>
        <w:pStyle w:val="ParaNum"/>
        <w:widowControl/>
        <w:numPr>
          <w:ilvl w:val="0"/>
          <w:numId w:val="0"/>
        </w:numPr>
        <w:ind w:firstLine="720"/>
      </w:pPr>
      <w:r>
        <w:t xml:space="preserve">Innovation Zones were conceived as part of the </w:t>
      </w:r>
      <w:r w:rsidRPr="00FE3163">
        <w:t>Commission</w:t>
      </w:r>
      <w:r>
        <w:t xml:space="preserve">’s 2013 </w:t>
      </w:r>
      <w:r w:rsidR="00A03689">
        <w:t xml:space="preserve">rulemaking that </w:t>
      </w:r>
      <w:r w:rsidR="00903647">
        <w:t>updated</w:t>
      </w:r>
      <w:r w:rsidRPr="00FE3163">
        <w:t xml:space="preserve"> the experimental radio</w:t>
      </w:r>
      <w:r>
        <w:t xml:space="preserve"> </w:t>
      </w:r>
      <w:r w:rsidRPr="00FE3163">
        <w:t xml:space="preserve">service (ERS) </w:t>
      </w:r>
      <w:r w:rsidR="00DC548D">
        <w:t>program</w:t>
      </w:r>
      <w:r w:rsidR="00903647">
        <w:t xml:space="preserve"> by, </w:t>
      </w:r>
      <w:r w:rsidR="00903647">
        <w:rPr>
          <w:i/>
        </w:rPr>
        <w:t>inter alia</w:t>
      </w:r>
      <w:r w:rsidR="00903647">
        <w:t xml:space="preserve">, </w:t>
      </w:r>
      <w:r w:rsidRPr="00FE3163" w:rsidR="00903647">
        <w:t xml:space="preserve">establishing new </w:t>
      </w:r>
      <w:r w:rsidR="00903647">
        <w:t>P</w:t>
      </w:r>
      <w:r w:rsidRPr="00FE3163" w:rsidR="00903647">
        <w:t xml:space="preserve">rogram </w:t>
      </w:r>
      <w:r w:rsidR="00903647">
        <w:t>L</w:t>
      </w:r>
      <w:r w:rsidRPr="00FE3163" w:rsidR="00903647">
        <w:t>icenses</w:t>
      </w:r>
      <w:r w:rsidRPr="00FE3163">
        <w:t>.</w:t>
      </w:r>
      <w:r>
        <w:rPr>
          <w:rStyle w:val="FootnoteReference"/>
          <w:szCs w:val="22"/>
        </w:rPr>
        <w:footnoteReference w:id="5"/>
      </w:r>
      <w:r>
        <w:t xml:space="preserve"> </w:t>
      </w:r>
      <w:r w:rsidRPr="00FE3163">
        <w:t xml:space="preserve"> </w:t>
      </w:r>
      <w:r>
        <w:t xml:space="preserve">Under a </w:t>
      </w:r>
      <w:r w:rsidR="00903647">
        <w:t>P</w:t>
      </w:r>
      <w:r w:rsidR="00820667">
        <w:t xml:space="preserve">rogram </w:t>
      </w:r>
      <w:r w:rsidR="00903647">
        <w:t>L</w:t>
      </w:r>
      <w:r w:rsidR="00820667">
        <w:t>icense, q</w:t>
      </w:r>
      <w:r w:rsidRPr="00FE3163">
        <w:t>ualified institutions may conduct testing for multiple non-related experiments under a</w:t>
      </w:r>
      <w:r>
        <w:t xml:space="preserve"> </w:t>
      </w:r>
      <w:r w:rsidRPr="00FE3163">
        <w:t>single authorization within a defined geographic area under control of the licensee and where the licensee</w:t>
      </w:r>
      <w:r>
        <w:t xml:space="preserve"> </w:t>
      </w:r>
      <w:r w:rsidRPr="00FE3163">
        <w:t>has institutional processes to manage and oversee experiments.</w:t>
      </w:r>
      <w:r w:rsidR="00903647">
        <w:t xml:space="preserve"> </w:t>
      </w:r>
      <w:r w:rsidRPr="00FE3163">
        <w:t xml:space="preserve"> </w:t>
      </w:r>
      <w:r w:rsidR="00820667">
        <w:t xml:space="preserve">The </w:t>
      </w:r>
      <w:r w:rsidR="00903647">
        <w:t>I</w:t>
      </w:r>
      <w:r w:rsidR="00820667">
        <w:t xml:space="preserve">nnovation </w:t>
      </w:r>
      <w:r w:rsidR="00903647">
        <w:t>Z</w:t>
      </w:r>
      <w:r w:rsidR="00820667">
        <w:t>one takes this concept a step further</w:t>
      </w:r>
      <w:r w:rsidR="00903647">
        <w:t xml:space="preserve"> by </w:t>
      </w:r>
      <w:r w:rsidR="00AC6344">
        <w:t xml:space="preserve">effectively </w:t>
      </w:r>
      <w:r w:rsidRPr="00AC6344" w:rsidR="00AC6344">
        <w:t>provid</w:t>
      </w:r>
      <w:r w:rsidR="00AC6344">
        <w:t>ing</w:t>
      </w:r>
      <w:r w:rsidRPr="00AC6344" w:rsidR="00AC6344">
        <w:t xml:space="preserve"> a</w:t>
      </w:r>
      <w:r w:rsidR="00903647">
        <w:t xml:space="preserve">n </w:t>
      </w:r>
      <w:r w:rsidRPr="00AC6344" w:rsidR="00AC6344">
        <w:t xml:space="preserve">extension of a </w:t>
      </w:r>
      <w:r w:rsidR="00903647">
        <w:t>P</w:t>
      </w:r>
      <w:r w:rsidRPr="00AC6344" w:rsidR="00AC6344">
        <w:t xml:space="preserve">rogram </w:t>
      </w:r>
      <w:r w:rsidR="00903647">
        <w:t>L</w:t>
      </w:r>
      <w:r w:rsidRPr="00AC6344" w:rsidR="00AC6344">
        <w:t>icense</w:t>
      </w:r>
      <w:r w:rsidR="00903647">
        <w:t xml:space="preserve">’s authorized area of operation.  Such licensees are permitted to operate </w:t>
      </w:r>
      <w:r w:rsidR="004D11B6">
        <w:t xml:space="preserve">within </w:t>
      </w:r>
      <w:r w:rsidR="00903647">
        <w:t>an Innovation Zone</w:t>
      </w:r>
      <w:r w:rsidR="004D11B6">
        <w:t xml:space="preserve">, under the parameters set for that </w:t>
      </w:r>
      <w:r w:rsidR="004D11B6">
        <w:t>particular Zone</w:t>
      </w:r>
      <w:r w:rsidR="004D11B6">
        <w:t>,</w:t>
      </w:r>
      <w:r w:rsidR="00903647">
        <w:t xml:space="preserve"> </w:t>
      </w:r>
      <w:r w:rsidRPr="00AC6344" w:rsidR="00AC6344">
        <w:t xml:space="preserve">without </w:t>
      </w:r>
      <w:r w:rsidR="00903647">
        <w:t>having to</w:t>
      </w:r>
      <w:r w:rsidRPr="00AC6344" w:rsidR="00AC6344">
        <w:t xml:space="preserve"> modify th</w:t>
      </w:r>
      <w:r w:rsidR="00903647">
        <w:t>eir</w:t>
      </w:r>
      <w:r w:rsidRPr="00AC6344" w:rsidR="00AC6344">
        <w:t xml:space="preserve"> license</w:t>
      </w:r>
      <w:r w:rsidR="00903647">
        <w:t>s</w:t>
      </w:r>
      <w:r w:rsidRPr="00AC6344" w:rsidR="00AC6344">
        <w:t xml:space="preserve"> to cover </w:t>
      </w:r>
      <w:r w:rsidR="004D11B6">
        <w:t>the</w:t>
      </w:r>
      <w:r w:rsidRPr="00AC6344" w:rsidR="00AC6344">
        <w:t xml:space="preserve"> new location.</w:t>
      </w:r>
      <w:r>
        <w:rPr>
          <w:rStyle w:val="FootnoteReference"/>
          <w:szCs w:val="22"/>
        </w:rPr>
        <w:footnoteReference w:id="6"/>
      </w:r>
    </w:p>
    <w:p w:rsidR="00AC6344" w:rsidP="006947C1">
      <w:pPr>
        <w:pStyle w:val="ParaNum"/>
        <w:numPr>
          <w:ilvl w:val="0"/>
          <w:numId w:val="0"/>
        </w:numPr>
        <w:ind w:firstLine="720"/>
      </w:pPr>
      <w:r>
        <w:t>We can create I</w:t>
      </w:r>
      <w:r>
        <w:t xml:space="preserve">nnovation </w:t>
      </w:r>
      <w:r>
        <w:t>Z</w:t>
      </w:r>
      <w:r>
        <w:t>one</w:t>
      </w:r>
      <w:r>
        <w:t xml:space="preserve">s </w:t>
      </w:r>
      <w:r w:rsidRPr="00AC6344">
        <w:t xml:space="preserve">in response to a </w:t>
      </w:r>
      <w:r>
        <w:t xml:space="preserve">particular </w:t>
      </w:r>
      <w:r w:rsidRPr="00AC6344">
        <w:t>request</w:t>
      </w:r>
      <w:r>
        <w:t xml:space="preserve"> as well as on our</w:t>
      </w:r>
      <w:r w:rsidRPr="00AC6344">
        <w:t xml:space="preserve"> own motion.  </w:t>
      </w:r>
      <w:r w:rsidR="00640CCD">
        <w:t xml:space="preserve">We are using </w:t>
      </w:r>
      <w:r w:rsidR="0044518C">
        <w:t>OET</w:t>
      </w:r>
      <w:r w:rsidR="001D3D11">
        <w:t>’s</w:t>
      </w:r>
      <w:r w:rsidR="0044518C">
        <w:t xml:space="preserve"> </w:t>
      </w:r>
      <w:r w:rsidR="00227C98">
        <w:t xml:space="preserve">Experiments System webpage </w:t>
      </w:r>
      <w:r w:rsidR="00640CCD">
        <w:t>to post the Innovation Zone designations</w:t>
      </w:r>
      <w:r w:rsidRPr="00AC6344">
        <w:t xml:space="preserve"> </w:t>
      </w:r>
      <w:r w:rsidR="00640CCD">
        <w:t xml:space="preserve">and </w:t>
      </w:r>
      <w:r w:rsidRPr="00AC6344">
        <w:t xml:space="preserve">detail the </w:t>
      </w:r>
      <w:r w:rsidR="00640CCD">
        <w:t xml:space="preserve">guidelines we have established for each particular zone – including the </w:t>
      </w:r>
      <w:r w:rsidRPr="00AC6344">
        <w:t xml:space="preserve">specific geographic area(s) </w:t>
      </w:r>
      <w:r w:rsidR="00640CCD">
        <w:t>we have designated</w:t>
      </w:r>
      <w:r w:rsidRPr="00AC6344">
        <w:t xml:space="preserve"> and </w:t>
      </w:r>
      <w:r w:rsidR="00640CCD">
        <w:t>applicable</w:t>
      </w:r>
      <w:r w:rsidRPr="00AC6344">
        <w:t xml:space="preserve"> technical parameters, such as frequency bands and power limits.</w:t>
      </w:r>
      <w:r>
        <w:rPr>
          <w:rStyle w:val="FootnoteReference"/>
          <w:szCs w:val="22"/>
        </w:rPr>
        <w:footnoteReference w:id="7"/>
      </w:r>
      <w:r w:rsidRPr="00AC6344">
        <w:t xml:space="preserve">  </w:t>
      </w:r>
      <w:r w:rsidR="00227C98">
        <w:t>Those wishing to test in an Innovation Zone must meet the Program License eligibility requirements</w:t>
      </w:r>
      <w:r w:rsidR="009F5740">
        <w:t>,</w:t>
      </w:r>
      <w:r w:rsidR="00227C98">
        <w:t xml:space="preserve"> hold an existing Program License</w:t>
      </w:r>
      <w:r w:rsidR="009F5740">
        <w:t xml:space="preserve"> and operate in accordance with the geographic areas and technical limits detailed herein</w:t>
      </w:r>
      <w:r w:rsidR="00227C98">
        <w:t>.</w:t>
      </w:r>
      <w:r>
        <w:rPr>
          <w:rStyle w:val="FootnoteReference"/>
          <w:szCs w:val="22"/>
        </w:rPr>
        <w:footnoteReference w:id="8"/>
      </w:r>
      <w:r w:rsidR="003E342C">
        <w:t xml:space="preserve">  Prior to operating in an Innovation Zone, </w:t>
      </w:r>
      <w:r w:rsidR="001B724A">
        <w:t xml:space="preserve">details for each </w:t>
      </w:r>
      <w:r w:rsidR="003E342C">
        <w:t>Program License</w:t>
      </w:r>
      <w:r w:rsidR="006A1C8E">
        <w:t>e</w:t>
      </w:r>
      <w:r w:rsidR="003E342C">
        <w:t xml:space="preserve">  experiment  will be posted to the FCC webpage as described below.  This posting will implement the Program License rules procedures that require notification of intended operations so that all nearby licensees and federal users</w:t>
      </w:r>
      <w:r w:rsidR="00DC672A">
        <w:t xml:space="preserve"> have full knowledge of operations in an area.  Program licensees must still meet the requirement to </w:t>
      </w:r>
      <w:r w:rsidRPr="00162EED" w:rsidR="00DC672A">
        <w:t>wait 10-days prior to beginning tests on spectrum allocated exclusively for non-federal use and 15-days when using spectrum allocated for federal use including shared non-federal/federal use</w:t>
      </w:r>
      <w:r w:rsidR="00DC672A">
        <w:t xml:space="preserve">. </w:t>
      </w:r>
      <w:r w:rsidR="00227C98">
        <w:t xml:space="preserve">  </w:t>
      </w:r>
      <w:r w:rsidR="00F905A5">
        <w:t xml:space="preserve">Finally, as detailed below, the PAWR </w:t>
      </w:r>
      <w:r w:rsidR="004B4FCE">
        <w:t>Project O</w:t>
      </w:r>
      <w:r w:rsidR="00F905A5">
        <w:t>ffice will serve as a frequency coordinator for these Innovation Zones; operation may not commence without prior coordinating through that office.</w:t>
      </w:r>
      <w:r>
        <w:rPr>
          <w:rStyle w:val="FootnoteReference"/>
          <w:szCs w:val="22"/>
        </w:rPr>
        <w:footnoteReference w:id="9"/>
      </w:r>
    </w:p>
    <w:p w:rsidR="00AC6344" w:rsidRPr="00AC6344" w:rsidP="006947C1">
      <w:pPr>
        <w:pStyle w:val="PlainText"/>
        <w:spacing w:after="120"/>
        <w:rPr>
          <w:rFonts w:ascii="Times New Roman" w:hAnsi="Times New Roman"/>
          <w:b/>
          <w:sz w:val="22"/>
          <w:szCs w:val="22"/>
        </w:rPr>
      </w:pPr>
      <w:r>
        <w:rPr>
          <w:rFonts w:ascii="Times New Roman" w:hAnsi="Times New Roman"/>
          <w:b/>
          <w:sz w:val="22"/>
          <w:szCs w:val="22"/>
        </w:rPr>
        <w:t>New York City Innovation Zone</w:t>
      </w:r>
    </w:p>
    <w:p w:rsidR="00C27533" w:rsidRPr="00C27533" w:rsidP="006947C1">
      <w:pPr>
        <w:pStyle w:val="PlainText"/>
        <w:spacing w:after="120"/>
        <w:rPr>
          <w:rFonts w:ascii="Times New Roman" w:hAnsi="Times New Roman"/>
          <w:sz w:val="22"/>
          <w:szCs w:val="22"/>
          <w:u w:val="single"/>
        </w:rPr>
      </w:pPr>
      <w:r w:rsidRPr="00C27533">
        <w:rPr>
          <w:rFonts w:ascii="Times New Roman" w:hAnsi="Times New Roman"/>
          <w:sz w:val="22"/>
          <w:szCs w:val="22"/>
          <w:u w:val="single"/>
        </w:rPr>
        <w:t>Location:</w:t>
      </w:r>
    </w:p>
    <w:p w:rsidR="00B84C81" w:rsidP="006947C1">
      <w:pPr>
        <w:pStyle w:val="PlainText"/>
        <w:spacing w:after="120"/>
        <w:rPr>
          <w:rFonts w:ascii="Times New Roman" w:hAnsi="Times New Roman"/>
          <w:sz w:val="22"/>
          <w:szCs w:val="22"/>
        </w:rPr>
      </w:pPr>
      <w:r>
        <w:rPr>
          <w:rFonts w:ascii="Times New Roman" w:hAnsi="Times New Roman"/>
          <w:sz w:val="22"/>
          <w:szCs w:val="22"/>
        </w:rPr>
        <w:t xml:space="preserve">The New York City Innovation Zone will encompass </w:t>
      </w:r>
      <w:r w:rsidR="00C27533">
        <w:rPr>
          <w:rFonts w:ascii="Times New Roman" w:hAnsi="Times New Roman"/>
          <w:sz w:val="22"/>
          <w:szCs w:val="22"/>
        </w:rPr>
        <w:t xml:space="preserve">just under a tenth of a square mile in </w:t>
      </w:r>
      <w:r>
        <w:rPr>
          <w:rFonts w:ascii="Times New Roman" w:hAnsi="Times New Roman"/>
          <w:sz w:val="22"/>
          <w:szCs w:val="22"/>
        </w:rPr>
        <w:t>Manhattan bounded by W 123</w:t>
      </w:r>
      <w:r w:rsidRPr="00B84C81">
        <w:rPr>
          <w:rFonts w:ascii="Times New Roman" w:hAnsi="Times New Roman"/>
          <w:sz w:val="22"/>
          <w:szCs w:val="22"/>
          <w:vertAlign w:val="superscript"/>
        </w:rPr>
        <w:t>rd</w:t>
      </w:r>
      <w:r>
        <w:rPr>
          <w:rFonts w:ascii="Times New Roman" w:hAnsi="Times New Roman"/>
          <w:sz w:val="22"/>
          <w:szCs w:val="22"/>
        </w:rPr>
        <w:t xml:space="preserve"> Street on the south, Amsterdam Avenue to the east, W 134</w:t>
      </w:r>
      <w:r w:rsidRPr="00B84C81">
        <w:rPr>
          <w:rFonts w:ascii="Times New Roman" w:hAnsi="Times New Roman"/>
          <w:sz w:val="22"/>
          <w:szCs w:val="22"/>
          <w:vertAlign w:val="superscript"/>
        </w:rPr>
        <w:t>th</w:t>
      </w:r>
      <w:r>
        <w:rPr>
          <w:rFonts w:ascii="Times New Roman" w:hAnsi="Times New Roman"/>
          <w:sz w:val="22"/>
          <w:szCs w:val="22"/>
        </w:rPr>
        <w:t xml:space="preserve"> Street to the north and Broadway to the west.</w:t>
      </w:r>
      <w:r w:rsidR="000F382F">
        <w:rPr>
          <w:rFonts w:ascii="Times New Roman" w:hAnsi="Times New Roman"/>
          <w:sz w:val="22"/>
          <w:szCs w:val="22"/>
        </w:rPr>
        <w:t xml:space="preserve"> </w:t>
      </w:r>
    </w:p>
    <w:p w:rsidR="00C27533" w:rsidRPr="00C27533" w:rsidP="006947C1">
      <w:pPr>
        <w:pStyle w:val="PlainText"/>
        <w:spacing w:after="120"/>
        <w:rPr>
          <w:rFonts w:ascii="Times New Roman" w:hAnsi="Times New Roman"/>
          <w:sz w:val="22"/>
          <w:szCs w:val="22"/>
          <w:u w:val="single"/>
        </w:rPr>
      </w:pPr>
      <w:r w:rsidRPr="00C27533">
        <w:rPr>
          <w:rFonts w:ascii="Times New Roman" w:hAnsi="Times New Roman"/>
          <w:sz w:val="22"/>
          <w:szCs w:val="22"/>
          <w:u w:val="single"/>
        </w:rPr>
        <w:t>Technical Limits</w:t>
      </w:r>
      <w:r w:rsidR="005B6BC4">
        <w:rPr>
          <w:rFonts w:ascii="Times New Roman" w:hAnsi="Times New Roman"/>
          <w:sz w:val="22"/>
          <w:szCs w:val="22"/>
          <w:u w:val="single"/>
        </w:rPr>
        <w:t xml:space="preserve"> and Band Information</w:t>
      </w:r>
      <w:r w:rsidRPr="00C27533">
        <w:rPr>
          <w:rFonts w:ascii="Times New Roman" w:hAnsi="Times New Roman"/>
          <w:sz w:val="22"/>
          <w:szCs w:val="22"/>
          <w:u w:val="single"/>
        </w:rPr>
        <w:t>:</w:t>
      </w:r>
    </w:p>
    <w:p w:rsidR="00C27533" w:rsidP="006947C1">
      <w:pPr>
        <w:pStyle w:val="ParaNum"/>
        <w:numPr>
          <w:ilvl w:val="0"/>
          <w:numId w:val="0"/>
        </w:numPr>
      </w:pPr>
      <w:r>
        <w:t xml:space="preserve">The allowable </w:t>
      </w:r>
      <w:r>
        <w:t xml:space="preserve">frequency bands, </w:t>
      </w:r>
      <w:r w:rsidR="00E26630">
        <w:t xml:space="preserve">radiated </w:t>
      </w:r>
      <w:r>
        <w:t>power limits, and operations are shown in the following table:</w:t>
      </w:r>
    </w:p>
    <w:p w:rsidR="00C27533" w:rsidP="00123DB0">
      <w:pPr>
        <w:pStyle w:val="PlainText"/>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728"/>
        <w:gridCol w:w="1728"/>
        <w:gridCol w:w="1728"/>
      </w:tblGrid>
      <w:tr w:rsidTr="0047033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872" w:type="dxa"/>
            <w:tcBorders>
              <w:top w:val="single" w:sz="12" w:space="0" w:color="auto"/>
              <w:left w:val="single" w:sz="12" w:space="0" w:color="auto"/>
              <w:bottom w:val="double" w:sz="4" w:space="0" w:color="auto"/>
            </w:tcBorders>
            <w:shd w:val="clear" w:color="auto" w:fill="auto"/>
          </w:tcPr>
          <w:p w:rsidR="00FE3794" w:rsidRPr="00562C99" w:rsidP="00FE3794">
            <w:pPr>
              <w:pStyle w:val="PlainText"/>
              <w:jc w:val="center"/>
              <w:rPr>
                <w:rFonts w:ascii="Times New Roman" w:hAnsi="Times New Roman"/>
                <w:sz w:val="22"/>
                <w:szCs w:val="22"/>
              </w:rPr>
            </w:pPr>
            <w:r w:rsidRPr="00562C99">
              <w:rPr>
                <w:rFonts w:ascii="Times New Roman" w:hAnsi="Times New Roman"/>
                <w:sz w:val="22"/>
                <w:szCs w:val="22"/>
              </w:rPr>
              <w:t>Frequency Band</w:t>
            </w:r>
          </w:p>
        </w:tc>
        <w:tc>
          <w:tcPr>
            <w:tcW w:w="1728" w:type="dxa"/>
            <w:tcBorders>
              <w:top w:val="single" w:sz="12" w:space="0" w:color="auto"/>
              <w:bottom w:val="double" w:sz="4" w:space="0" w:color="auto"/>
              <w:right w:val="single" w:sz="4" w:space="0" w:color="auto"/>
            </w:tcBorders>
            <w:shd w:val="clear" w:color="auto" w:fill="auto"/>
          </w:tcPr>
          <w:p w:rsidR="00FE3794" w:rsidRPr="00562C99" w:rsidP="00FE3794">
            <w:pPr>
              <w:pStyle w:val="PlainText"/>
              <w:jc w:val="center"/>
              <w:rPr>
                <w:rFonts w:ascii="Times New Roman" w:hAnsi="Times New Roman"/>
                <w:sz w:val="22"/>
                <w:szCs w:val="22"/>
              </w:rPr>
            </w:pPr>
            <w:r w:rsidRPr="00562C99">
              <w:rPr>
                <w:rFonts w:ascii="Times New Roman" w:hAnsi="Times New Roman"/>
                <w:sz w:val="22"/>
                <w:szCs w:val="22"/>
              </w:rPr>
              <w:t>Type of operation</w:t>
            </w:r>
          </w:p>
        </w:tc>
        <w:tc>
          <w:tcPr>
            <w:tcW w:w="1728" w:type="dxa"/>
            <w:tcBorders>
              <w:top w:val="single" w:sz="12" w:space="0" w:color="auto"/>
              <w:left w:val="single" w:sz="4" w:space="0" w:color="auto"/>
              <w:bottom w:val="double" w:sz="4" w:space="0" w:color="auto"/>
              <w:right w:val="single" w:sz="4" w:space="0" w:color="auto"/>
            </w:tcBorders>
            <w:shd w:val="clear" w:color="auto" w:fill="auto"/>
          </w:tcPr>
          <w:p w:rsidR="00FE3794" w:rsidRPr="00562C99" w:rsidP="00FE3794">
            <w:pPr>
              <w:pStyle w:val="PlainText"/>
              <w:jc w:val="center"/>
              <w:rPr>
                <w:rFonts w:ascii="Times New Roman" w:hAnsi="Times New Roman"/>
                <w:sz w:val="22"/>
                <w:szCs w:val="22"/>
              </w:rPr>
            </w:pPr>
            <w:r>
              <w:rPr>
                <w:rFonts w:ascii="Times New Roman" w:hAnsi="Times New Roman"/>
                <w:sz w:val="22"/>
                <w:szCs w:val="22"/>
              </w:rPr>
              <w:t>Allocation</w:t>
            </w:r>
          </w:p>
        </w:tc>
        <w:tc>
          <w:tcPr>
            <w:tcW w:w="1728" w:type="dxa"/>
            <w:tcBorders>
              <w:top w:val="single" w:sz="12" w:space="0" w:color="auto"/>
              <w:left w:val="single" w:sz="4" w:space="0" w:color="auto"/>
              <w:bottom w:val="double" w:sz="4" w:space="0" w:color="auto"/>
              <w:right w:val="single" w:sz="12" w:space="0" w:color="auto"/>
            </w:tcBorders>
            <w:shd w:val="clear" w:color="auto" w:fill="auto"/>
          </w:tcPr>
          <w:p w:rsidR="00FE3794" w:rsidP="00FE3794">
            <w:pPr>
              <w:pStyle w:val="PlainText"/>
              <w:jc w:val="center"/>
              <w:rPr>
                <w:rFonts w:ascii="Times New Roman" w:hAnsi="Times New Roman"/>
                <w:sz w:val="22"/>
                <w:szCs w:val="22"/>
              </w:rPr>
            </w:pPr>
            <w:r w:rsidRPr="00562C99">
              <w:rPr>
                <w:rFonts w:ascii="Times New Roman" w:hAnsi="Times New Roman"/>
                <w:sz w:val="22"/>
                <w:szCs w:val="22"/>
              </w:rPr>
              <w:t xml:space="preserve">Maximum </w:t>
            </w:r>
            <w:r>
              <w:rPr>
                <w:rFonts w:ascii="Times New Roman" w:hAnsi="Times New Roman"/>
                <w:sz w:val="22"/>
                <w:szCs w:val="22"/>
              </w:rPr>
              <w:t>EIRP</w:t>
            </w:r>
            <w:r w:rsidRPr="00562C99">
              <w:rPr>
                <w:rFonts w:ascii="Times New Roman" w:hAnsi="Times New Roman"/>
                <w:sz w:val="22"/>
                <w:szCs w:val="22"/>
              </w:rPr>
              <w:t xml:space="preserve"> (dBm)</w:t>
            </w:r>
          </w:p>
        </w:tc>
      </w:tr>
      <w:tr w:rsidTr="0047033B">
        <w:tblPrEx>
          <w:tblW w:w="0" w:type="auto"/>
          <w:jc w:val="center"/>
          <w:tblLook w:val="04A0"/>
        </w:tblPrEx>
        <w:trPr>
          <w:jc w:val="center"/>
        </w:trPr>
        <w:tc>
          <w:tcPr>
            <w:tcW w:w="1872" w:type="dxa"/>
            <w:tcBorders>
              <w:top w:val="double" w:sz="4" w:space="0" w:color="auto"/>
              <w:left w:val="single" w:sz="12" w:space="0" w:color="auto"/>
            </w:tcBorders>
            <w:shd w:val="clear" w:color="auto" w:fill="auto"/>
          </w:tcPr>
          <w:p w:rsidR="00FE3794" w:rsidRPr="00562C99" w:rsidP="00FE3794">
            <w:pPr>
              <w:pStyle w:val="PlainText"/>
              <w:jc w:val="center"/>
              <w:rPr>
                <w:rFonts w:ascii="Times New Roman" w:hAnsi="Times New Roman"/>
                <w:sz w:val="22"/>
                <w:szCs w:val="22"/>
              </w:rPr>
            </w:pPr>
            <w:r w:rsidRPr="00562C99">
              <w:rPr>
                <w:rFonts w:ascii="Times New Roman" w:hAnsi="Times New Roman"/>
                <w:sz w:val="22"/>
                <w:szCs w:val="22"/>
              </w:rPr>
              <w:t>2500-2690 MHz</w:t>
            </w:r>
          </w:p>
        </w:tc>
        <w:tc>
          <w:tcPr>
            <w:tcW w:w="1728" w:type="dxa"/>
            <w:tcBorders>
              <w:top w:val="double" w:sz="4" w:space="0" w:color="auto"/>
              <w:right w:val="single" w:sz="4" w:space="0" w:color="auto"/>
            </w:tcBorders>
            <w:shd w:val="clear" w:color="auto" w:fill="auto"/>
          </w:tcPr>
          <w:p w:rsidR="00FE3794" w:rsidRPr="00562C99" w:rsidP="00FE3794">
            <w:pPr>
              <w:pStyle w:val="PlainText"/>
              <w:jc w:val="center"/>
              <w:rPr>
                <w:rFonts w:ascii="Times New Roman" w:hAnsi="Times New Roman"/>
                <w:sz w:val="22"/>
                <w:szCs w:val="22"/>
              </w:rPr>
            </w:pPr>
            <w:r w:rsidRPr="00562C99">
              <w:rPr>
                <w:rFonts w:ascii="Times New Roman" w:hAnsi="Times New Roman"/>
                <w:sz w:val="22"/>
                <w:szCs w:val="22"/>
              </w:rPr>
              <w:t>Fixed</w:t>
            </w:r>
          </w:p>
        </w:tc>
        <w:tc>
          <w:tcPr>
            <w:tcW w:w="1728" w:type="dxa"/>
            <w:tcBorders>
              <w:top w:val="double" w:sz="4" w:space="0" w:color="auto"/>
              <w:left w:val="single" w:sz="4" w:space="0" w:color="auto"/>
              <w:right w:val="single" w:sz="4" w:space="0" w:color="auto"/>
            </w:tcBorders>
            <w:shd w:val="clear" w:color="auto" w:fill="auto"/>
          </w:tcPr>
          <w:p w:rsidR="00FE3794" w:rsidRPr="00562C99" w:rsidP="00FE3794">
            <w:pPr>
              <w:pStyle w:val="PlainText"/>
              <w:jc w:val="center"/>
              <w:rPr>
                <w:rFonts w:ascii="Times New Roman" w:hAnsi="Times New Roman"/>
                <w:sz w:val="22"/>
                <w:szCs w:val="22"/>
              </w:rPr>
            </w:pPr>
            <w:r>
              <w:rPr>
                <w:rFonts w:ascii="Times New Roman" w:hAnsi="Times New Roman"/>
                <w:sz w:val="22"/>
                <w:szCs w:val="22"/>
              </w:rPr>
              <w:t>Non-federal</w:t>
            </w:r>
          </w:p>
        </w:tc>
        <w:tc>
          <w:tcPr>
            <w:tcW w:w="1728" w:type="dxa"/>
            <w:tcBorders>
              <w:top w:val="double" w:sz="4" w:space="0" w:color="auto"/>
              <w:left w:val="single" w:sz="4" w:space="0" w:color="auto"/>
              <w:right w:val="single" w:sz="12" w:space="0" w:color="auto"/>
            </w:tcBorders>
            <w:shd w:val="clear" w:color="auto" w:fill="auto"/>
          </w:tcPr>
          <w:p w:rsidR="00FE3794" w:rsidP="00FE3794">
            <w:pPr>
              <w:pStyle w:val="PlainText"/>
              <w:jc w:val="center"/>
              <w:rPr>
                <w:rFonts w:ascii="Times New Roman" w:hAnsi="Times New Roman"/>
                <w:sz w:val="22"/>
                <w:szCs w:val="22"/>
              </w:rPr>
            </w:pPr>
            <w:r w:rsidRPr="00562C99">
              <w:rPr>
                <w:rFonts w:ascii="Times New Roman" w:hAnsi="Times New Roman"/>
                <w:sz w:val="22"/>
                <w:szCs w:val="22"/>
              </w:rPr>
              <w:t>20</w:t>
            </w:r>
          </w:p>
        </w:tc>
      </w:tr>
      <w:tr w:rsidTr="0047033B">
        <w:tblPrEx>
          <w:tblW w:w="0" w:type="auto"/>
          <w:jc w:val="center"/>
          <w:tblLook w:val="04A0"/>
        </w:tblPrEx>
        <w:trPr>
          <w:jc w:val="center"/>
        </w:trPr>
        <w:tc>
          <w:tcPr>
            <w:tcW w:w="1872" w:type="dxa"/>
            <w:tcBorders>
              <w:left w:val="single" w:sz="12" w:space="0" w:color="auto"/>
            </w:tcBorders>
            <w:shd w:val="clear" w:color="auto" w:fill="auto"/>
          </w:tcPr>
          <w:p w:rsidR="00FE3794" w:rsidRPr="00562C99" w:rsidP="00FE3794">
            <w:pPr>
              <w:pStyle w:val="PlainText"/>
              <w:jc w:val="center"/>
              <w:rPr>
                <w:rFonts w:ascii="Times New Roman" w:hAnsi="Times New Roman"/>
                <w:sz w:val="22"/>
                <w:szCs w:val="22"/>
              </w:rPr>
            </w:pPr>
            <w:r w:rsidRPr="00562C99">
              <w:rPr>
                <w:rFonts w:ascii="Times New Roman" w:hAnsi="Times New Roman"/>
                <w:sz w:val="22"/>
                <w:szCs w:val="22"/>
              </w:rPr>
              <w:t>3700-4200 MHz</w:t>
            </w:r>
          </w:p>
        </w:tc>
        <w:tc>
          <w:tcPr>
            <w:tcW w:w="1728" w:type="dxa"/>
            <w:tcBorders>
              <w:right w:val="single" w:sz="4" w:space="0" w:color="auto"/>
            </w:tcBorders>
            <w:shd w:val="clear" w:color="auto" w:fill="auto"/>
          </w:tcPr>
          <w:p w:rsidR="00FE3794" w:rsidRPr="00562C99" w:rsidP="00FE3794">
            <w:pPr>
              <w:pStyle w:val="PlainText"/>
              <w:jc w:val="center"/>
              <w:rPr>
                <w:rFonts w:ascii="Times New Roman" w:hAnsi="Times New Roman"/>
                <w:sz w:val="22"/>
                <w:szCs w:val="22"/>
              </w:rPr>
            </w:pPr>
            <w:r w:rsidRPr="00562C99">
              <w:rPr>
                <w:rFonts w:ascii="Times New Roman" w:hAnsi="Times New Roman"/>
                <w:sz w:val="22"/>
                <w:szCs w:val="22"/>
              </w:rPr>
              <w:t>Mobile</w:t>
            </w:r>
          </w:p>
        </w:tc>
        <w:tc>
          <w:tcPr>
            <w:tcW w:w="1728" w:type="dxa"/>
            <w:tcBorders>
              <w:left w:val="single" w:sz="4" w:space="0" w:color="auto"/>
              <w:right w:val="single" w:sz="4" w:space="0" w:color="auto"/>
            </w:tcBorders>
            <w:shd w:val="clear" w:color="auto" w:fill="auto"/>
          </w:tcPr>
          <w:p w:rsidR="00FE3794" w:rsidRPr="00562C99" w:rsidP="00FE3794">
            <w:pPr>
              <w:pStyle w:val="PlainText"/>
              <w:jc w:val="center"/>
              <w:rPr>
                <w:rFonts w:ascii="Times New Roman" w:hAnsi="Times New Roman"/>
                <w:sz w:val="22"/>
                <w:szCs w:val="22"/>
              </w:rPr>
            </w:pPr>
            <w:r>
              <w:rPr>
                <w:rFonts w:ascii="Times New Roman" w:hAnsi="Times New Roman"/>
                <w:sz w:val="22"/>
                <w:szCs w:val="22"/>
              </w:rPr>
              <w:t>Non-federal</w:t>
            </w:r>
          </w:p>
        </w:tc>
        <w:tc>
          <w:tcPr>
            <w:tcW w:w="1728" w:type="dxa"/>
            <w:tcBorders>
              <w:left w:val="single" w:sz="4" w:space="0" w:color="auto"/>
              <w:right w:val="single" w:sz="12" w:space="0" w:color="auto"/>
            </w:tcBorders>
            <w:shd w:val="clear" w:color="auto" w:fill="auto"/>
          </w:tcPr>
          <w:p w:rsidR="00FE3794" w:rsidP="00FE3794">
            <w:pPr>
              <w:pStyle w:val="PlainText"/>
              <w:jc w:val="center"/>
              <w:rPr>
                <w:rFonts w:ascii="Times New Roman" w:hAnsi="Times New Roman"/>
                <w:sz w:val="22"/>
                <w:szCs w:val="22"/>
              </w:rPr>
            </w:pPr>
            <w:r w:rsidRPr="00562C99">
              <w:rPr>
                <w:rFonts w:ascii="Times New Roman" w:hAnsi="Times New Roman"/>
                <w:sz w:val="22"/>
                <w:szCs w:val="22"/>
              </w:rPr>
              <w:t>20</w:t>
            </w:r>
          </w:p>
        </w:tc>
      </w:tr>
      <w:tr w:rsidTr="0047033B">
        <w:tblPrEx>
          <w:tblW w:w="0" w:type="auto"/>
          <w:jc w:val="center"/>
          <w:tblLook w:val="04A0"/>
        </w:tblPrEx>
        <w:trPr>
          <w:jc w:val="center"/>
        </w:trPr>
        <w:tc>
          <w:tcPr>
            <w:tcW w:w="1872" w:type="dxa"/>
            <w:tcBorders>
              <w:left w:val="single" w:sz="12" w:space="0" w:color="auto"/>
            </w:tcBorders>
            <w:shd w:val="clear" w:color="auto" w:fill="auto"/>
          </w:tcPr>
          <w:p w:rsidR="00FE3794" w:rsidRPr="00562C99" w:rsidP="00FE3794">
            <w:pPr>
              <w:pStyle w:val="PlainText"/>
              <w:jc w:val="center"/>
              <w:rPr>
                <w:rFonts w:ascii="Times New Roman" w:hAnsi="Times New Roman"/>
                <w:sz w:val="22"/>
                <w:szCs w:val="22"/>
              </w:rPr>
            </w:pPr>
            <w:r w:rsidRPr="00562C99">
              <w:rPr>
                <w:rFonts w:ascii="Times New Roman" w:hAnsi="Times New Roman"/>
                <w:sz w:val="22"/>
                <w:szCs w:val="22"/>
              </w:rPr>
              <w:t>5850-5925 MHz</w:t>
            </w:r>
          </w:p>
        </w:tc>
        <w:tc>
          <w:tcPr>
            <w:tcW w:w="1728" w:type="dxa"/>
            <w:tcBorders>
              <w:right w:val="single" w:sz="4" w:space="0" w:color="auto"/>
            </w:tcBorders>
            <w:shd w:val="clear" w:color="auto" w:fill="auto"/>
          </w:tcPr>
          <w:p w:rsidR="00FE3794" w:rsidRPr="00562C99" w:rsidP="00FE3794">
            <w:pPr>
              <w:pStyle w:val="PlainText"/>
              <w:jc w:val="center"/>
              <w:rPr>
                <w:rFonts w:ascii="Times New Roman" w:hAnsi="Times New Roman"/>
                <w:sz w:val="22"/>
                <w:szCs w:val="22"/>
              </w:rPr>
            </w:pPr>
            <w:r w:rsidRPr="00562C99">
              <w:rPr>
                <w:rFonts w:ascii="Times New Roman" w:hAnsi="Times New Roman"/>
                <w:sz w:val="22"/>
                <w:szCs w:val="22"/>
              </w:rPr>
              <w:t>Mobile</w:t>
            </w:r>
          </w:p>
        </w:tc>
        <w:tc>
          <w:tcPr>
            <w:tcW w:w="1728" w:type="dxa"/>
            <w:tcBorders>
              <w:left w:val="single" w:sz="4" w:space="0" w:color="auto"/>
              <w:right w:val="single" w:sz="4" w:space="0" w:color="auto"/>
            </w:tcBorders>
            <w:shd w:val="clear" w:color="auto" w:fill="auto"/>
          </w:tcPr>
          <w:p w:rsidR="00FE3794" w:rsidRPr="00562C99" w:rsidP="00FE3794">
            <w:pPr>
              <w:pStyle w:val="PlainText"/>
              <w:jc w:val="center"/>
              <w:rPr>
                <w:rFonts w:ascii="Times New Roman" w:hAnsi="Times New Roman"/>
                <w:sz w:val="22"/>
                <w:szCs w:val="22"/>
              </w:rPr>
            </w:pPr>
            <w:r>
              <w:rPr>
                <w:rFonts w:ascii="Times New Roman" w:hAnsi="Times New Roman"/>
                <w:sz w:val="22"/>
                <w:szCs w:val="22"/>
              </w:rPr>
              <w:t>Shared</w:t>
            </w:r>
          </w:p>
        </w:tc>
        <w:tc>
          <w:tcPr>
            <w:tcW w:w="1728" w:type="dxa"/>
            <w:tcBorders>
              <w:left w:val="single" w:sz="4" w:space="0" w:color="auto"/>
              <w:right w:val="single" w:sz="12" w:space="0" w:color="auto"/>
            </w:tcBorders>
            <w:shd w:val="clear" w:color="auto" w:fill="auto"/>
          </w:tcPr>
          <w:p w:rsidR="00FE3794" w:rsidP="00FE3794">
            <w:pPr>
              <w:pStyle w:val="PlainText"/>
              <w:jc w:val="center"/>
              <w:rPr>
                <w:rFonts w:ascii="Times New Roman" w:hAnsi="Times New Roman"/>
                <w:sz w:val="22"/>
                <w:szCs w:val="22"/>
              </w:rPr>
            </w:pPr>
            <w:r w:rsidRPr="00562C99">
              <w:rPr>
                <w:rFonts w:ascii="Times New Roman" w:hAnsi="Times New Roman"/>
                <w:sz w:val="22"/>
                <w:szCs w:val="22"/>
              </w:rPr>
              <w:t>20</w:t>
            </w:r>
          </w:p>
        </w:tc>
      </w:tr>
      <w:tr w:rsidTr="0047033B">
        <w:tblPrEx>
          <w:tblW w:w="0" w:type="auto"/>
          <w:jc w:val="center"/>
          <w:tblLook w:val="04A0"/>
        </w:tblPrEx>
        <w:trPr>
          <w:jc w:val="center"/>
        </w:trPr>
        <w:tc>
          <w:tcPr>
            <w:tcW w:w="1872" w:type="dxa"/>
            <w:tcBorders>
              <w:left w:val="single" w:sz="12" w:space="0" w:color="auto"/>
            </w:tcBorders>
            <w:shd w:val="clear" w:color="auto" w:fill="auto"/>
          </w:tcPr>
          <w:p w:rsidR="00FE3794" w:rsidRPr="00562C99" w:rsidP="00FE3794">
            <w:pPr>
              <w:pStyle w:val="PlainText"/>
              <w:jc w:val="center"/>
              <w:rPr>
                <w:rFonts w:ascii="Times New Roman" w:hAnsi="Times New Roman"/>
                <w:sz w:val="22"/>
                <w:szCs w:val="22"/>
              </w:rPr>
            </w:pPr>
            <w:r>
              <w:rPr>
                <w:rFonts w:ascii="Times New Roman" w:hAnsi="Times New Roman"/>
                <w:sz w:val="22"/>
                <w:szCs w:val="22"/>
              </w:rPr>
              <w:t>5925-7125 MHz</w:t>
            </w:r>
          </w:p>
        </w:tc>
        <w:tc>
          <w:tcPr>
            <w:tcW w:w="1728" w:type="dxa"/>
            <w:tcBorders>
              <w:right w:val="single" w:sz="4" w:space="0" w:color="auto"/>
            </w:tcBorders>
            <w:shd w:val="clear" w:color="auto" w:fill="auto"/>
          </w:tcPr>
          <w:p w:rsidR="00FE3794" w:rsidRPr="00562C99" w:rsidP="00FE3794">
            <w:pPr>
              <w:pStyle w:val="PlainText"/>
              <w:jc w:val="center"/>
              <w:rPr>
                <w:rFonts w:ascii="Times New Roman" w:hAnsi="Times New Roman"/>
                <w:sz w:val="22"/>
                <w:szCs w:val="22"/>
              </w:rPr>
            </w:pPr>
            <w:r>
              <w:rPr>
                <w:rFonts w:ascii="Times New Roman" w:hAnsi="Times New Roman"/>
                <w:sz w:val="22"/>
                <w:szCs w:val="22"/>
              </w:rPr>
              <w:t>Fixed &amp; Mobile</w:t>
            </w:r>
          </w:p>
        </w:tc>
        <w:tc>
          <w:tcPr>
            <w:tcW w:w="1728" w:type="dxa"/>
            <w:tcBorders>
              <w:left w:val="single" w:sz="4" w:space="0" w:color="auto"/>
              <w:right w:val="single" w:sz="4" w:space="0" w:color="auto"/>
            </w:tcBorders>
            <w:shd w:val="clear" w:color="auto" w:fill="auto"/>
          </w:tcPr>
          <w:p w:rsidR="00FE3794" w:rsidP="00FE3794">
            <w:pPr>
              <w:pStyle w:val="PlainText"/>
              <w:jc w:val="center"/>
              <w:rPr>
                <w:rFonts w:ascii="Times New Roman" w:hAnsi="Times New Roman"/>
                <w:sz w:val="22"/>
                <w:szCs w:val="22"/>
              </w:rPr>
            </w:pPr>
            <w:r>
              <w:rPr>
                <w:rFonts w:ascii="Times New Roman" w:hAnsi="Times New Roman"/>
                <w:sz w:val="22"/>
                <w:szCs w:val="22"/>
              </w:rPr>
              <w:t>Non-federal</w:t>
            </w:r>
          </w:p>
        </w:tc>
        <w:tc>
          <w:tcPr>
            <w:tcW w:w="1728" w:type="dxa"/>
            <w:tcBorders>
              <w:left w:val="single" w:sz="4" w:space="0" w:color="auto"/>
              <w:right w:val="single" w:sz="12" w:space="0" w:color="auto"/>
            </w:tcBorders>
            <w:shd w:val="clear" w:color="auto" w:fill="auto"/>
          </w:tcPr>
          <w:p w:rsidR="00FE3794" w:rsidRPr="00562C99" w:rsidP="00FE3794">
            <w:pPr>
              <w:pStyle w:val="PlainText"/>
              <w:jc w:val="center"/>
              <w:rPr>
                <w:rFonts w:ascii="Times New Roman" w:hAnsi="Times New Roman"/>
                <w:sz w:val="22"/>
                <w:szCs w:val="22"/>
              </w:rPr>
            </w:pPr>
            <w:r>
              <w:rPr>
                <w:rFonts w:ascii="Times New Roman" w:hAnsi="Times New Roman"/>
                <w:sz w:val="22"/>
                <w:szCs w:val="22"/>
              </w:rPr>
              <w:t>20</w:t>
            </w:r>
          </w:p>
        </w:tc>
      </w:tr>
      <w:tr w:rsidTr="0047033B">
        <w:tblPrEx>
          <w:tblW w:w="0" w:type="auto"/>
          <w:jc w:val="center"/>
          <w:tblLook w:val="04A0"/>
        </w:tblPrEx>
        <w:trPr>
          <w:jc w:val="center"/>
        </w:trPr>
        <w:tc>
          <w:tcPr>
            <w:tcW w:w="1872" w:type="dxa"/>
            <w:tcBorders>
              <w:left w:val="single" w:sz="12" w:space="0" w:color="auto"/>
              <w:bottom w:val="single" w:sz="4" w:space="0" w:color="auto"/>
            </w:tcBorders>
            <w:shd w:val="clear" w:color="auto" w:fill="auto"/>
          </w:tcPr>
          <w:p w:rsidR="00FE3794" w:rsidRPr="00562C99" w:rsidP="00FE3794">
            <w:pPr>
              <w:pStyle w:val="PlainText"/>
              <w:jc w:val="center"/>
              <w:rPr>
                <w:rFonts w:ascii="Times New Roman" w:hAnsi="Times New Roman"/>
                <w:sz w:val="22"/>
                <w:szCs w:val="22"/>
              </w:rPr>
            </w:pPr>
            <w:r w:rsidRPr="00562C99">
              <w:rPr>
                <w:rFonts w:ascii="Times New Roman" w:hAnsi="Times New Roman"/>
                <w:sz w:val="22"/>
                <w:szCs w:val="22"/>
              </w:rPr>
              <w:t>27.5-28.35 GHz</w:t>
            </w:r>
          </w:p>
        </w:tc>
        <w:tc>
          <w:tcPr>
            <w:tcW w:w="1728" w:type="dxa"/>
            <w:tcBorders>
              <w:bottom w:val="single" w:sz="4" w:space="0" w:color="auto"/>
              <w:right w:val="single" w:sz="4" w:space="0" w:color="auto"/>
            </w:tcBorders>
            <w:shd w:val="clear" w:color="auto" w:fill="auto"/>
          </w:tcPr>
          <w:p w:rsidR="00FE3794" w:rsidRPr="00562C99" w:rsidP="00FE3794">
            <w:pPr>
              <w:pStyle w:val="PlainText"/>
              <w:jc w:val="center"/>
              <w:rPr>
                <w:rFonts w:ascii="Times New Roman" w:hAnsi="Times New Roman"/>
                <w:sz w:val="22"/>
                <w:szCs w:val="22"/>
              </w:rPr>
            </w:pPr>
            <w:r w:rsidRPr="00562C99">
              <w:rPr>
                <w:rFonts w:ascii="Times New Roman" w:hAnsi="Times New Roman"/>
                <w:sz w:val="22"/>
                <w:szCs w:val="22"/>
              </w:rPr>
              <w:t>Fixed</w:t>
            </w:r>
          </w:p>
        </w:tc>
        <w:tc>
          <w:tcPr>
            <w:tcW w:w="1728" w:type="dxa"/>
            <w:tcBorders>
              <w:left w:val="single" w:sz="4" w:space="0" w:color="auto"/>
              <w:bottom w:val="single" w:sz="4" w:space="0" w:color="auto"/>
              <w:right w:val="single" w:sz="4" w:space="0" w:color="auto"/>
            </w:tcBorders>
            <w:shd w:val="clear" w:color="auto" w:fill="auto"/>
          </w:tcPr>
          <w:p w:rsidR="00FE3794" w:rsidRPr="00562C99" w:rsidP="00FE3794">
            <w:pPr>
              <w:pStyle w:val="PlainText"/>
              <w:jc w:val="center"/>
              <w:rPr>
                <w:rFonts w:ascii="Times New Roman" w:hAnsi="Times New Roman"/>
                <w:sz w:val="22"/>
                <w:szCs w:val="22"/>
              </w:rPr>
            </w:pPr>
            <w:r>
              <w:rPr>
                <w:rFonts w:ascii="Times New Roman" w:hAnsi="Times New Roman"/>
                <w:sz w:val="22"/>
                <w:szCs w:val="22"/>
              </w:rPr>
              <w:t>Non-federal</w:t>
            </w:r>
          </w:p>
        </w:tc>
        <w:tc>
          <w:tcPr>
            <w:tcW w:w="1728" w:type="dxa"/>
            <w:tcBorders>
              <w:left w:val="single" w:sz="4" w:space="0" w:color="auto"/>
              <w:bottom w:val="single" w:sz="4" w:space="0" w:color="auto"/>
              <w:right w:val="single" w:sz="12" w:space="0" w:color="auto"/>
            </w:tcBorders>
            <w:shd w:val="clear" w:color="auto" w:fill="auto"/>
          </w:tcPr>
          <w:p w:rsidR="00FE3794" w:rsidP="00FE3794">
            <w:pPr>
              <w:pStyle w:val="PlainText"/>
              <w:jc w:val="center"/>
              <w:rPr>
                <w:rFonts w:ascii="Times New Roman" w:hAnsi="Times New Roman"/>
                <w:sz w:val="22"/>
                <w:szCs w:val="22"/>
              </w:rPr>
            </w:pPr>
            <w:r w:rsidRPr="00562C99">
              <w:rPr>
                <w:rFonts w:ascii="Times New Roman" w:hAnsi="Times New Roman"/>
                <w:sz w:val="22"/>
                <w:szCs w:val="22"/>
              </w:rPr>
              <w:t>20</w:t>
            </w:r>
          </w:p>
        </w:tc>
      </w:tr>
      <w:tr w:rsidTr="0047033B">
        <w:tblPrEx>
          <w:tblW w:w="0" w:type="auto"/>
          <w:jc w:val="center"/>
          <w:tblLook w:val="04A0"/>
        </w:tblPrEx>
        <w:trPr>
          <w:jc w:val="center"/>
        </w:trPr>
        <w:tc>
          <w:tcPr>
            <w:tcW w:w="1872" w:type="dxa"/>
            <w:tcBorders>
              <w:left w:val="single" w:sz="12" w:space="0" w:color="auto"/>
              <w:bottom w:val="single" w:sz="12" w:space="0" w:color="auto"/>
            </w:tcBorders>
            <w:shd w:val="clear" w:color="auto" w:fill="auto"/>
          </w:tcPr>
          <w:p w:rsidR="00FE3794" w:rsidRPr="00562C99" w:rsidP="00FE3794">
            <w:pPr>
              <w:pStyle w:val="PlainText"/>
              <w:jc w:val="center"/>
              <w:rPr>
                <w:rFonts w:ascii="Times New Roman" w:hAnsi="Times New Roman"/>
                <w:sz w:val="22"/>
                <w:szCs w:val="22"/>
              </w:rPr>
            </w:pPr>
            <w:r w:rsidRPr="00562C99">
              <w:rPr>
                <w:rFonts w:ascii="Times New Roman" w:hAnsi="Times New Roman"/>
                <w:sz w:val="22"/>
                <w:szCs w:val="22"/>
              </w:rPr>
              <w:t>38.6-40.0 GHz</w:t>
            </w:r>
          </w:p>
        </w:tc>
        <w:tc>
          <w:tcPr>
            <w:tcW w:w="1728" w:type="dxa"/>
            <w:tcBorders>
              <w:bottom w:val="single" w:sz="12" w:space="0" w:color="auto"/>
              <w:right w:val="single" w:sz="4" w:space="0" w:color="auto"/>
            </w:tcBorders>
            <w:shd w:val="clear" w:color="auto" w:fill="auto"/>
          </w:tcPr>
          <w:p w:rsidR="00FE3794" w:rsidRPr="00562C99" w:rsidP="00FE3794">
            <w:pPr>
              <w:pStyle w:val="PlainText"/>
              <w:jc w:val="center"/>
              <w:rPr>
                <w:rFonts w:ascii="Times New Roman" w:hAnsi="Times New Roman"/>
                <w:sz w:val="22"/>
                <w:szCs w:val="22"/>
              </w:rPr>
            </w:pPr>
            <w:r w:rsidRPr="00562C99">
              <w:rPr>
                <w:rFonts w:ascii="Times New Roman" w:hAnsi="Times New Roman"/>
                <w:sz w:val="22"/>
                <w:szCs w:val="22"/>
              </w:rPr>
              <w:t>Fixed</w:t>
            </w:r>
          </w:p>
        </w:tc>
        <w:tc>
          <w:tcPr>
            <w:tcW w:w="1728" w:type="dxa"/>
            <w:tcBorders>
              <w:left w:val="single" w:sz="4" w:space="0" w:color="auto"/>
              <w:bottom w:val="single" w:sz="12" w:space="0" w:color="auto"/>
              <w:right w:val="single" w:sz="4" w:space="0" w:color="auto"/>
            </w:tcBorders>
            <w:shd w:val="clear" w:color="auto" w:fill="auto"/>
          </w:tcPr>
          <w:p w:rsidR="00FE3794" w:rsidRPr="00562C99" w:rsidP="00FE3794">
            <w:pPr>
              <w:pStyle w:val="PlainText"/>
              <w:jc w:val="center"/>
              <w:rPr>
                <w:rFonts w:ascii="Times New Roman" w:hAnsi="Times New Roman"/>
                <w:sz w:val="22"/>
                <w:szCs w:val="22"/>
              </w:rPr>
            </w:pPr>
            <w:r>
              <w:rPr>
                <w:rFonts w:ascii="Times New Roman" w:hAnsi="Times New Roman"/>
                <w:sz w:val="22"/>
                <w:szCs w:val="22"/>
              </w:rPr>
              <w:t>Non-federal</w:t>
            </w:r>
          </w:p>
        </w:tc>
        <w:tc>
          <w:tcPr>
            <w:tcW w:w="1728" w:type="dxa"/>
            <w:tcBorders>
              <w:left w:val="single" w:sz="4" w:space="0" w:color="auto"/>
              <w:bottom w:val="single" w:sz="12" w:space="0" w:color="auto"/>
              <w:right w:val="single" w:sz="12" w:space="0" w:color="auto"/>
            </w:tcBorders>
            <w:shd w:val="clear" w:color="auto" w:fill="auto"/>
          </w:tcPr>
          <w:p w:rsidR="00FE3794" w:rsidP="00FE3794">
            <w:pPr>
              <w:pStyle w:val="PlainText"/>
              <w:jc w:val="center"/>
              <w:rPr>
                <w:rFonts w:ascii="Times New Roman" w:hAnsi="Times New Roman"/>
                <w:sz w:val="22"/>
                <w:szCs w:val="22"/>
              </w:rPr>
            </w:pPr>
            <w:r w:rsidRPr="00562C99">
              <w:rPr>
                <w:rFonts w:ascii="Times New Roman" w:hAnsi="Times New Roman"/>
                <w:sz w:val="22"/>
                <w:szCs w:val="22"/>
              </w:rPr>
              <w:t>20</w:t>
            </w:r>
          </w:p>
        </w:tc>
      </w:tr>
    </w:tbl>
    <w:p w:rsidR="00AC6344" w:rsidP="00123DB0">
      <w:pPr>
        <w:pStyle w:val="PlainText"/>
        <w:rPr>
          <w:rFonts w:ascii="Times New Roman" w:hAnsi="Times New Roman"/>
          <w:sz w:val="22"/>
          <w:szCs w:val="22"/>
        </w:rPr>
      </w:pPr>
    </w:p>
    <w:p w:rsidR="00AC6344" w:rsidRPr="00AC6344" w:rsidP="006947C1">
      <w:pPr>
        <w:pStyle w:val="PlainText"/>
        <w:spacing w:after="120"/>
        <w:rPr>
          <w:rFonts w:ascii="Times New Roman" w:hAnsi="Times New Roman"/>
          <w:b/>
          <w:sz w:val="22"/>
          <w:szCs w:val="22"/>
        </w:rPr>
      </w:pPr>
      <w:r>
        <w:rPr>
          <w:rFonts w:ascii="Times New Roman" w:hAnsi="Times New Roman"/>
          <w:b/>
          <w:sz w:val="22"/>
          <w:szCs w:val="22"/>
        </w:rPr>
        <w:t>Salt Lake City Innovation Zone</w:t>
      </w:r>
    </w:p>
    <w:p w:rsidR="009E2503" w:rsidRPr="009E2503" w:rsidP="006947C1">
      <w:pPr>
        <w:pStyle w:val="PlainText"/>
        <w:spacing w:after="120"/>
        <w:rPr>
          <w:rFonts w:ascii="Times New Roman" w:hAnsi="Times New Roman"/>
          <w:sz w:val="22"/>
          <w:szCs w:val="22"/>
          <w:u w:val="single"/>
        </w:rPr>
      </w:pPr>
      <w:r w:rsidRPr="009E2503">
        <w:rPr>
          <w:rFonts w:ascii="Times New Roman" w:hAnsi="Times New Roman"/>
          <w:sz w:val="22"/>
          <w:szCs w:val="22"/>
          <w:u w:val="single"/>
        </w:rPr>
        <w:t>Location:</w:t>
      </w:r>
    </w:p>
    <w:p w:rsidR="004F686D" w:rsidP="006947C1">
      <w:pPr>
        <w:pStyle w:val="ParaNum"/>
        <w:numPr>
          <w:ilvl w:val="0"/>
          <w:numId w:val="0"/>
        </w:numPr>
      </w:pPr>
      <w:r w:rsidRPr="00C06733">
        <w:t>The Salt Lake City Innovation Zone will encompass</w:t>
      </w:r>
      <w:r w:rsidRPr="00C06733">
        <w:t xml:space="preserve"> approximately </w:t>
      </w:r>
      <w:r w:rsidRPr="00C06733" w:rsidR="00802AF0">
        <w:t>4</w:t>
      </w:r>
      <w:r w:rsidRPr="00C06733">
        <w:t xml:space="preserve"> square miles over</w:t>
      </w:r>
      <w:r w:rsidRPr="00C06733">
        <w:t xml:space="preserve"> </w:t>
      </w:r>
      <w:r w:rsidRPr="00C06733">
        <w:t>three connected</w:t>
      </w:r>
      <w:r>
        <w:t xml:space="preserve"> areas providing options for testing over a campus (University of Utah), within a downtown area and within a corridor connecting the two.</w:t>
      </w:r>
    </w:p>
    <w:p w:rsidR="00802AF0" w:rsidRPr="00802AF0" w:rsidP="006947C1">
      <w:pPr>
        <w:pStyle w:val="ParaNum"/>
        <w:numPr>
          <w:ilvl w:val="0"/>
          <w:numId w:val="0"/>
        </w:numPr>
      </w:pPr>
      <w:r>
        <w:t xml:space="preserve">The University of Utah campus portion of the Innovation zone </w:t>
      </w:r>
      <w:r w:rsidR="00C06733">
        <w:t>measures a</w:t>
      </w:r>
      <w:r w:rsidRPr="00802AF0" w:rsidR="00C06733">
        <w:t>pproximate 2.43 square miles</w:t>
      </w:r>
      <w:r w:rsidR="00C06733">
        <w:t xml:space="preserve"> in area and </w:t>
      </w:r>
      <w:r>
        <w:t xml:space="preserve">is defined as the </w:t>
      </w:r>
      <w:r w:rsidR="00C06733">
        <w:t>region</w:t>
      </w:r>
      <w:r>
        <w:t xml:space="preserve"> between </w:t>
      </w:r>
      <w:r w:rsidRPr="00802AF0">
        <w:t xml:space="preserve">North Campus Drive (in the north), </w:t>
      </w:r>
      <w:r w:rsidRPr="00802AF0">
        <w:t>Arapeen</w:t>
      </w:r>
      <w:r w:rsidRPr="00802AF0">
        <w:t xml:space="preserve"> Drive (in the east), </w:t>
      </w:r>
      <w:r w:rsidRPr="00802AF0">
        <w:t xml:space="preserve">East Sunnyside Ave (in the south) and 1200 East (in the west). </w:t>
      </w:r>
      <w:r w:rsidR="00C06733">
        <w:t xml:space="preserve"> This area is bounded by the following geographic coordinates (NAD83):</w:t>
      </w:r>
    </w:p>
    <w:p w:rsidR="00802AF0" w:rsidRPr="00802AF0" w:rsidP="00802AF0">
      <w:pPr>
        <w:pStyle w:val="PlainText"/>
        <w:rPr>
          <w:rFonts w:ascii="Times New Roman" w:hAnsi="Times New Roman"/>
          <w:sz w:val="22"/>
          <w:szCs w:val="22"/>
        </w:rPr>
      </w:pPr>
      <w:r w:rsidRPr="00802AF0">
        <w:rPr>
          <w:rFonts w:ascii="Times New Roman" w:hAnsi="Times New Roman"/>
          <w:sz w:val="22"/>
          <w:szCs w:val="22"/>
        </w:rPr>
        <w:t>N</w:t>
      </w:r>
      <w:r w:rsidR="00C06733">
        <w:rPr>
          <w:rFonts w:ascii="Times New Roman" w:hAnsi="Times New Roman"/>
          <w:sz w:val="22"/>
          <w:szCs w:val="22"/>
        </w:rPr>
        <w:t>ortheast</w:t>
      </w:r>
      <w:r w:rsidRPr="00802AF0">
        <w:rPr>
          <w:rFonts w:ascii="Times New Roman" w:hAnsi="Times New Roman"/>
          <w:sz w:val="22"/>
          <w:szCs w:val="22"/>
        </w:rPr>
        <w:t>: 40.77309</w:t>
      </w:r>
      <w:r w:rsidR="00C06733">
        <w:rPr>
          <w:rFonts w:ascii="Times New Roman" w:hAnsi="Times New Roman"/>
          <w:sz w:val="22"/>
          <w:szCs w:val="22"/>
        </w:rPr>
        <w:t xml:space="preserve"> N</w:t>
      </w:r>
      <w:r w:rsidRPr="00802AF0">
        <w:rPr>
          <w:rFonts w:ascii="Times New Roman" w:hAnsi="Times New Roman"/>
          <w:sz w:val="22"/>
          <w:szCs w:val="22"/>
        </w:rPr>
        <w:t>,</w:t>
      </w:r>
      <w:r w:rsidR="00C06733">
        <w:rPr>
          <w:rFonts w:ascii="Times New Roman" w:hAnsi="Times New Roman"/>
          <w:sz w:val="22"/>
          <w:szCs w:val="22"/>
        </w:rPr>
        <w:t xml:space="preserve"> </w:t>
      </w:r>
      <w:r w:rsidRPr="00802AF0">
        <w:rPr>
          <w:rFonts w:ascii="Times New Roman" w:hAnsi="Times New Roman"/>
          <w:sz w:val="22"/>
          <w:szCs w:val="22"/>
        </w:rPr>
        <w:t>111.82639</w:t>
      </w:r>
      <w:r w:rsidR="00C06733">
        <w:rPr>
          <w:rFonts w:ascii="Times New Roman" w:hAnsi="Times New Roman"/>
          <w:sz w:val="22"/>
          <w:szCs w:val="22"/>
        </w:rPr>
        <w:t xml:space="preserve"> W</w:t>
      </w:r>
    </w:p>
    <w:p w:rsidR="00C06733" w:rsidRPr="00802AF0" w:rsidP="00C06733">
      <w:pPr>
        <w:pStyle w:val="PlainText"/>
        <w:rPr>
          <w:rFonts w:ascii="Times New Roman" w:hAnsi="Times New Roman"/>
          <w:sz w:val="22"/>
          <w:szCs w:val="22"/>
        </w:rPr>
      </w:pPr>
      <w:r w:rsidRPr="00802AF0">
        <w:rPr>
          <w:rFonts w:ascii="Times New Roman" w:hAnsi="Times New Roman"/>
          <w:sz w:val="22"/>
          <w:szCs w:val="22"/>
        </w:rPr>
        <w:t>N</w:t>
      </w:r>
      <w:r>
        <w:rPr>
          <w:rFonts w:ascii="Times New Roman" w:hAnsi="Times New Roman"/>
          <w:sz w:val="22"/>
          <w:szCs w:val="22"/>
        </w:rPr>
        <w:t>orthwest</w:t>
      </w:r>
      <w:r w:rsidRPr="00802AF0">
        <w:rPr>
          <w:rFonts w:ascii="Times New Roman" w:hAnsi="Times New Roman"/>
          <w:sz w:val="22"/>
          <w:szCs w:val="22"/>
        </w:rPr>
        <w:t>: 40.77313</w:t>
      </w:r>
      <w:r>
        <w:rPr>
          <w:rFonts w:ascii="Times New Roman" w:hAnsi="Times New Roman"/>
          <w:sz w:val="22"/>
          <w:szCs w:val="22"/>
        </w:rPr>
        <w:t xml:space="preserve"> N</w:t>
      </w:r>
      <w:r w:rsidRPr="00802AF0">
        <w:rPr>
          <w:rFonts w:ascii="Times New Roman" w:hAnsi="Times New Roman"/>
          <w:sz w:val="22"/>
          <w:szCs w:val="22"/>
        </w:rPr>
        <w:t>,</w:t>
      </w:r>
      <w:r>
        <w:rPr>
          <w:rFonts w:ascii="Times New Roman" w:hAnsi="Times New Roman"/>
          <w:sz w:val="22"/>
          <w:szCs w:val="22"/>
        </w:rPr>
        <w:t xml:space="preserve"> </w:t>
      </w:r>
      <w:r w:rsidRPr="00802AF0">
        <w:rPr>
          <w:rFonts w:ascii="Times New Roman" w:hAnsi="Times New Roman"/>
          <w:sz w:val="22"/>
          <w:szCs w:val="22"/>
        </w:rPr>
        <w:t>111.85669</w:t>
      </w:r>
      <w:r>
        <w:rPr>
          <w:rFonts w:ascii="Times New Roman" w:hAnsi="Times New Roman"/>
          <w:sz w:val="22"/>
          <w:szCs w:val="22"/>
        </w:rPr>
        <w:t xml:space="preserve"> W</w:t>
      </w:r>
    </w:p>
    <w:p w:rsidR="00802AF0" w:rsidRPr="00802AF0" w:rsidP="00802AF0">
      <w:pPr>
        <w:pStyle w:val="PlainText"/>
        <w:rPr>
          <w:rFonts w:ascii="Times New Roman" w:hAnsi="Times New Roman"/>
          <w:sz w:val="22"/>
          <w:szCs w:val="22"/>
        </w:rPr>
      </w:pPr>
      <w:r>
        <w:rPr>
          <w:rFonts w:ascii="Times New Roman" w:hAnsi="Times New Roman"/>
          <w:sz w:val="22"/>
          <w:szCs w:val="22"/>
        </w:rPr>
        <w:t>Southwest</w:t>
      </w:r>
      <w:r w:rsidRPr="00802AF0">
        <w:rPr>
          <w:rFonts w:ascii="Times New Roman" w:hAnsi="Times New Roman"/>
          <w:sz w:val="22"/>
          <w:szCs w:val="22"/>
        </w:rPr>
        <w:t>: 40.75076</w:t>
      </w:r>
      <w:r>
        <w:rPr>
          <w:rFonts w:ascii="Times New Roman" w:hAnsi="Times New Roman"/>
          <w:sz w:val="22"/>
          <w:szCs w:val="22"/>
        </w:rPr>
        <w:t xml:space="preserve"> N</w:t>
      </w:r>
      <w:r w:rsidRPr="00802AF0">
        <w:rPr>
          <w:rFonts w:ascii="Times New Roman" w:hAnsi="Times New Roman"/>
          <w:sz w:val="22"/>
          <w:szCs w:val="22"/>
        </w:rPr>
        <w:t>,</w:t>
      </w:r>
      <w:r>
        <w:rPr>
          <w:rFonts w:ascii="Times New Roman" w:hAnsi="Times New Roman"/>
          <w:sz w:val="22"/>
          <w:szCs w:val="22"/>
        </w:rPr>
        <w:t xml:space="preserve"> </w:t>
      </w:r>
      <w:r w:rsidRPr="00802AF0">
        <w:rPr>
          <w:rFonts w:ascii="Times New Roman" w:hAnsi="Times New Roman"/>
          <w:sz w:val="22"/>
          <w:szCs w:val="22"/>
        </w:rPr>
        <w:t>111.82661</w:t>
      </w:r>
      <w:r>
        <w:rPr>
          <w:rFonts w:ascii="Times New Roman" w:hAnsi="Times New Roman"/>
          <w:sz w:val="22"/>
          <w:szCs w:val="22"/>
        </w:rPr>
        <w:t xml:space="preserve"> W</w:t>
      </w:r>
    </w:p>
    <w:p w:rsidR="00802AF0" w:rsidRPr="00802AF0" w:rsidP="006947C1">
      <w:pPr>
        <w:pStyle w:val="PlainText"/>
        <w:spacing w:after="120"/>
        <w:rPr>
          <w:rFonts w:ascii="Times New Roman" w:hAnsi="Times New Roman"/>
          <w:sz w:val="22"/>
          <w:szCs w:val="22"/>
        </w:rPr>
      </w:pPr>
      <w:r>
        <w:rPr>
          <w:rFonts w:ascii="Times New Roman" w:hAnsi="Times New Roman"/>
          <w:sz w:val="22"/>
          <w:szCs w:val="22"/>
        </w:rPr>
        <w:t>Southeast</w:t>
      </w:r>
      <w:r w:rsidRPr="00802AF0">
        <w:rPr>
          <w:rFonts w:ascii="Times New Roman" w:hAnsi="Times New Roman"/>
          <w:sz w:val="22"/>
          <w:szCs w:val="22"/>
        </w:rPr>
        <w:t>: 40.75096</w:t>
      </w:r>
      <w:r>
        <w:rPr>
          <w:rFonts w:ascii="Times New Roman" w:hAnsi="Times New Roman"/>
          <w:sz w:val="22"/>
          <w:szCs w:val="22"/>
        </w:rPr>
        <w:t xml:space="preserve"> N</w:t>
      </w:r>
      <w:r w:rsidRPr="00802AF0">
        <w:rPr>
          <w:rFonts w:ascii="Times New Roman" w:hAnsi="Times New Roman"/>
          <w:sz w:val="22"/>
          <w:szCs w:val="22"/>
        </w:rPr>
        <w:t>,</w:t>
      </w:r>
      <w:r>
        <w:rPr>
          <w:rFonts w:ascii="Times New Roman" w:hAnsi="Times New Roman"/>
          <w:sz w:val="22"/>
          <w:szCs w:val="22"/>
        </w:rPr>
        <w:t xml:space="preserve"> </w:t>
      </w:r>
      <w:r w:rsidRPr="00802AF0">
        <w:rPr>
          <w:rFonts w:ascii="Times New Roman" w:hAnsi="Times New Roman"/>
          <w:sz w:val="22"/>
          <w:szCs w:val="22"/>
        </w:rPr>
        <w:t>111.85656</w:t>
      </w:r>
      <w:r>
        <w:rPr>
          <w:rFonts w:ascii="Times New Roman" w:hAnsi="Times New Roman"/>
          <w:sz w:val="22"/>
          <w:szCs w:val="22"/>
        </w:rPr>
        <w:t xml:space="preserve"> W</w:t>
      </w:r>
    </w:p>
    <w:p w:rsidR="00E87201" w:rsidRPr="00802AF0" w:rsidP="006947C1">
      <w:pPr>
        <w:pStyle w:val="ParaNum"/>
        <w:numPr>
          <w:ilvl w:val="0"/>
          <w:numId w:val="0"/>
        </w:numPr>
      </w:pPr>
      <w:r>
        <w:t xml:space="preserve">The Salt Lake City downtown portion of the Innovation zone is </w:t>
      </w:r>
      <w:r>
        <w:t>a</w:t>
      </w:r>
      <w:r w:rsidRPr="00802AF0">
        <w:t>pproximate</w:t>
      </w:r>
      <w:r>
        <w:t>ly</w:t>
      </w:r>
      <w:r w:rsidRPr="00802AF0">
        <w:t xml:space="preserve"> 0.954 square miles</w:t>
      </w:r>
      <w:r>
        <w:t xml:space="preserve"> in area and is </w:t>
      </w:r>
      <w:r>
        <w:t xml:space="preserve">defined </w:t>
      </w:r>
      <w:r>
        <w:t>by</w:t>
      </w:r>
      <w:r>
        <w:t xml:space="preserve"> </w:t>
      </w:r>
      <w:r w:rsidRPr="00802AF0" w:rsidR="00802AF0">
        <w:t>South Temple (in the north), 400 East (in the east), 700 South (in the south) and 200 West (in the west).</w:t>
      </w:r>
      <w:r>
        <w:t xml:space="preserve">  This area is bounded by the following geographic coordinates (NAD83):</w:t>
      </w:r>
    </w:p>
    <w:p w:rsidR="00802AF0" w:rsidRPr="00802AF0" w:rsidP="00802AF0">
      <w:pPr>
        <w:pStyle w:val="PlainText"/>
        <w:rPr>
          <w:rFonts w:ascii="Times New Roman" w:hAnsi="Times New Roman"/>
          <w:sz w:val="22"/>
          <w:szCs w:val="22"/>
        </w:rPr>
      </w:pPr>
      <w:r>
        <w:rPr>
          <w:rFonts w:ascii="Times New Roman" w:hAnsi="Times New Roman"/>
          <w:sz w:val="22"/>
          <w:szCs w:val="22"/>
        </w:rPr>
        <w:t>Northeast</w:t>
      </w:r>
      <w:r w:rsidRPr="00802AF0">
        <w:rPr>
          <w:rFonts w:ascii="Times New Roman" w:hAnsi="Times New Roman"/>
          <w:sz w:val="22"/>
          <w:szCs w:val="22"/>
        </w:rPr>
        <w:t>: 40.76941</w:t>
      </w:r>
      <w:r>
        <w:rPr>
          <w:rFonts w:ascii="Times New Roman" w:hAnsi="Times New Roman"/>
          <w:sz w:val="22"/>
          <w:szCs w:val="22"/>
        </w:rPr>
        <w:t xml:space="preserve"> N</w:t>
      </w:r>
      <w:r w:rsidRPr="00802AF0">
        <w:rPr>
          <w:rFonts w:ascii="Times New Roman" w:hAnsi="Times New Roman"/>
          <w:sz w:val="22"/>
          <w:szCs w:val="22"/>
        </w:rPr>
        <w:t>,</w:t>
      </w:r>
      <w:r>
        <w:rPr>
          <w:rFonts w:ascii="Times New Roman" w:hAnsi="Times New Roman"/>
          <w:sz w:val="22"/>
          <w:szCs w:val="22"/>
        </w:rPr>
        <w:t xml:space="preserve"> </w:t>
      </w:r>
      <w:r w:rsidRPr="00802AF0">
        <w:rPr>
          <w:rFonts w:ascii="Times New Roman" w:hAnsi="Times New Roman"/>
          <w:sz w:val="22"/>
          <w:szCs w:val="22"/>
        </w:rPr>
        <w:t>111.87971</w:t>
      </w:r>
      <w:r>
        <w:rPr>
          <w:rFonts w:ascii="Times New Roman" w:hAnsi="Times New Roman"/>
          <w:sz w:val="22"/>
          <w:szCs w:val="22"/>
        </w:rPr>
        <w:t xml:space="preserve"> W</w:t>
      </w:r>
    </w:p>
    <w:p w:rsidR="00E87201" w:rsidRPr="00802AF0" w:rsidP="00E87201">
      <w:pPr>
        <w:pStyle w:val="PlainText"/>
        <w:rPr>
          <w:rFonts w:ascii="Times New Roman" w:hAnsi="Times New Roman"/>
          <w:sz w:val="22"/>
          <w:szCs w:val="22"/>
        </w:rPr>
      </w:pPr>
      <w:r w:rsidRPr="00802AF0">
        <w:rPr>
          <w:rFonts w:ascii="Times New Roman" w:hAnsi="Times New Roman"/>
          <w:sz w:val="22"/>
          <w:szCs w:val="22"/>
        </w:rPr>
        <w:t>N</w:t>
      </w:r>
      <w:r>
        <w:rPr>
          <w:rFonts w:ascii="Times New Roman" w:hAnsi="Times New Roman"/>
          <w:sz w:val="22"/>
          <w:szCs w:val="22"/>
        </w:rPr>
        <w:t>orthwest</w:t>
      </w:r>
      <w:r w:rsidRPr="00802AF0">
        <w:rPr>
          <w:rFonts w:ascii="Times New Roman" w:hAnsi="Times New Roman"/>
          <w:sz w:val="22"/>
          <w:szCs w:val="22"/>
        </w:rPr>
        <w:t>: 40.76938</w:t>
      </w:r>
      <w:r>
        <w:rPr>
          <w:rFonts w:ascii="Times New Roman" w:hAnsi="Times New Roman"/>
          <w:sz w:val="22"/>
          <w:szCs w:val="22"/>
        </w:rPr>
        <w:t xml:space="preserve"> N</w:t>
      </w:r>
      <w:r w:rsidRPr="00802AF0">
        <w:rPr>
          <w:rFonts w:ascii="Times New Roman" w:hAnsi="Times New Roman"/>
          <w:sz w:val="22"/>
          <w:szCs w:val="22"/>
        </w:rPr>
        <w:t>,</w:t>
      </w:r>
      <w:r>
        <w:rPr>
          <w:rFonts w:ascii="Times New Roman" w:hAnsi="Times New Roman"/>
          <w:sz w:val="22"/>
          <w:szCs w:val="22"/>
        </w:rPr>
        <w:t xml:space="preserve"> </w:t>
      </w:r>
      <w:r w:rsidRPr="00802AF0">
        <w:rPr>
          <w:rFonts w:ascii="Times New Roman" w:hAnsi="Times New Roman"/>
          <w:sz w:val="22"/>
          <w:szCs w:val="22"/>
        </w:rPr>
        <w:t>111.89692</w:t>
      </w:r>
      <w:r>
        <w:rPr>
          <w:rFonts w:ascii="Times New Roman" w:hAnsi="Times New Roman"/>
          <w:sz w:val="22"/>
          <w:szCs w:val="22"/>
        </w:rPr>
        <w:t xml:space="preserve"> W</w:t>
      </w:r>
    </w:p>
    <w:p w:rsidR="00E87201" w:rsidRPr="00802AF0" w:rsidP="00E87201">
      <w:pPr>
        <w:pStyle w:val="PlainText"/>
        <w:rPr>
          <w:rFonts w:ascii="Times New Roman" w:hAnsi="Times New Roman"/>
          <w:sz w:val="22"/>
          <w:szCs w:val="22"/>
        </w:rPr>
      </w:pPr>
      <w:r>
        <w:rPr>
          <w:rFonts w:ascii="Times New Roman" w:hAnsi="Times New Roman"/>
          <w:sz w:val="22"/>
          <w:szCs w:val="22"/>
        </w:rPr>
        <w:t>Southwest</w:t>
      </w:r>
      <w:r w:rsidRPr="00802AF0">
        <w:rPr>
          <w:rFonts w:ascii="Times New Roman" w:hAnsi="Times New Roman"/>
          <w:sz w:val="22"/>
          <w:szCs w:val="22"/>
        </w:rPr>
        <w:t>: 40.75413</w:t>
      </w:r>
      <w:r>
        <w:rPr>
          <w:rFonts w:ascii="Times New Roman" w:hAnsi="Times New Roman"/>
          <w:sz w:val="22"/>
          <w:szCs w:val="22"/>
        </w:rPr>
        <w:t xml:space="preserve"> N</w:t>
      </w:r>
      <w:r w:rsidRPr="00802AF0">
        <w:rPr>
          <w:rFonts w:ascii="Times New Roman" w:hAnsi="Times New Roman"/>
          <w:sz w:val="22"/>
          <w:szCs w:val="22"/>
        </w:rPr>
        <w:t>,</w:t>
      </w:r>
      <w:r>
        <w:rPr>
          <w:rFonts w:ascii="Times New Roman" w:hAnsi="Times New Roman"/>
          <w:sz w:val="22"/>
          <w:szCs w:val="22"/>
        </w:rPr>
        <w:t xml:space="preserve"> </w:t>
      </w:r>
      <w:r w:rsidRPr="00802AF0">
        <w:rPr>
          <w:rFonts w:ascii="Times New Roman" w:hAnsi="Times New Roman"/>
          <w:sz w:val="22"/>
          <w:szCs w:val="22"/>
        </w:rPr>
        <w:t>111.89696</w:t>
      </w:r>
      <w:r>
        <w:rPr>
          <w:rFonts w:ascii="Times New Roman" w:hAnsi="Times New Roman"/>
          <w:sz w:val="22"/>
          <w:szCs w:val="22"/>
        </w:rPr>
        <w:t xml:space="preserve"> W</w:t>
      </w:r>
    </w:p>
    <w:p w:rsidR="00802AF0" w:rsidRPr="00802AF0" w:rsidP="006947C1">
      <w:pPr>
        <w:pStyle w:val="PlainText"/>
        <w:spacing w:after="120"/>
        <w:rPr>
          <w:rFonts w:ascii="Times New Roman" w:hAnsi="Times New Roman"/>
          <w:sz w:val="22"/>
          <w:szCs w:val="22"/>
        </w:rPr>
      </w:pPr>
      <w:r>
        <w:rPr>
          <w:rFonts w:ascii="Times New Roman" w:hAnsi="Times New Roman"/>
          <w:sz w:val="22"/>
          <w:szCs w:val="22"/>
        </w:rPr>
        <w:t>Southeast</w:t>
      </w:r>
      <w:r w:rsidRPr="00802AF0">
        <w:rPr>
          <w:rFonts w:ascii="Times New Roman" w:hAnsi="Times New Roman"/>
          <w:sz w:val="22"/>
          <w:szCs w:val="22"/>
        </w:rPr>
        <w:t>: 40.7541</w:t>
      </w:r>
      <w:r>
        <w:rPr>
          <w:rFonts w:ascii="Times New Roman" w:hAnsi="Times New Roman"/>
          <w:sz w:val="22"/>
          <w:szCs w:val="22"/>
        </w:rPr>
        <w:t xml:space="preserve"> N</w:t>
      </w:r>
      <w:r w:rsidRPr="00802AF0">
        <w:rPr>
          <w:rFonts w:ascii="Times New Roman" w:hAnsi="Times New Roman"/>
          <w:sz w:val="22"/>
          <w:szCs w:val="22"/>
        </w:rPr>
        <w:t>, 111.87971</w:t>
      </w:r>
      <w:r>
        <w:rPr>
          <w:rFonts w:ascii="Times New Roman" w:hAnsi="Times New Roman"/>
          <w:sz w:val="22"/>
          <w:szCs w:val="22"/>
        </w:rPr>
        <w:t xml:space="preserve"> W</w:t>
      </w:r>
    </w:p>
    <w:p w:rsidR="00E87201" w:rsidRPr="00802AF0" w:rsidP="006947C1">
      <w:pPr>
        <w:pStyle w:val="ParaNum"/>
        <w:numPr>
          <w:ilvl w:val="0"/>
          <w:numId w:val="0"/>
        </w:numPr>
      </w:pPr>
      <w:r>
        <w:t xml:space="preserve">The connecting corridor between the University of Utah and downtown Salt Lake City </w:t>
      </w:r>
      <w:r w:rsidR="006C5303">
        <w:t xml:space="preserve">encompasses an area of approximately 0.46 square miles and is </w:t>
      </w:r>
      <w:r>
        <w:t>bound by</w:t>
      </w:r>
      <w:r w:rsidRPr="00802AF0" w:rsidR="00802AF0">
        <w:t xml:space="preserve"> 1st Avenue (in the north), 1200 East (in the west), 200 South (in the south) and 400 East (in the west).</w:t>
      </w:r>
      <w:r>
        <w:t xml:space="preserve">  This area is bounded by the following geographic coordinates (NAD83):</w:t>
      </w:r>
    </w:p>
    <w:p w:rsidR="00802AF0" w:rsidRPr="00802AF0" w:rsidP="00802AF0">
      <w:pPr>
        <w:pStyle w:val="PlainText"/>
        <w:rPr>
          <w:rFonts w:ascii="Times New Roman" w:hAnsi="Times New Roman"/>
          <w:sz w:val="22"/>
          <w:szCs w:val="22"/>
        </w:rPr>
      </w:pPr>
      <w:r>
        <w:rPr>
          <w:rFonts w:ascii="Times New Roman" w:hAnsi="Times New Roman"/>
          <w:sz w:val="22"/>
          <w:szCs w:val="22"/>
        </w:rPr>
        <w:t>Northeast</w:t>
      </w:r>
      <w:r w:rsidRPr="00802AF0">
        <w:rPr>
          <w:rFonts w:ascii="Times New Roman" w:hAnsi="Times New Roman"/>
          <w:sz w:val="22"/>
          <w:szCs w:val="22"/>
        </w:rPr>
        <w:t>: 40.77055</w:t>
      </w:r>
      <w:r w:rsidR="006C5303">
        <w:rPr>
          <w:rFonts w:ascii="Times New Roman" w:hAnsi="Times New Roman"/>
          <w:sz w:val="22"/>
          <w:szCs w:val="22"/>
        </w:rPr>
        <w:t xml:space="preserve"> N</w:t>
      </w:r>
      <w:r w:rsidRPr="00802AF0">
        <w:rPr>
          <w:rFonts w:ascii="Times New Roman" w:hAnsi="Times New Roman"/>
          <w:sz w:val="22"/>
          <w:szCs w:val="22"/>
        </w:rPr>
        <w:t>,</w:t>
      </w:r>
      <w:r w:rsidR="006C5303">
        <w:rPr>
          <w:rFonts w:ascii="Times New Roman" w:hAnsi="Times New Roman"/>
          <w:sz w:val="22"/>
          <w:szCs w:val="22"/>
        </w:rPr>
        <w:t xml:space="preserve"> </w:t>
      </w:r>
      <w:r w:rsidRPr="00802AF0">
        <w:rPr>
          <w:rFonts w:ascii="Times New Roman" w:hAnsi="Times New Roman"/>
          <w:sz w:val="22"/>
          <w:szCs w:val="22"/>
        </w:rPr>
        <w:t>111.85679</w:t>
      </w:r>
      <w:r w:rsidR="006C5303">
        <w:rPr>
          <w:rFonts w:ascii="Times New Roman" w:hAnsi="Times New Roman"/>
          <w:sz w:val="22"/>
          <w:szCs w:val="22"/>
        </w:rPr>
        <w:t xml:space="preserve"> W</w:t>
      </w:r>
    </w:p>
    <w:p w:rsidR="00E87201" w:rsidRPr="00802AF0" w:rsidP="00E87201">
      <w:pPr>
        <w:pStyle w:val="PlainText"/>
        <w:rPr>
          <w:rFonts w:ascii="Times New Roman" w:hAnsi="Times New Roman"/>
          <w:sz w:val="22"/>
          <w:szCs w:val="22"/>
        </w:rPr>
      </w:pPr>
      <w:r>
        <w:rPr>
          <w:rFonts w:ascii="Times New Roman" w:hAnsi="Times New Roman"/>
          <w:sz w:val="22"/>
          <w:szCs w:val="22"/>
        </w:rPr>
        <w:t>Northwest</w:t>
      </w:r>
      <w:r w:rsidRPr="00802AF0">
        <w:rPr>
          <w:rFonts w:ascii="Times New Roman" w:hAnsi="Times New Roman"/>
          <w:sz w:val="22"/>
          <w:szCs w:val="22"/>
        </w:rPr>
        <w:t>: 40.77058</w:t>
      </w:r>
      <w:r w:rsidR="006C5303">
        <w:rPr>
          <w:rFonts w:ascii="Times New Roman" w:hAnsi="Times New Roman"/>
          <w:sz w:val="22"/>
          <w:szCs w:val="22"/>
        </w:rPr>
        <w:t xml:space="preserve"> N</w:t>
      </w:r>
      <w:r w:rsidRPr="00802AF0">
        <w:rPr>
          <w:rFonts w:ascii="Times New Roman" w:hAnsi="Times New Roman"/>
          <w:sz w:val="22"/>
          <w:szCs w:val="22"/>
        </w:rPr>
        <w:t>,</w:t>
      </w:r>
      <w:r w:rsidR="006C5303">
        <w:rPr>
          <w:rFonts w:ascii="Times New Roman" w:hAnsi="Times New Roman"/>
          <w:sz w:val="22"/>
          <w:szCs w:val="22"/>
        </w:rPr>
        <w:t xml:space="preserve"> </w:t>
      </w:r>
      <w:r w:rsidRPr="00802AF0">
        <w:rPr>
          <w:rFonts w:ascii="Times New Roman" w:hAnsi="Times New Roman"/>
          <w:sz w:val="22"/>
          <w:szCs w:val="22"/>
        </w:rPr>
        <w:t>111.87975</w:t>
      </w:r>
      <w:r w:rsidR="006C5303">
        <w:rPr>
          <w:rFonts w:ascii="Times New Roman" w:hAnsi="Times New Roman"/>
          <w:sz w:val="22"/>
          <w:szCs w:val="22"/>
        </w:rPr>
        <w:t xml:space="preserve"> W</w:t>
      </w:r>
    </w:p>
    <w:p w:rsidR="00E87201" w:rsidRPr="00802AF0" w:rsidP="00E87201">
      <w:pPr>
        <w:pStyle w:val="PlainText"/>
        <w:rPr>
          <w:rFonts w:ascii="Times New Roman" w:hAnsi="Times New Roman"/>
          <w:sz w:val="22"/>
          <w:szCs w:val="22"/>
        </w:rPr>
      </w:pPr>
      <w:r>
        <w:rPr>
          <w:rFonts w:ascii="Times New Roman" w:hAnsi="Times New Roman"/>
          <w:sz w:val="22"/>
          <w:szCs w:val="22"/>
        </w:rPr>
        <w:t>Southwest</w:t>
      </w:r>
      <w:r w:rsidRPr="00802AF0">
        <w:rPr>
          <w:rFonts w:ascii="Times New Roman" w:hAnsi="Times New Roman"/>
          <w:sz w:val="22"/>
          <w:szCs w:val="22"/>
        </w:rPr>
        <w:t>: 40.76505</w:t>
      </w:r>
      <w:r w:rsidR="006C5303">
        <w:rPr>
          <w:rFonts w:ascii="Times New Roman" w:hAnsi="Times New Roman"/>
          <w:sz w:val="22"/>
          <w:szCs w:val="22"/>
        </w:rPr>
        <w:t xml:space="preserve"> N</w:t>
      </w:r>
      <w:r w:rsidRPr="00802AF0">
        <w:rPr>
          <w:rFonts w:ascii="Times New Roman" w:hAnsi="Times New Roman"/>
          <w:sz w:val="22"/>
          <w:szCs w:val="22"/>
        </w:rPr>
        <w:t>,</w:t>
      </w:r>
      <w:r w:rsidR="006C5303">
        <w:rPr>
          <w:rFonts w:ascii="Times New Roman" w:hAnsi="Times New Roman"/>
          <w:sz w:val="22"/>
          <w:szCs w:val="22"/>
        </w:rPr>
        <w:t xml:space="preserve"> </w:t>
      </w:r>
      <w:r w:rsidRPr="00802AF0">
        <w:rPr>
          <w:rFonts w:ascii="Times New Roman" w:hAnsi="Times New Roman"/>
          <w:sz w:val="22"/>
          <w:szCs w:val="22"/>
        </w:rPr>
        <w:t>111.87979</w:t>
      </w:r>
      <w:r w:rsidR="006C5303">
        <w:rPr>
          <w:rFonts w:ascii="Times New Roman" w:hAnsi="Times New Roman"/>
          <w:sz w:val="22"/>
          <w:szCs w:val="22"/>
        </w:rPr>
        <w:t xml:space="preserve"> W</w:t>
      </w:r>
    </w:p>
    <w:p w:rsidR="00802AF0" w:rsidRPr="00802AF0" w:rsidP="006947C1">
      <w:pPr>
        <w:pStyle w:val="PlainText"/>
        <w:spacing w:after="120"/>
        <w:rPr>
          <w:rFonts w:ascii="Times New Roman" w:hAnsi="Times New Roman"/>
          <w:sz w:val="22"/>
          <w:szCs w:val="22"/>
        </w:rPr>
      </w:pPr>
      <w:r>
        <w:rPr>
          <w:rFonts w:ascii="Times New Roman" w:hAnsi="Times New Roman"/>
          <w:sz w:val="22"/>
          <w:szCs w:val="22"/>
        </w:rPr>
        <w:t>Sout</w:t>
      </w:r>
      <w:r w:rsidR="006C5303">
        <w:rPr>
          <w:rFonts w:ascii="Times New Roman" w:hAnsi="Times New Roman"/>
          <w:sz w:val="22"/>
          <w:szCs w:val="22"/>
        </w:rPr>
        <w:t>h</w:t>
      </w:r>
      <w:r>
        <w:rPr>
          <w:rFonts w:ascii="Times New Roman" w:hAnsi="Times New Roman"/>
          <w:sz w:val="22"/>
          <w:szCs w:val="22"/>
        </w:rPr>
        <w:t>east</w:t>
      </w:r>
      <w:r w:rsidRPr="00802AF0">
        <w:rPr>
          <w:rFonts w:ascii="Times New Roman" w:hAnsi="Times New Roman"/>
          <w:sz w:val="22"/>
          <w:szCs w:val="22"/>
        </w:rPr>
        <w:t>: 40.76502</w:t>
      </w:r>
      <w:r w:rsidR="006C5303">
        <w:rPr>
          <w:rFonts w:ascii="Times New Roman" w:hAnsi="Times New Roman"/>
          <w:sz w:val="22"/>
          <w:szCs w:val="22"/>
        </w:rPr>
        <w:t xml:space="preserve"> N</w:t>
      </w:r>
      <w:r w:rsidRPr="00802AF0">
        <w:rPr>
          <w:rFonts w:ascii="Times New Roman" w:hAnsi="Times New Roman"/>
          <w:sz w:val="22"/>
          <w:szCs w:val="22"/>
        </w:rPr>
        <w:t>,</w:t>
      </w:r>
      <w:r w:rsidR="006C5303">
        <w:rPr>
          <w:rFonts w:ascii="Times New Roman" w:hAnsi="Times New Roman"/>
          <w:sz w:val="22"/>
          <w:szCs w:val="22"/>
        </w:rPr>
        <w:t xml:space="preserve"> </w:t>
      </w:r>
      <w:r w:rsidRPr="00802AF0">
        <w:rPr>
          <w:rFonts w:ascii="Times New Roman" w:hAnsi="Times New Roman"/>
          <w:sz w:val="22"/>
          <w:szCs w:val="22"/>
        </w:rPr>
        <w:t>111.85666</w:t>
      </w:r>
      <w:r w:rsidR="006C5303">
        <w:rPr>
          <w:rFonts w:ascii="Times New Roman" w:hAnsi="Times New Roman"/>
          <w:sz w:val="22"/>
          <w:szCs w:val="22"/>
        </w:rPr>
        <w:t xml:space="preserve"> W</w:t>
      </w:r>
    </w:p>
    <w:p w:rsidR="004F686D" w:rsidRPr="00C27533" w:rsidP="006947C1">
      <w:pPr>
        <w:pStyle w:val="PlainText"/>
        <w:spacing w:after="120"/>
        <w:rPr>
          <w:rFonts w:ascii="Times New Roman" w:hAnsi="Times New Roman"/>
          <w:sz w:val="22"/>
          <w:szCs w:val="22"/>
          <w:u w:val="single"/>
        </w:rPr>
      </w:pPr>
      <w:r w:rsidRPr="00C27533">
        <w:rPr>
          <w:rFonts w:ascii="Times New Roman" w:hAnsi="Times New Roman"/>
          <w:sz w:val="22"/>
          <w:szCs w:val="22"/>
          <w:u w:val="single"/>
        </w:rPr>
        <w:t>Technical Limits</w:t>
      </w:r>
      <w:r w:rsidR="005B7201">
        <w:rPr>
          <w:rFonts w:ascii="Times New Roman" w:hAnsi="Times New Roman"/>
          <w:sz w:val="22"/>
          <w:szCs w:val="22"/>
          <w:u w:val="single"/>
        </w:rPr>
        <w:t xml:space="preserve"> and Band Information</w:t>
      </w:r>
      <w:r w:rsidRPr="00C27533">
        <w:rPr>
          <w:rFonts w:ascii="Times New Roman" w:hAnsi="Times New Roman"/>
          <w:sz w:val="22"/>
          <w:szCs w:val="22"/>
          <w:u w:val="single"/>
        </w:rPr>
        <w:t>:</w:t>
      </w:r>
    </w:p>
    <w:p w:rsidR="004F686D" w:rsidP="006947C1">
      <w:pPr>
        <w:pStyle w:val="ParaNum"/>
        <w:numPr>
          <w:ilvl w:val="0"/>
          <w:numId w:val="0"/>
        </w:numPr>
      </w:pPr>
      <w:r>
        <w:t>The allow</w:t>
      </w:r>
      <w:r w:rsidR="005F16FC">
        <w:t>a</w:t>
      </w:r>
      <w:r>
        <w:t xml:space="preserve">ble </w:t>
      </w:r>
      <w:r>
        <w:t xml:space="preserve">frequency bands, </w:t>
      </w:r>
      <w:r w:rsidR="00E26630">
        <w:t xml:space="preserve">radiated </w:t>
      </w:r>
      <w:r>
        <w:t>power limits, and operations are shown in the following table:</w:t>
      </w:r>
      <w:r w:rsidR="002C2A84">
        <w:t xml:space="preserve"> </w:t>
      </w:r>
    </w:p>
    <w:p w:rsidR="004F686D" w:rsidP="004F686D">
      <w:pPr>
        <w:pStyle w:val="PlainText"/>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1728"/>
        <w:gridCol w:w="1728"/>
        <w:gridCol w:w="1728"/>
        <w:gridCol w:w="1728"/>
      </w:tblGrid>
      <w:tr w:rsidTr="0047033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2304" w:type="dxa"/>
            <w:tcBorders>
              <w:top w:val="single" w:sz="12" w:space="0" w:color="auto"/>
              <w:left w:val="single" w:sz="12" w:space="0" w:color="auto"/>
              <w:bottom w:val="double" w:sz="4" w:space="0" w:color="auto"/>
            </w:tcBorders>
            <w:shd w:val="clear" w:color="auto" w:fill="auto"/>
          </w:tcPr>
          <w:p w:rsidR="00FE3794" w:rsidRPr="00562C99" w:rsidP="00FE3794">
            <w:pPr>
              <w:pStyle w:val="PlainText"/>
              <w:jc w:val="center"/>
              <w:rPr>
                <w:rFonts w:ascii="Times New Roman" w:hAnsi="Times New Roman"/>
                <w:sz w:val="22"/>
                <w:szCs w:val="22"/>
              </w:rPr>
            </w:pPr>
            <w:r w:rsidRPr="00562C99">
              <w:rPr>
                <w:rFonts w:ascii="Times New Roman" w:hAnsi="Times New Roman"/>
                <w:sz w:val="22"/>
                <w:szCs w:val="22"/>
              </w:rPr>
              <w:t>Frequency Band</w:t>
            </w:r>
          </w:p>
        </w:tc>
        <w:tc>
          <w:tcPr>
            <w:tcW w:w="1728" w:type="dxa"/>
            <w:tcBorders>
              <w:top w:val="single" w:sz="12" w:space="0" w:color="auto"/>
              <w:bottom w:val="double" w:sz="4" w:space="0" w:color="auto"/>
              <w:right w:val="single" w:sz="4" w:space="0" w:color="auto"/>
            </w:tcBorders>
            <w:shd w:val="clear" w:color="auto" w:fill="auto"/>
          </w:tcPr>
          <w:p w:rsidR="00FE3794" w:rsidRPr="00562C99" w:rsidP="00FE3794">
            <w:pPr>
              <w:pStyle w:val="PlainText"/>
              <w:jc w:val="center"/>
              <w:rPr>
                <w:rFonts w:ascii="Times New Roman" w:hAnsi="Times New Roman"/>
                <w:sz w:val="22"/>
                <w:szCs w:val="22"/>
              </w:rPr>
            </w:pPr>
            <w:r w:rsidRPr="00562C99">
              <w:rPr>
                <w:rFonts w:ascii="Times New Roman" w:hAnsi="Times New Roman"/>
                <w:sz w:val="22"/>
                <w:szCs w:val="22"/>
              </w:rPr>
              <w:t>Type of operation</w:t>
            </w:r>
          </w:p>
        </w:tc>
        <w:tc>
          <w:tcPr>
            <w:tcW w:w="1728" w:type="dxa"/>
            <w:tcBorders>
              <w:top w:val="single" w:sz="12" w:space="0" w:color="auto"/>
              <w:left w:val="single" w:sz="4" w:space="0" w:color="auto"/>
              <w:bottom w:val="double" w:sz="4" w:space="0" w:color="auto"/>
              <w:right w:val="single" w:sz="4" w:space="0" w:color="auto"/>
            </w:tcBorders>
            <w:shd w:val="clear" w:color="auto" w:fill="auto"/>
          </w:tcPr>
          <w:p w:rsidR="00FE3794" w:rsidRPr="00562C99" w:rsidP="00FE3794">
            <w:pPr>
              <w:pStyle w:val="PlainText"/>
              <w:jc w:val="center"/>
              <w:rPr>
                <w:rFonts w:ascii="Times New Roman" w:hAnsi="Times New Roman"/>
                <w:sz w:val="22"/>
                <w:szCs w:val="22"/>
              </w:rPr>
            </w:pPr>
            <w:r>
              <w:rPr>
                <w:rFonts w:ascii="Times New Roman" w:hAnsi="Times New Roman"/>
                <w:sz w:val="22"/>
                <w:szCs w:val="22"/>
              </w:rPr>
              <w:t>Allocation</w:t>
            </w:r>
          </w:p>
        </w:tc>
        <w:tc>
          <w:tcPr>
            <w:tcW w:w="1728" w:type="dxa"/>
            <w:tcBorders>
              <w:top w:val="single" w:sz="12" w:space="0" w:color="auto"/>
              <w:left w:val="single" w:sz="4" w:space="0" w:color="auto"/>
              <w:bottom w:val="double" w:sz="4" w:space="0" w:color="auto"/>
              <w:right w:val="single" w:sz="4" w:space="0" w:color="auto"/>
            </w:tcBorders>
            <w:shd w:val="clear" w:color="auto" w:fill="auto"/>
          </w:tcPr>
          <w:p w:rsidR="00FE3794" w:rsidP="00FE3794">
            <w:pPr>
              <w:pStyle w:val="PlainText"/>
              <w:jc w:val="center"/>
              <w:rPr>
                <w:rFonts w:ascii="Times New Roman" w:hAnsi="Times New Roman"/>
                <w:sz w:val="22"/>
                <w:szCs w:val="22"/>
              </w:rPr>
            </w:pPr>
            <w:r>
              <w:rPr>
                <w:rFonts w:ascii="Times New Roman" w:hAnsi="Times New Roman"/>
                <w:sz w:val="22"/>
                <w:szCs w:val="22"/>
              </w:rPr>
              <w:t xml:space="preserve">Fixed Station </w:t>
            </w:r>
            <w:r w:rsidRPr="00562C99">
              <w:rPr>
                <w:rFonts w:ascii="Times New Roman" w:hAnsi="Times New Roman"/>
                <w:sz w:val="22"/>
                <w:szCs w:val="22"/>
              </w:rPr>
              <w:t xml:space="preserve">Maximum </w:t>
            </w:r>
            <w:r>
              <w:rPr>
                <w:rFonts w:ascii="Times New Roman" w:hAnsi="Times New Roman"/>
                <w:sz w:val="22"/>
                <w:szCs w:val="22"/>
              </w:rPr>
              <w:t>EIRP</w:t>
            </w:r>
            <w:r w:rsidRPr="00562C99">
              <w:rPr>
                <w:rFonts w:ascii="Times New Roman" w:hAnsi="Times New Roman"/>
                <w:sz w:val="22"/>
                <w:szCs w:val="22"/>
              </w:rPr>
              <w:t xml:space="preserve"> (dBm)</w:t>
            </w:r>
          </w:p>
        </w:tc>
        <w:tc>
          <w:tcPr>
            <w:tcW w:w="1728" w:type="dxa"/>
            <w:tcBorders>
              <w:top w:val="single" w:sz="12" w:space="0" w:color="auto"/>
              <w:left w:val="single" w:sz="4" w:space="0" w:color="auto"/>
              <w:bottom w:val="double" w:sz="4" w:space="0" w:color="auto"/>
              <w:right w:val="single" w:sz="12" w:space="0" w:color="auto"/>
            </w:tcBorders>
            <w:shd w:val="clear" w:color="auto" w:fill="auto"/>
          </w:tcPr>
          <w:p w:rsidR="00FE3794" w:rsidP="00FE3794">
            <w:pPr>
              <w:pStyle w:val="PlainText"/>
              <w:jc w:val="center"/>
              <w:rPr>
                <w:rFonts w:ascii="Times New Roman" w:hAnsi="Times New Roman"/>
                <w:sz w:val="22"/>
                <w:szCs w:val="22"/>
              </w:rPr>
            </w:pPr>
            <w:r>
              <w:rPr>
                <w:rFonts w:ascii="Times New Roman" w:hAnsi="Times New Roman"/>
                <w:sz w:val="22"/>
                <w:szCs w:val="22"/>
              </w:rPr>
              <w:t xml:space="preserve">Mobile Station </w:t>
            </w:r>
            <w:r w:rsidRPr="00562C99">
              <w:rPr>
                <w:rFonts w:ascii="Times New Roman" w:hAnsi="Times New Roman"/>
                <w:sz w:val="22"/>
                <w:szCs w:val="22"/>
              </w:rPr>
              <w:t xml:space="preserve">Maximum </w:t>
            </w:r>
            <w:r>
              <w:rPr>
                <w:rFonts w:ascii="Times New Roman" w:hAnsi="Times New Roman"/>
                <w:sz w:val="22"/>
                <w:szCs w:val="22"/>
              </w:rPr>
              <w:t>EIRP</w:t>
            </w:r>
            <w:r w:rsidRPr="00562C99">
              <w:rPr>
                <w:rFonts w:ascii="Times New Roman" w:hAnsi="Times New Roman"/>
                <w:sz w:val="22"/>
                <w:szCs w:val="22"/>
              </w:rPr>
              <w:t xml:space="preserve"> (dBm)</w:t>
            </w:r>
          </w:p>
        </w:tc>
      </w:tr>
      <w:tr w:rsidTr="0047033B">
        <w:tblPrEx>
          <w:tblW w:w="0" w:type="auto"/>
          <w:jc w:val="center"/>
          <w:tblLook w:val="04A0"/>
        </w:tblPrEx>
        <w:trPr>
          <w:jc w:val="center"/>
        </w:trPr>
        <w:tc>
          <w:tcPr>
            <w:tcW w:w="2304" w:type="dxa"/>
            <w:tcBorders>
              <w:top w:val="double" w:sz="4" w:space="0" w:color="auto"/>
              <w:left w:val="single" w:sz="12" w:space="0" w:color="auto"/>
            </w:tcBorders>
            <w:shd w:val="clear" w:color="auto" w:fill="auto"/>
          </w:tcPr>
          <w:p w:rsidR="00FE3794" w:rsidRPr="00562C99" w:rsidP="00FE3794">
            <w:pPr>
              <w:pStyle w:val="PlainText"/>
              <w:jc w:val="center"/>
              <w:rPr>
                <w:rFonts w:ascii="Times New Roman" w:hAnsi="Times New Roman"/>
                <w:sz w:val="22"/>
                <w:szCs w:val="22"/>
              </w:rPr>
            </w:pPr>
            <w:r w:rsidRPr="00562C99">
              <w:rPr>
                <w:rFonts w:ascii="Times New Roman" w:hAnsi="Times New Roman"/>
                <w:sz w:val="22"/>
                <w:szCs w:val="22"/>
              </w:rPr>
              <w:t>698-763 MHz</w:t>
            </w:r>
          </w:p>
        </w:tc>
        <w:tc>
          <w:tcPr>
            <w:tcW w:w="1728" w:type="dxa"/>
            <w:tcBorders>
              <w:top w:val="double" w:sz="4" w:space="0" w:color="auto"/>
              <w:right w:val="single" w:sz="4" w:space="0" w:color="auto"/>
            </w:tcBorders>
            <w:shd w:val="clear" w:color="auto" w:fill="auto"/>
          </w:tcPr>
          <w:p w:rsidR="00FE3794" w:rsidRPr="00562C99" w:rsidP="00FE3794">
            <w:pPr>
              <w:pStyle w:val="PlainText"/>
              <w:jc w:val="center"/>
              <w:rPr>
                <w:rFonts w:ascii="Times New Roman" w:hAnsi="Times New Roman"/>
                <w:sz w:val="22"/>
                <w:szCs w:val="22"/>
              </w:rPr>
            </w:pPr>
            <w:r w:rsidRPr="00562C99">
              <w:rPr>
                <w:rFonts w:ascii="Times New Roman" w:hAnsi="Times New Roman"/>
                <w:sz w:val="22"/>
                <w:szCs w:val="22"/>
              </w:rPr>
              <w:t>Fixed &amp; Mobile</w:t>
            </w:r>
          </w:p>
        </w:tc>
        <w:tc>
          <w:tcPr>
            <w:tcW w:w="1728" w:type="dxa"/>
            <w:tcBorders>
              <w:top w:val="double" w:sz="4" w:space="0" w:color="auto"/>
              <w:left w:val="single" w:sz="4" w:space="0" w:color="auto"/>
              <w:right w:val="single" w:sz="4" w:space="0" w:color="auto"/>
            </w:tcBorders>
            <w:shd w:val="clear" w:color="auto" w:fill="auto"/>
          </w:tcPr>
          <w:p w:rsidR="00FE3794" w:rsidRPr="00562C99" w:rsidP="00FE3794">
            <w:pPr>
              <w:pStyle w:val="PlainText"/>
              <w:jc w:val="center"/>
              <w:rPr>
                <w:rFonts w:ascii="Times New Roman" w:hAnsi="Times New Roman"/>
                <w:sz w:val="22"/>
                <w:szCs w:val="22"/>
              </w:rPr>
            </w:pPr>
            <w:r>
              <w:rPr>
                <w:rFonts w:ascii="Times New Roman" w:hAnsi="Times New Roman"/>
                <w:sz w:val="22"/>
                <w:szCs w:val="22"/>
              </w:rPr>
              <w:t>Non-federal</w:t>
            </w:r>
          </w:p>
        </w:tc>
        <w:tc>
          <w:tcPr>
            <w:tcW w:w="1728" w:type="dxa"/>
            <w:tcBorders>
              <w:top w:val="double" w:sz="4" w:space="0" w:color="auto"/>
              <w:left w:val="single" w:sz="4" w:space="0" w:color="auto"/>
              <w:right w:val="single" w:sz="4" w:space="0" w:color="auto"/>
            </w:tcBorders>
            <w:shd w:val="clear" w:color="auto" w:fill="auto"/>
          </w:tcPr>
          <w:p w:rsidR="00FE3794" w:rsidP="00FE3794">
            <w:pPr>
              <w:pStyle w:val="PlainText"/>
              <w:jc w:val="center"/>
              <w:rPr>
                <w:rFonts w:ascii="Times New Roman" w:hAnsi="Times New Roman"/>
                <w:sz w:val="22"/>
                <w:szCs w:val="22"/>
              </w:rPr>
            </w:pPr>
            <w:r>
              <w:rPr>
                <w:rFonts w:ascii="Times New Roman" w:hAnsi="Times New Roman"/>
                <w:sz w:val="22"/>
                <w:szCs w:val="22"/>
              </w:rPr>
              <w:t>65</w:t>
            </w:r>
          </w:p>
        </w:tc>
        <w:tc>
          <w:tcPr>
            <w:tcW w:w="1728" w:type="dxa"/>
            <w:tcBorders>
              <w:top w:val="double" w:sz="4" w:space="0" w:color="auto"/>
              <w:left w:val="single" w:sz="4" w:space="0" w:color="auto"/>
              <w:right w:val="single" w:sz="12" w:space="0" w:color="auto"/>
            </w:tcBorders>
            <w:shd w:val="clear" w:color="auto" w:fill="auto"/>
          </w:tcPr>
          <w:p w:rsidR="00FE3794" w:rsidP="00FE3794">
            <w:pPr>
              <w:pStyle w:val="PlainText"/>
              <w:jc w:val="center"/>
              <w:rPr>
                <w:rFonts w:ascii="Times New Roman" w:hAnsi="Times New Roman"/>
                <w:sz w:val="22"/>
                <w:szCs w:val="22"/>
              </w:rPr>
            </w:pPr>
            <w:r>
              <w:rPr>
                <w:rFonts w:ascii="Times New Roman" w:hAnsi="Times New Roman"/>
                <w:sz w:val="22"/>
                <w:szCs w:val="22"/>
              </w:rPr>
              <w:t>20</w:t>
            </w:r>
          </w:p>
        </w:tc>
      </w:tr>
      <w:tr w:rsidTr="0047033B">
        <w:tblPrEx>
          <w:tblW w:w="0" w:type="auto"/>
          <w:jc w:val="center"/>
          <w:tblLook w:val="04A0"/>
        </w:tblPrEx>
        <w:trPr>
          <w:jc w:val="center"/>
        </w:trPr>
        <w:tc>
          <w:tcPr>
            <w:tcW w:w="2304" w:type="dxa"/>
            <w:tcBorders>
              <w:left w:val="single" w:sz="12" w:space="0" w:color="auto"/>
            </w:tcBorders>
            <w:shd w:val="clear" w:color="auto" w:fill="auto"/>
          </w:tcPr>
          <w:p w:rsidR="00FE3794" w:rsidRPr="00562C99" w:rsidP="00FE3794">
            <w:pPr>
              <w:pStyle w:val="PlainText"/>
              <w:jc w:val="center"/>
              <w:rPr>
                <w:rFonts w:ascii="Times New Roman" w:hAnsi="Times New Roman"/>
                <w:sz w:val="22"/>
                <w:szCs w:val="22"/>
              </w:rPr>
            </w:pPr>
            <w:r w:rsidRPr="00562C99">
              <w:rPr>
                <w:rFonts w:ascii="Times New Roman" w:hAnsi="Times New Roman"/>
                <w:sz w:val="22"/>
                <w:szCs w:val="22"/>
              </w:rPr>
              <w:t>914.87-915.13 MHz</w:t>
            </w:r>
          </w:p>
        </w:tc>
        <w:tc>
          <w:tcPr>
            <w:tcW w:w="1728" w:type="dxa"/>
            <w:tcBorders>
              <w:right w:val="single" w:sz="4" w:space="0" w:color="auto"/>
            </w:tcBorders>
            <w:shd w:val="clear" w:color="auto" w:fill="auto"/>
          </w:tcPr>
          <w:p w:rsidR="00FE3794" w:rsidRPr="00562C99" w:rsidP="00FE3794">
            <w:pPr>
              <w:pStyle w:val="PlainText"/>
              <w:jc w:val="center"/>
              <w:rPr>
                <w:rFonts w:ascii="Times New Roman" w:hAnsi="Times New Roman"/>
                <w:sz w:val="22"/>
                <w:szCs w:val="22"/>
              </w:rPr>
            </w:pPr>
            <w:r w:rsidRPr="00562C99">
              <w:rPr>
                <w:rFonts w:ascii="Times New Roman" w:hAnsi="Times New Roman"/>
                <w:sz w:val="22"/>
                <w:szCs w:val="22"/>
              </w:rPr>
              <w:t>Fixed &amp; Mobile</w:t>
            </w:r>
          </w:p>
        </w:tc>
        <w:tc>
          <w:tcPr>
            <w:tcW w:w="1728" w:type="dxa"/>
            <w:tcBorders>
              <w:left w:val="single" w:sz="4" w:space="0" w:color="auto"/>
              <w:right w:val="single" w:sz="4" w:space="0" w:color="auto"/>
            </w:tcBorders>
            <w:shd w:val="clear" w:color="auto" w:fill="auto"/>
          </w:tcPr>
          <w:p w:rsidR="00FE3794" w:rsidRPr="00562C99" w:rsidP="00FE3794">
            <w:pPr>
              <w:pStyle w:val="PlainText"/>
              <w:jc w:val="center"/>
              <w:rPr>
                <w:rFonts w:ascii="Times New Roman" w:hAnsi="Times New Roman"/>
                <w:sz w:val="22"/>
                <w:szCs w:val="22"/>
              </w:rPr>
            </w:pPr>
            <w:r>
              <w:rPr>
                <w:rFonts w:ascii="Times New Roman" w:hAnsi="Times New Roman"/>
                <w:sz w:val="22"/>
                <w:szCs w:val="22"/>
              </w:rPr>
              <w:t>Shared</w:t>
            </w:r>
          </w:p>
        </w:tc>
        <w:tc>
          <w:tcPr>
            <w:tcW w:w="1728" w:type="dxa"/>
            <w:tcBorders>
              <w:left w:val="single" w:sz="4" w:space="0" w:color="auto"/>
              <w:right w:val="single" w:sz="4" w:space="0" w:color="auto"/>
            </w:tcBorders>
            <w:shd w:val="clear" w:color="auto" w:fill="auto"/>
          </w:tcPr>
          <w:p w:rsidR="00FE3794" w:rsidP="00FE3794">
            <w:pPr>
              <w:pStyle w:val="PlainText"/>
              <w:jc w:val="center"/>
              <w:rPr>
                <w:rFonts w:ascii="Times New Roman" w:hAnsi="Times New Roman"/>
                <w:sz w:val="22"/>
                <w:szCs w:val="22"/>
              </w:rPr>
            </w:pPr>
            <w:r>
              <w:rPr>
                <w:rFonts w:ascii="Times New Roman" w:hAnsi="Times New Roman"/>
                <w:sz w:val="22"/>
                <w:szCs w:val="22"/>
              </w:rPr>
              <w:t>65</w:t>
            </w:r>
          </w:p>
        </w:tc>
        <w:tc>
          <w:tcPr>
            <w:tcW w:w="1728" w:type="dxa"/>
            <w:tcBorders>
              <w:left w:val="single" w:sz="4" w:space="0" w:color="auto"/>
              <w:right w:val="single" w:sz="12" w:space="0" w:color="auto"/>
            </w:tcBorders>
            <w:shd w:val="clear" w:color="auto" w:fill="auto"/>
          </w:tcPr>
          <w:p w:rsidR="00FE3794" w:rsidP="00FE3794">
            <w:pPr>
              <w:pStyle w:val="PlainText"/>
              <w:jc w:val="center"/>
              <w:rPr>
                <w:rFonts w:ascii="Times New Roman" w:hAnsi="Times New Roman"/>
                <w:sz w:val="22"/>
                <w:szCs w:val="22"/>
              </w:rPr>
            </w:pPr>
            <w:r>
              <w:rPr>
                <w:rFonts w:ascii="Times New Roman" w:hAnsi="Times New Roman"/>
                <w:sz w:val="22"/>
                <w:szCs w:val="22"/>
              </w:rPr>
              <w:t>20</w:t>
            </w:r>
          </w:p>
        </w:tc>
      </w:tr>
      <w:tr w:rsidTr="0047033B">
        <w:tblPrEx>
          <w:tblW w:w="0" w:type="auto"/>
          <w:jc w:val="center"/>
          <w:tblLook w:val="04A0"/>
        </w:tblPrEx>
        <w:trPr>
          <w:jc w:val="center"/>
        </w:trPr>
        <w:tc>
          <w:tcPr>
            <w:tcW w:w="2304" w:type="dxa"/>
            <w:tcBorders>
              <w:left w:val="single" w:sz="12" w:space="0" w:color="auto"/>
            </w:tcBorders>
            <w:shd w:val="clear" w:color="auto" w:fill="auto"/>
          </w:tcPr>
          <w:p w:rsidR="00FE3794" w:rsidRPr="00562C99" w:rsidP="00FE3794">
            <w:pPr>
              <w:pStyle w:val="PlainText"/>
              <w:jc w:val="center"/>
              <w:rPr>
                <w:rFonts w:ascii="Times New Roman" w:hAnsi="Times New Roman"/>
                <w:sz w:val="22"/>
                <w:szCs w:val="22"/>
              </w:rPr>
            </w:pPr>
            <w:r w:rsidRPr="00562C99">
              <w:rPr>
                <w:rFonts w:ascii="Times New Roman" w:hAnsi="Times New Roman"/>
                <w:sz w:val="22"/>
                <w:szCs w:val="22"/>
              </w:rPr>
              <w:t>1710-1780 MHz</w:t>
            </w:r>
          </w:p>
        </w:tc>
        <w:tc>
          <w:tcPr>
            <w:tcW w:w="1728" w:type="dxa"/>
            <w:tcBorders>
              <w:right w:val="single" w:sz="4" w:space="0" w:color="auto"/>
            </w:tcBorders>
            <w:shd w:val="clear" w:color="auto" w:fill="auto"/>
          </w:tcPr>
          <w:p w:rsidR="00FE3794" w:rsidRPr="00562C99" w:rsidP="00FE3794">
            <w:pPr>
              <w:pStyle w:val="PlainText"/>
              <w:jc w:val="center"/>
              <w:rPr>
                <w:rFonts w:ascii="Times New Roman" w:hAnsi="Times New Roman"/>
                <w:sz w:val="22"/>
                <w:szCs w:val="22"/>
              </w:rPr>
            </w:pPr>
            <w:r w:rsidRPr="00562C99">
              <w:rPr>
                <w:rFonts w:ascii="Times New Roman" w:hAnsi="Times New Roman"/>
                <w:sz w:val="22"/>
                <w:szCs w:val="22"/>
              </w:rPr>
              <w:t>Mobile</w:t>
            </w:r>
          </w:p>
        </w:tc>
        <w:tc>
          <w:tcPr>
            <w:tcW w:w="1728" w:type="dxa"/>
            <w:tcBorders>
              <w:left w:val="single" w:sz="4" w:space="0" w:color="auto"/>
              <w:right w:val="single" w:sz="4" w:space="0" w:color="auto"/>
            </w:tcBorders>
            <w:shd w:val="clear" w:color="auto" w:fill="auto"/>
          </w:tcPr>
          <w:p w:rsidR="00FE3794" w:rsidRPr="00562C99" w:rsidP="00FE3794">
            <w:pPr>
              <w:pStyle w:val="PlainText"/>
              <w:jc w:val="center"/>
              <w:rPr>
                <w:rFonts w:ascii="Times New Roman" w:hAnsi="Times New Roman"/>
                <w:sz w:val="22"/>
                <w:szCs w:val="22"/>
              </w:rPr>
            </w:pPr>
            <w:r>
              <w:rPr>
                <w:rFonts w:ascii="Times New Roman" w:hAnsi="Times New Roman"/>
                <w:sz w:val="22"/>
                <w:szCs w:val="22"/>
              </w:rPr>
              <w:t>Shared</w:t>
            </w:r>
          </w:p>
        </w:tc>
        <w:tc>
          <w:tcPr>
            <w:tcW w:w="1728" w:type="dxa"/>
            <w:tcBorders>
              <w:left w:val="single" w:sz="4" w:space="0" w:color="auto"/>
              <w:right w:val="single" w:sz="4" w:space="0" w:color="auto"/>
            </w:tcBorders>
            <w:shd w:val="clear" w:color="auto" w:fill="auto"/>
          </w:tcPr>
          <w:p w:rsidR="00FE3794" w:rsidP="00FE3794">
            <w:pPr>
              <w:pStyle w:val="PlainText"/>
              <w:jc w:val="center"/>
              <w:rPr>
                <w:rFonts w:ascii="Times New Roman" w:hAnsi="Times New Roman"/>
                <w:sz w:val="22"/>
                <w:szCs w:val="22"/>
              </w:rPr>
            </w:pPr>
            <w:r>
              <w:rPr>
                <w:rFonts w:ascii="Times New Roman" w:hAnsi="Times New Roman"/>
                <w:sz w:val="22"/>
                <w:szCs w:val="22"/>
              </w:rPr>
              <w:t>65</w:t>
            </w:r>
          </w:p>
        </w:tc>
        <w:tc>
          <w:tcPr>
            <w:tcW w:w="1728" w:type="dxa"/>
            <w:tcBorders>
              <w:left w:val="single" w:sz="4" w:space="0" w:color="auto"/>
              <w:right w:val="single" w:sz="12" w:space="0" w:color="auto"/>
            </w:tcBorders>
            <w:shd w:val="clear" w:color="auto" w:fill="auto"/>
          </w:tcPr>
          <w:p w:rsidR="00FE3794" w:rsidP="00FE3794">
            <w:pPr>
              <w:pStyle w:val="PlainText"/>
              <w:jc w:val="center"/>
              <w:rPr>
                <w:rFonts w:ascii="Times New Roman" w:hAnsi="Times New Roman"/>
                <w:sz w:val="22"/>
                <w:szCs w:val="22"/>
              </w:rPr>
            </w:pPr>
            <w:r>
              <w:rPr>
                <w:rFonts w:ascii="Times New Roman" w:hAnsi="Times New Roman"/>
                <w:sz w:val="22"/>
                <w:szCs w:val="22"/>
              </w:rPr>
              <w:t>20</w:t>
            </w:r>
          </w:p>
        </w:tc>
      </w:tr>
      <w:tr w:rsidTr="0047033B">
        <w:tblPrEx>
          <w:tblW w:w="0" w:type="auto"/>
          <w:jc w:val="center"/>
          <w:tblLook w:val="04A0"/>
        </w:tblPrEx>
        <w:trPr>
          <w:jc w:val="center"/>
        </w:trPr>
        <w:tc>
          <w:tcPr>
            <w:tcW w:w="2304" w:type="dxa"/>
            <w:tcBorders>
              <w:left w:val="single" w:sz="12" w:space="0" w:color="auto"/>
            </w:tcBorders>
            <w:shd w:val="clear" w:color="auto" w:fill="auto"/>
          </w:tcPr>
          <w:p w:rsidR="00FE3794" w:rsidRPr="00562C99" w:rsidP="00FE3794">
            <w:pPr>
              <w:pStyle w:val="PlainText"/>
              <w:jc w:val="center"/>
              <w:rPr>
                <w:rFonts w:ascii="Times New Roman" w:hAnsi="Times New Roman"/>
                <w:sz w:val="22"/>
                <w:szCs w:val="22"/>
              </w:rPr>
            </w:pPr>
            <w:r w:rsidRPr="00562C99">
              <w:rPr>
                <w:rFonts w:ascii="Times New Roman" w:hAnsi="Times New Roman"/>
                <w:sz w:val="22"/>
                <w:szCs w:val="22"/>
              </w:rPr>
              <w:t>2110-2180 MHz</w:t>
            </w:r>
          </w:p>
        </w:tc>
        <w:tc>
          <w:tcPr>
            <w:tcW w:w="1728" w:type="dxa"/>
            <w:tcBorders>
              <w:right w:val="single" w:sz="4" w:space="0" w:color="auto"/>
            </w:tcBorders>
            <w:shd w:val="clear" w:color="auto" w:fill="auto"/>
          </w:tcPr>
          <w:p w:rsidR="00FE3794" w:rsidRPr="00562C99" w:rsidP="00FE3794">
            <w:pPr>
              <w:pStyle w:val="PlainText"/>
              <w:jc w:val="center"/>
              <w:rPr>
                <w:rFonts w:ascii="Times New Roman" w:hAnsi="Times New Roman"/>
                <w:sz w:val="22"/>
                <w:szCs w:val="22"/>
              </w:rPr>
            </w:pPr>
            <w:r w:rsidRPr="00562C99">
              <w:rPr>
                <w:rFonts w:ascii="Times New Roman" w:hAnsi="Times New Roman"/>
                <w:sz w:val="22"/>
                <w:szCs w:val="22"/>
              </w:rPr>
              <w:t>Fixed</w:t>
            </w:r>
          </w:p>
        </w:tc>
        <w:tc>
          <w:tcPr>
            <w:tcW w:w="1728" w:type="dxa"/>
            <w:tcBorders>
              <w:left w:val="single" w:sz="4" w:space="0" w:color="auto"/>
              <w:right w:val="single" w:sz="4" w:space="0" w:color="auto"/>
            </w:tcBorders>
            <w:shd w:val="clear" w:color="auto" w:fill="auto"/>
          </w:tcPr>
          <w:p w:rsidR="00FE3794" w:rsidRPr="00562C99" w:rsidP="00FE3794">
            <w:pPr>
              <w:pStyle w:val="PlainText"/>
              <w:jc w:val="center"/>
              <w:rPr>
                <w:rFonts w:ascii="Times New Roman" w:hAnsi="Times New Roman"/>
                <w:sz w:val="22"/>
                <w:szCs w:val="22"/>
              </w:rPr>
            </w:pPr>
            <w:r>
              <w:rPr>
                <w:rFonts w:ascii="Times New Roman" w:hAnsi="Times New Roman"/>
                <w:sz w:val="22"/>
                <w:szCs w:val="22"/>
              </w:rPr>
              <w:t>Non-federal</w:t>
            </w:r>
          </w:p>
        </w:tc>
        <w:tc>
          <w:tcPr>
            <w:tcW w:w="1728" w:type="dxa"/>
            <w:tcBorders>
              <w:left w:val="single" w:sz="4" w:space="0" w:color="auto"/>
              <w:right w:val="single" w:sz="4" w:space="0" w:color="auto"/>
            </w:tcBorders>
            <w:shd w:val="clear" w:color="auto" w:fill="auto"/>
          </w:tcPr>
          <w:p w:rsidR="00FE3794" w:rsidP="00FE3794">
            <w:pPr>
              <w:pStyle w:val="PlainText"/>
              <w:jc w:val="center"/>
              <w:rPr>
                <w:rFonts w:ascii="Times New Roman" w:hAnsi="Times New Roman"/>
                <w:sz w:val="22"/>
                <w:szCs w:val="22"/>
              </w:rPr>
            </w:pPr>
            <w:r>
              <w:rPr>
                <w:rFonts w:ascii="Times New Roman" w:hAnsi="Times New Roman"/>
                <w:sz w:val="22"/>
                <w:szCs w:val="22"/>
              </w:rPr>
              <w:t>65</w:t>
            </w:r>
          </w:p>
        </w:tc>
        <w:tc>
          <w:tcPr>
            <w:tcW w:w="1728" w:type="dxa"/>
            <w:tcBorders>
              <w:left w:val="single" w:sz="4" w:space="0" w:color="auto"/>
              <w:right w:val="single" w:sz="12" w:space="0" w:color="auto"/>
            </w:tcBorders>
            <w:shd w:val="clear" w:color="auto" w:fill="auto"/>
          </w:tcPr>
          <w:p w:rsidR="00FE3794" w:rsidP="00FE3794">
            <w:pPr>
              <w:pStyle w:val="PlainText"/>
              <w:jc w:val="center"/>
              <w:rPr>
                <w:rFonts w:ascii="Times New Roman" w:hAnsi="Times New Roman"/>
                <w:sz w:val="22"/>
                <w:szCs w:val="22"/>
              </w:rPr>
            </w:pPr>
            <w:r>
              <w:rPr>
                <w:rFonts w:ascii="Times New Roman" w:hAnsi="Times New Roman"/>
                <w:sz w:val="22"/>
                <w:szCs w:val="22"/>
              </w:rPr>
              <w:t>20</w:t>
            </w:r>
          </w:p>
        </w:tc>
      </w:tr>
      <w:tr w:rsidTr="0047033B">
        <w:tblPrEx>
          <w:tblW w:w="0" w:type="auto"/>
          <w:jc w:val="center"/>
          <w:tblLook w:val="04A0"/>
        </w:tblPrEx>
        <w:trPr>
          <w:jc w:val="center"/>
        </w:trPr>
        <w:tc>
          <w:tcPr>
            <w:tcW w:w="2304" w:type="dxa"/>
            <w:tcBorders>
              <w:left w:val="single" w:sz="12" w:space="0" w:color="auto"/>
              <w:bottom w:val="single" w:sz="4" w:space="0" w:color="auto"/>
            </w:tcBorders>
            <w:shd w:val="clear" w:color="auto" w:fill="auto"/>
          </w:tcPr>
          <w:p w:rsidR="00FE3794" w:rsidRPr="00562C99" w:rsidP="00FE3794">
            <w:pPr>
              <w:pStyle w:val="Default"/>
              <w:jc w:val="center"/>
              <w:rPr>
                <w:sz w:val="22"/>
                <w:szCs w:val="22"/>
              </w:rPr>
            </w:pPr>
            <w:r w:rsidRPr="00562C99">
              <w:rPr>
                <w:sz w:val="22"/>
                <w:szCs w:val="22"/>
              </w:rPr>
              <w:t>2390-2483.5 MHz</w:t>
            </w:r>
          </w:p>
        </w:tc>
        <w:tc>
          <w:tcPr>
            <w:tcW w:w="1728" w:type="dxa"/>
            <w:tcBorders>
              <w:bottom w:val="single" w:sz="4" w:space="0" w:color="auto"/>
              <w:right w:val="single" w:sz="4" w:space="0" w:color="auto"/>
            </w:tcBorders>
            <w:shd w:val="clear" w:color="auto" w:fill="auto"/>
          </w:tcPr>
          <w:p w:rsidR="00FE3794" w:rsidRPr="00562C99" w:rsidP="00FE3794">
            <w:pPr>
              <w:pStyle w:val="PlainText"/>
              <w:jc w:val="center"/>
              <w:rPr>
                <w:rFonts w:ascii="Times New Roman" w:hAnsi="Times New Roman"/>
                <w:sz w:val="22"/>
                <w:szCs w:val="22"/>
              </w:rPr>
            </w:pPr>
            <w:r w:rsidRPr="00562C99">
              <w:rPr>
                <w:rFonts w:ascii="Times New Roman" w:hAnsi="Times New Roman"/>
                <w:sz w:val="22"/>
                <w:szCs w:val="22"/>
              </w:rPr>
              <w:t>Fixed &amp; Mobile</w:t>
            </w:r>
          </w:p>
        </w:tc>
        <w:tc>
          <w:tcPr>
            <w:tcW w:w="1728" w:type="dxa"/>
            <w:tcBorders>
              <w:left w:val="single" w:sz="4" w:space="0" w:color="auto"/>
              <w:bottom w:val="single" w:sz="4" w:space="0" w:color="auto"/>
              <w:right w:val="single" w:sz="4" w:space="0" w:color="auto"/>
            </w:tcBorders>
            <w:shd w:val="clear" w:color="auto" w:fill="auto"/>
          </w:tcPr>
          <w:p w:rsidR="00FE3794" w:rsidRPr="00562C99" w:rsidP="00FE3794">
            <w:pPr>
              <w:pStyle w:val="PlainText"/>
              <w:jc w:val="center"/>
              <w:rPr>
                <w:rFonts w:ascii="Times New Roman" w:hAnsi="Times New Roman"/>
                <w:sz w:val="22"/>
                <w:szCs w:val="22"/>
              </w:rPr>
            </w:pPr>
            <w:r>
              <w:rPr>
                <w:rFonts w:ascii="Times New Roman" w:hAnsi="Times New Roman"/>
                <w:sz w:val="22"/>
                <w:szCs w:val="22"/>
              </w:rPr>
              <w:t>Shared</w:t>
            </w:r>
          </w:p>
        </w:tc>
        <w:tc>
          <w:tcPr>
            <w:tcW w:w="1728" w:type="dxa"/>
            <w:tcBorders>
              <w:left w:val="single" w:sz="4" w:space="0" w:color="auto"/>
              <w:bottom w:val="single" w:sz="4" w:space="0" w:color="auto"/>
              <w:right w:val="single" w:sz="4" w:space="0" w:color="auto"/>
            </w:tcBorders>
            <w:shd w:val="clear" w:color="auto" w:fill="auto"/>
          </w:tcPr>
          <w:p w:rsidR="00FE3794" w:rsidP="00FE3794">
            <w:pPr>
              <w:pStyle w:val="PlainText"/>
              <w:jc w:val="center"/>
              <w:rPr>
                <w:rFonts w:ascii="Times New Roman" w:hAnsi="Times New Roman"/>
                <w:sz w:val="22"/>
                <w:szCs w:val="22"/>
              </w:rPr>
            </w:pPr>
            <w:r>
              <w:rPr>
                <w:rFonts w:ascii="Times New Roman" w:hAnsi="Times New Roman"/>
                <w:sz w:val="22"/>
                <w:szCs w:val="22"/>
              </w:rPr>
              <w:t>65</w:t>
            </w:r>
          </w:p>
        </w:tc>
        <w:tc>
          <w:tcPr>
            <w:tcW w:w="1728" w:type="dxa"/>
            <w:tcBorders>
              <w:left w:val="single" w:sz="4" w:space="0" w:color="auto"/>
              <w:bottom w:val="single" w:sz="4" w:space="0" w:color="auto"/>
              <w:right w:val="single" w:sz="12" w:space="0" w:color="auto"/>
            </w:tcBorders>
            <w:shd w:val="clear" w:color="auto" w:fill="auto"/>
          </w:tcPr>
          <w:p w:rsidR="00FE3794" w:rsidP="00FE3794">
            <w:pPr>
              <w:pStyle w:val="PlainText"/>
              <w:jc w:val="center"/>
              <w:rPr>
                <w:rFonts w:ascii="Times New Roman" w:hAnsi="Times New Roman"/>
                <w:sz w:val="22"/>
                <w:szCs w:val="22"/>
              </w:rPr>
            </w:pPr>
            <w:r>
              <w:rPr>
                <w:rFonts w:ascii="Times New Roman" w:hAnsi="Times New Roman"/>
                <w:sz w:val="22"/>
                <w:szCs w:val="22"/>
              </w:rPr>
              <w:t>20</w:t>
            </w:r>
          </w:p>
        </w:tc>
      </w:tr>
      <w:tr w:rsidTr="0047033B">
        <w:tblPrEx>
          <w:tblW w:w="0" w:type="auto"/>
          <w:jc w:val="center"/>
          <w:tblLook w:val="04A0"/>
        </w:tblPrEx>
        <w:trPr>
          <w:jc w:val="center"/>
        </w:trPr>
        <w:tc>
          <w:tcPr>
            <w:tcW w:w="2304" w:type="dxa"/>
            <w:tcBorders>
              <w:left w:val="single" w:sz="12" w:space="0" w:color="auto"/>
              <w:bottom w:val="single" w:sz="4" w:space="0" w:color="auto"/>
            </w:tcBorders>
            <w:shd w:val="clear" w:color="auto" w:fill="auto"/>
          </w:tcPr>
          <w:p w:rsidR="00FE3794" w:rsidRPr="00562C99" w:rsidP="00FE3794">
            <w:pPr>
              <w:pStyle w:val="PlainText"/>
              <w:jc w:val="center"/>
              <w:rPr>
                <w:rFonts w:ascii="Times New Roman" w:hAnsi="Times New Roman"/>
                <w:sz w:val="22"/>
                <w:szCs w:val="22"/>
              </w:rPr>
            </w:pPr>
            <w:r w:rsidRPr="00562C99">
              <w:rPr>
                <w:rFonts w:ascii="Times New Roman" w:hAnsi="Times New Roman"/>
                <w:sz w:val="22"/>
                <w:szCs w:val="22"/>
              </w:rPr>
              <w:t>3300-3600 MHz</w:t>
            </w:r>
          </w:p>
        </w:tc>
        <w:tc>
          <w:tcPr>
            <w:tcW w:w="1728" w:type="dxa"/>
            <w:tcBorders>
              <w:bottom w:val="single" w:sz="4" w:space="0" w:color="auto"/>
              <w:right w:val="single" w:sz="4" w:space="0" w:color="auto"/>
            </w:tcBorders>
            <w:shd w:val="clear" w:color="auto" w:fill="auto"/>
          </w:tcPr>
          <w:p w:rsidR="00FE3794" w:rsidRPr="00562C99" w:rsidP="00FE3794">
            <w:pPr>
              <w:pStyle w:val="PlainText"/>
              <w:jc w:val="center"/>
              <w:rPr>
                <w:rFonts w:ascii="Times New Roman" w:hAnsi="Times New Roman"/>
                <w:sz w:val="22"/>
                <w:szCs w:val="22"/>
              </w:rPr>
            </w:pPr>
            <w:r w:rsidRPr="00562C99">
              <w:rPr>
                <w:rFonts w:ascii="Times New Roman" w:hAnsi="Times New Roman"/>
                <w:sz w:val="22"/>
                <w:szCs w:val="22"/>
              </w:rPr>
              <w:t>Fixed &amp; Mobile</w:t>
            </w:r>
          </w:p>
        </w:tc>
        <w:tc>
          <w:tcPr>
            <w:tcW w:w="1728" w:type="dxa"/>
            <w:tcBorders>
              <w:left w:val="single" w:sz="4" w:space="0" w:color="auto"/>
              <w:bottom w:val="single" w:sz="4" w:space="0" w:color="auto"/>
              <w:right w:val="single" w:sz="4" w:space="0" w:color="auto"/>
            </w:tcBorders>
            <w:shd w:val="clear" w:color="auto" w:fill="auto"/>
          </w:tcPr>
          <w:p w:rsidR="00FE3794" w:rsidRPr="00562C99" w:rsidP="00FE3794">
            <w:pPr>
              <w:pStyle w:val="PlainText"/>
              <w:jc w:val="center"/>
              <w:rPr>
                <w:rFonts w:ascii="Times New Roman" w:hAnsi="Times New Roman"/>
                <w:sz w:val="22"/>
                <w:szCs w:val="22"/>
              </w:rPr>
            </w:pPr>
            <w:r>
              <w:rPr>
                <w:rFonts w:ascii="Times New Roman" w:hAnsi="Times New Roman"/>
                <w:sz w:val="22"/>
                <w:szCs w:val="22"/>
              </w:rPr>
              <w:t>Shared</w:t>
            </w:r>
          </w:p>
        </w:tc>
        <w:tc>
          <w:tcPr>
            <w:tcW w:w="1728" w:type="dxa"/>
            <w:tcBorders>
              <w:left w:val="single" w:sz="4" w:space="0" w:color="auto"/>
              <w:bottom w:val="single" w:sz="4" w:space="0" w:color="auto"/>
              <w:right w:val="single" w:sz="4" w:space="0" w:color="auto"/>
            </w:tcBorders>
            <w:shd w:val="clear" w:color="auto" w:fill="auto"/>
          </w:tcPr>
          <w:p w:rsidR="00FE3794" w:rsidP="00FE3794">
            <w:pPr>
              <w:pStyle w:val="PlainText"/>
              <w:jc w:val="center"/>
              <w:rPr>
                <w:rFonts w:ascii="Times New Roman" w:hAnsi="Times New Roman"/>
                <w:sz w:val="22"/>
                <w:szCs w:val="22"/>
              </w:rPr>
            </w:pPr>
            <w:r>
              <w:rPr>
                <w:rFonts w:ascii="Times New Roman" w:hAnsi="Times New Roman"/>
                <w:sz w:val="22"/>
                <w:szCs w:val="22"/>
              </w:rPr>
              <w:t>65</w:t>
            </w:r>
          </w:p>
        </w:tc>
        <w:tc>
          <w:tcPr>
            <w:tcW w:w="1728" w:type="dxa"/>
            <w:tcBorders>
              <w:left w:val="single" w:sz="4" w:space="0" w:color="auto"/>
              <w:bottom w:val="single" w:sz="4" w:space="0" w:color="auto"/>
              <w:right w:val="single" w:sz="12" w:space="0" w:color="auto"/>
            </w:tcBorders>
            <w:shd w:val="clear" w:color="auto" w:fill="auto"/>
          </w:tcPr>
          <w:p w:rsidR="00FE3794" w:rsidP="00FE3794">
            <w:pPr>
              <w:pStyle w:val="PlainText"/>
              <w:jc w:val="center"/>
              <w:rPr>
                <w:rFonts w:ascii="Times New Roman" w:hAnsi="Times New Roman"/>
                <w:sz w:val="22"/>
                <w:szCs w:val="22"/>
              </w:rPr>
            </w:pPr>
            <w:r>
              <w:rPr>
                <w:rFonts w:ascii="Times New Roman" w:hAnsi="Times New Roman"/>
                <w:sz w:val="22"/>
                <w:szCs w:val="22"/>
              </w:rPr>
              <w:t>20</w:t>
            </w:r>
          </w:p>
        </w:tc>
      </w:tr>
      <w:tr w:rsidTr="0027395A">
        <w:tblPrEx>
          <w:tblW w:w="0" w:type="auto"/>
          <w:jc w:val="center"/>
          <w:tblLook w:val="04A0"/>
        </w:tblPrEx>
        <w:trPr>
          <w:jc w:val="center"/>
        </w:trPr>
        <w:tc>
          <w:tcPr>
            <w:tcW w:w="2304" w:type="dxa"/>
            <w:tcBorders>
              <w:left w:val="single" w:sz="12" w:space="0" w:color="auto"/>
              <w:bottom w:val="single" w:sz="4" w:space="0" w:color="auto"/>
            </w:tcBorders>
            <w:shd w:val="clear" w:color="auto" w:fill="auto"/>
          </w:tcPr>
          <w:p w:rsidR="0047033B" w:rsidRPr="00562C99" w:rsidP="00FE3794">
            <w:pPr>
              <w:pStyle w:val="PlainText"/>
              <w:jc w:val="center"/>
              <w:rPr>
                <w:rFonts w:ascii="Times New Roman" w:hAnsi="Times New Roman"/>
                <w:sz w:val="22"/>
                <w:szCs w:val="22"/>
              </w:rPr>
            </w:pPr>
            <w:r>
              <w:rPr>
                <w:rFonts w:ascii="Times New Roman" w:hAnsi="Times New Roman"/>
                <w:sz w:val="22"/>
                <w:szCs w:val="22"/>
              </w:rPr>
              <w:t>3700-4200 MHz</w:t>
            </w:r>
          </w:p>
        </w:tc>
        <w:tc>
          <w:tcPr>
            <w:tcW w:w="1728" w:type="dxa"/>
            <w:tcBorders>
              <w:bottom w:val="single" w:sz="4" w:space="0" w:color="auto"/>
              <w:right w:val="single" w:sz="4" w:space="0" w:color="auto"/>
            </w:tcBorders>
            <w:shd w:val="clear" w:color="auto" w:fill="auto"/>
          </w:tcPr>
          <w:p w:rsidR="0047033B" w:rsidRPr="00562C99" w:rsidP="00FE3794">
            <w:pPr>
              <w:pStyle w:val="PlainText"/>
              <w:jc w:val="center"/>
              <w:rPr>
                <w:rFonts w:ascii="Times New Roman" w:hAnsi="Times New Roman"/>
                <w:sz w:val="22"/>
                <w:szCs w:val="22"/>
              </w:rPr>
            </w:pPr>
            <w:r>
              <w:rPr>
                <w:rFonts w:ascii="Times New Roman" w:hAnsi="Times New Roman"/>
                <w:sz w:val="22"/>
                <w:szCs w:val="22"/>
              </w:rPr>
              <w:t>Mobile</w:t>
            </w:r>
          </w:p>
        </w:tc>
        <w:tc>
          <w:tcPr>
            <w:tcW w:w="1728" w:type="dxa"/>
            <w:tcBorders>
              <w:left w:val="single" w:sz="4" w:space="0" w:color="auto"/>
              <w:bottom w:val="single" w:sz="4" w:space="0" w:color="auto"/>
              <w:right w:val="single" w:sz="4" w:space="0" w:color="auto"/>
            </w:tcBorders>
            <w:shd w:val="clear" w:color="auto" w:fill="auto"/>
          </w:tcPr>
          <w:p w:rsidR="0047033B" w:rsidP="00FE3794">
            <w:pPr>
              <w:pStyle w:val="PlainText"/>
              <w:jc w:val="center"/>
              <w:rPr>
                <w:rFonts w:ascii="Times New Roman" w:hAnsi="Times New Roman"/>
                <w:sz w:val="22"/>
                <w:szCs w:val="22"/>
              </w:rPr>
            </w:pPr>
            <w:r>
              <w:rPr>
                <w:rFonts w:ascii="Times New Roman" w:hAnsi="Times New Roman"/>
                <w:sz w:val="22"/>
                <w:szCs w:val="22"/>
              </w:rPr>
              <w:t>Non-federal</w:t>
            </w:r>
          </w:p>
        </w:tc>
        <w:tc>
          <w:tcPr>
            <w:tcW w:w="1728" w:type="dxa"/>
            <w:tcBorders>
              <w:left w:val="single" w:sz="4" w:space="0" w:color="auto"/>
              <w:bottom w:val="single" w:sz="4" w:space="0" w:color="auto"/>
              <w:right w:val="single" w:sz="4" w:space="0" w:color="auto"/>
            </w:tcBorders>
            <w:shd w:val="clear" w:color="auto" w:fill="auto"/>
          </w:tcPr>
          <w:p w:rsidR="0047033B" w:rsidP="00FE3794">
            <w:pPr>
              <w:pStyle w:val="PlainText"/>
              <w:jc w:val="center"/>
              <w:rPr>
                <w:rFonts w:ascii="Times New Roman" w:hAnsi="Times New Roman"/>
                <w:sz w:val="22"/>
                <w:szCs w:val="22"/>
              </w:rPr>
            </w:pPr>
            <w:r>
              <w:rPr>
                <w:rFonts w:ascii="Times New Roman" w:hAnsi="Times New Roman"/>
                <w:sz w:val="22"/>
                <w:szCs w:val="22"/>
              </w:rPr>
              <w:t>65</w:t>
            </w:r>
          </w:p>
        </w:tc>
        <w:tc>
          <w:tcPr>
            <w:tcW w:w="1728" w:type="dxa"/>
            <w:tcBorders>
              <w:left w:val="single" w:sz="4" w:space="0" w:color="auto"/>
              <w:bottom w:val="single" w:sz="4" w:space="0" w:color="auto"/>
              <w:right w:val="single" w:sz="12" w:space="0" w:color="auto"/>
            </w:tcBorders>
            <w:shd w:val="clear" w:color="auto" w:fill="auto"/>
          </w:tcPr>
          <w:p w:rsidR="0047033B" w:rsidP="00FE3794">
            <w:pPr>
              <w:pStyle w:val="PlainText"/>
              <w:jc w:val="center"/>
              <w:rPr>
                <w:rFonts w:ascii="Times New Roman" w:hAnsi="Times New Roman"/>
                <w:sz w:val="22"/>
                <w:szCs w:val="22"/>
              </w:rPr>
            </w:pPr>
            <w:r>
              <w:rPr>
                <w:rFonts w:ascii="Times New Roman" w:hAnsi="Times New Roman"/>
                <w:sz w:val="22"/>
                <w:szCs w:val="22"/>
              </w:rPr>
              <w:t>20</w:t>
            </w:r>
          </w:p>
        </w:tc>
      </w:tr>
      <w:tr w:rsidTr="0047033B">
        <w:tblPrEx>
          <w:tblW w:w="0" w:type="auto"/>
          <w:jc w:val="center"/>
          <w:tblLook w:val="04A0"/>
        </w:tblPrEx>
        <w:trPr>
          <w:jc w:val="center"/>
        </w:trPr>
        <w:tc>
          <w:tcPr>
            <w:tcW w:w="2304" w:type="dxa"/>
            <w:tcBorders>
              <w:left w:val="single" w:sz="12" w:space="0" w:color="auto"/>
              <w:bottom w:val="single" w:sz="4" w:space="0" w:color="auto"/>
            </w:tcBorders>
            <w:shd w:val="clear" w:color="auto" w:fill="auto"/>
          </w:tcPr>
          <w:p w:rsidR="00FE3794" w:rsidRPr="00562C99" w:rsidP="00FE3794">
            <w:pPr>
              <w:pStyle w:val="PlainText"/>
              <w:jc w:val="center"/>
              <w:rPr>
                <w:rFonts w:ascii="Times New Roman" w:hAnsi="Times New Roman"/>
                <w:sz w:val="22"/>
                <w:szCs w:val="22"/>
              </w:rPr>
            </w:pPr>
            <w:r>
              <w:rPr>
                <w:rFonts w:ascii="Times New Roman" w:hAnsi="Times New Roman"/>
                <w:sz w:val="22"/>
                <w:szCs w:val="22"/>
              </w:rPr>
              <w:t>5650-5850 MHz</w:t>
            </w:r>
          </w:p>
        </w:tc>
        <w:tc>
          <w:tcPr>
            <w:tcW w:w="1728" w:type="dxa"/>
            <w:tcBorders>
              <w:bottom w:val="single" w:sz="4" w:space="0" w:color="auto"/>
              <w:right w:val="single" w:sz="4" w:space="0" w:color="auto"/>
            </w:tcBorders>
            <w:shd w:val="clear" w:color="auto" w:fill="auto"/>
          </w:tcPr>
          <w:p w:rsidR="00FE3794" w:rsidP="00FE3794">
            <w:pPr>
              <w:pStyle w:val="PlainText"/>
              <w:jc w:val="center"/>
              <w:rPr>
                <w:rFonts w:ascii="Times New Roman" w:hAnsi="Times New Roman"/>
                <w:sz w:val="22"/>
                <w:szCs w:val="22"/>
              </w:rPr>
            </w:pPr>
            <w:r>
              <w:rPr>
                <w:rFonts w:ascii="Times New Roman" w:hAnsi="Times New Roman"/>
                <w:sz w:val="22"/>
                <w:szCs w:val="22"/>
              </w:rPr>
              <w:t>Fixed &amp; Mobile</w:t>
            </w:r>
          </w:p>
        </w:tc>
        <w:tc>
          <w:tcPr>
            <w:tcW w:w="1728" w:type="dxa"/>
            <w:tcBorders>
              <w:left w:val="single" w:sz="4" w:space="0" w:color="auto"/>
              <w:bottom w:val="single" w:sz="4" w:space="0" w:color="auto"/>
              <w:right w:val="single" w:sz="4" w:space="0" w:color="auto"/>
            </w:tcBorders>
            <w:shd w:val="clear" w:color="auto" w:fill="auto"/>
          </w:tcPr>
          <w:p w:rsidR="00FE3794" w:rsidP="00FE3794">
            <w:pPr>
              <w:pStyle w:val="PlainText"/>
              <w:jc w:val="center"/>
              <w:rPr>
                <w:rFonts w:ascii="Times New Roman" w:hAnsi="Times New Roman"/>
                <w:sz w:val="22"/>
                <w:szCs w:val="22"/>
              </w:rPr>
            </w:pPr>
            <w:r>
              <w:rPr>
                <w:rFonts w:ascii="Times New Roman" w:hAnsi="Times New Roman"/>
                <w:sz w:val="22"/>
                <w:szCs w:val="22"/>
              </w:rPr>
              <w:t>Shared</w:t>
            </w:r>
          </w:p>
        </w:tc>
        <w:tc>
          <w:tcPr>
            <w:tcW w:w="1728" w:type="dxa"/>
            <w:tcBorders>
              <w:left w:val="single" w:sz="4" w:space="0" w:color="auto"/>
              <w:bottom w:val="single" w:sz="4" w:space="0" w:color="auto"/>
              <w:right w:val="single" w:sz="4" w:space="0" w:color="auto"/>
            </w:tcBorders>
            <w:shd w:val="clear" w:color="auto" w:fill="auto"/>
          </w:tcPr>
          <w:p w:rsidR="00FE3794" w:rsidP="00FE3794">
            <w:pPr>
              <w:pStyle w:val="PlainText"/>
              <w:jc w:val="center"/>
              <w:rPr>
                <w:rFonts w:ascii="Times New Roman" w:hAnsi="Times New Roman"/>
                <w:sz w:val="22"/>
                <w:szCs w:val="22"/>
              </w:rPr>
            </w:pPr>
            <w:r>
              <w:rPr>
                <w:rFonts w:ascii="Times New Roman" w:hAnsi="Times New Roman"/>
                <w:sz w:val="22"/>
                <w:szCs w:val="22"/>
              </w:rPr>
              <w:t>55</w:t>
            </w:r>
          </w:p>
        </w:tc>
        <w:tc>
          <w:tcPr>
            <w:tcW w:w="1728" w:type="dxa"/>
            <w:tcBorders>
              <w:left w:val="single" w:sz="4" w:space="0" w:color="auto"/>
              <w:bottom w:val="single" w:sz="4" w:space="0" w:color="auto"/>
              <w:right w:val="single" w:sz="12" w:space="0" w:color="auto"/>
            </w:tcBorders>
            <w:shd w:val="clear" w:color="auto" w:fill="auto"/>
          </w:tcPr>
          <w:p w:rsidR="00FE3794" w:rsidP="00FE3794">
            <w:pPr>
              <w:pStyle w:val="PlainText"/>
              <w:jc w:val="center"/>
              <w:rPr>
                <w:rFonts w:ascii="Times New Roman" w:hAnsi="Times New Roman"/>
                <w:sz w:val="22"/>
                <w:szCs w:val="22"/>
              </w:rPr>
            </w:pPr>
            <w:r>
              <w:rPr>
                <w:rFonts w:ascii="Times New Roman" w:hAnsi="Times New Roman"/>
                <w:sz w:val="22"/>
                <w:szCs w:val="22"/>
              </w:rPr>
              <w:t>20</w:t>
            </w:r>
          </w:p>
        </w:tc>
      </w:tr>
      <w:tr w:rsidTr="0047033B">
        <w:tblPrEx>
          <w:tblW w:w="0" w:type="auto"/>
          <w:jc w:val="center"/>
          <w:tblLook w:val="04A0"/>
        </w:tblPrEx>
        <w:trPr>
          <w:jc w:val="center"/>
        </w:trPr>
        <w:tc>
          <w:tcPr>
            <w:tcW w:w="2304" w:type="dxa"/>
            <w:tcBorders>
              <w:left w:val="single" w:sz="12" w:space="0" w:color="auto"/>
            </w:tcBorders>
            <w:shd w:val="clear" w:color="auto" w:fill="auto"/>
          </w:tcPr>
          <w:p w:rsidR="00FE3794" w:rsidRPr="00562C99" w:rsidP="00FE3794">
            <w:pPr>
              <w:pStyle w:val="PlainText"/>
              <w:jc w:val="center"/>
              <w:rPr>
                <w:rFonts w:ascii="Times New Roman" w:hAnsi="Times New Roman"/>
                <w:sz w:val="22"/>
                <w:szCs w:val="22"/>
              </w:rPr>
            </w:pPr>
            <w:r w:rsidRPr="00562C99">
              <w:rPr>
                <w:rFonts w:ascii="Times New Roman" w:hAnsi="Times New Roman"/>
                <w:sz w:val="22"/>
                <w:szCs w:val="22"/>
              </w:rPr>
              <w:t>5</w:t>
            </w:r>
            <w:r>
              <w:rPr>
                <w:rFonts w:ascii="Times New Roman" w:hAnsi="Times New Roman"/>
                <w:sz w:val="22"/>
                <w:szCs w:val="22"/>
              </w:rPr>
              <w:t>8</w:t>
            </w:r>
            <w:r w:rsidRPr="00562C99">
              <w:rPr>
                <w:rFonts w:ascii="Times New Roman" w:hAnsi="Times New Roman"/>
                <w:sz w:val="22"/>
                <w:szCs w:val="22"/>
              </w:rPr>
              <w:t>50-5925 MHz</w:t>
            </w:r>
          </w:p>
        </w:tc>
        <w:tc>
          <w:tcPr>
            <w:tcW w:w="1728" w:type="dxa"/>
            <w:tcBorders>
              <w:right w:val="single" w:sz="4" w:space="0" w:color="auto"/>
            </w:tcBorders>
            <w:shd w:val="clear" w:color="auto" w:fill="auto"/>
          </w:tcPr>
          <w:p w:rsidR="00FE3794" w:rsidRPr="00562C99" w:rsidP="00FE3794">
            <w:pPr>
              <w:pStyle w:val="PlainText"/>
              <w:jc w:val="center"/>
              <w:rPr>
                <w:rFonts w:ascii="Times New Roman" w:hAnsi="Times New Roman"/>
                <w:sz w:val="22"/>
                <w:szCs w:val="22"/>
              </w:rPr>
            </w:pPr>
            <w:r>
              <w:rPr>
                <w:rFonts w:ascii="Times New Roman" w:hAnsi="Times New Roman"/>
                <w:sz w:val="22"/>
                <w:szCs w:val="22"/>
              </w:rPr>
              <w:t xml:space="preserve">Fixed &amp; </w:t>
            </w:r>
            <w:r w:rsidRPr="00562C99">
              <w:rPr>
                <w:rFonts w:ascii="Times New Roman" w:hAnsi="Times New Roman"/>
                <w:sz w:val="22"/>
                <w:szCs w:val="22"/>
              </w:rPr>
              <w:t>Mobile</w:t>
            </w:r>
          </w:p>
        </w:tc>
        <w:tc>
          <w:tcPr>
            <w:tcW w:w="1728" w:type="dxa"/>
            <w:tcBorders>
              <w:left w:val="single" w:sz="4" w:space="0" w:color="auto"/>
              <w:right w:val="single" w:sz="4" w:space="0" w:color="auto"/>
            </w:tcBorders>
            <w:shd w:val="clear" w:color="auto" w:fill="auto"/>
          </w:tcPr>
          <w:p w:rsidR="00FE3794" w:rsidRPr="00562C99" w:rsidP="00FE3794">
            <w:pPr>
              <w:pStyle w:val="PlainText"/>
              <w:jc w:val="center"/>
              <w:rPr>
                <w:rFonts w:ascii="Times New Roman" w:hAnsi="Times New Roman"/>
                <w:sz w:val="22"/>
                <w:szCs w:val="22"/>
              </w:rPr>
            </w:pPr>
            <w:r>
              <w:rPr>
                <w:rFonts w:ascii="Times New Roman" w:hAnsi="Times New Roman"/>
                <w:sz w:val="22"/>
                <w:szCs w:val="22"/>
              </w:rPr>
              <w:t>Shared</w:t>
            </w:r>
          </w:p>
        </w:tc>
        <w:tc>
          <w:tcPr>
            <w:tcW w:w="1728" w:type="dxa"/>
            <w:tcBorders>
              <w:left w:val="single" w:sz="4" w:space="0" w:color="auto"/>
              <w:right w:val="single" w:sz="4" w:space="0" w:color="auto"/>
            </w:tcBorders>
            <w:shd w:val="clear" w:color="auto" w:fill="auto"/>
          </w:tcPr>
          <w:p w:rsidR="00FE3794" w:rsidP="00FE3794">
            <w:pPr>
              <w:pStyle w:val="PlainText"/>
              <w:jc w:val="center"/>
              <w:rPr>
                <w:rFonts w:ascii="Times New Roman" w:hAnsi="Times New Roman"/>
                <w:sz w:val="22"/>
                <w:szCs w:val="22"/>
              </w:rPr>
            </w:pPr>
            <w:r>
              <w:rPr>
                <w:rFonts w:ascii="Times New Roman" w:hAnsi="Times New Roman"/>
                <w:sz w:val="22"/>
                <w:szCs w:val="22"/>
              </w:rPr>
              <w:t>65</w:t>
            </w:r>
          </w:p>
        </w:tc>
        <w:tc>
          <w:tcPr>
            <w:tcW w:w="1728" w:type="dxa"/>
            <w:tcBorders>
              <w:left w:val="single" w:sz="4" w:space="0" w:color="auto"/>
              <w:right w:val="single" w:sz="12" w:space="0" w:color="auto"/>
            </w:tcBorders>
            <w:shd w:val="clear" w:color="auto" w:fill="auto"/>
          </w:tcPr>
          <w:p w:rsidR="00FE3794" w:rsidP="00FE3794">
            <w:pPr>
              <w:pStyle w:val="PlainText"/>
              <w:jc w:val="center"/>
              <w:rPr>
                <w:rFonts w:ascii="Times New Roman" w:hAnsi="Times New Roman"/>
                <w:sz w:val="22"/>
                <w:szCs w:val="22"/>
              </w:rPr>
            </w:pPr>
            <w:r>
              <w:rPr>
                <w:rFonts w:ascii="Times New Roman" w:hAnsi="Times New Roman"/>
                <w:sz w:val="22"/>
                <w:szCs w:val="22"/>
              </w:rPr>
              <w:t>20</w:t>
            </w:r>
          </w:p>
        </w:tc>
      </w:tr>
      <w:tr w:rsidTr="0027395A">
        <w:tblPrEx>
          <w:tblW w:w="0" w:type="auto"/>
          <w:jc w:val="center"/>
          <w:tblLook w:val="04A0"/>
        </w:tblPrEx>
        <w:trPr>
          <w:jc w:val="center"/>
        </w:trPr>
        <w:tc>
          <w:tcPr>
            <w:tcW w:w="2304" w:type="dxa"/>
            <w:tcBorders>
              <w:left w:val="single" w:sz="12" w:space="0" w:color="auto"/>
              <w:bottom w:val="single" w:sz="12" w:space="0" w:color="auto"/>
            </w:tcBorders>
            <w:shd w:val="clear" w:color="auto" w:fill="auto"/>
          </w:tcPr>
          <w:p w:rsidR="0047033B" w:rsidRPr="00562C99" w:rsidP="00FE3794">
            <w:pPr>
              <w:pStyle w:val="PlainText"/>
              <w:jc w:val="center"/>
              <w:rPr>
                <w:rFonts w:ascii="Times New Roman" w:hAnsi="Times New Roman"/>
                <w:sz w:val="22"/>
                <w:szCs w:val="22"/>
              </w:rPr>
            </w:pPr>
            <w:r>
              <w:rPr>
                <w:rFonts w:ascii="Times New Roman" w:hAnsi="Times New Roman"/>
                <w:sz w:val="22"/>
                <w:szCs w:val="22"/>
              </w:rPr>
              <w:t>5925-7125 MHz</w:t>
            </w:r>
          </w:p>
        </w:tc>
        <w:tc>
          <w:tcPr>
            <w:tcW w:w="1728" w:type="dxa"/>
            <w:tcBorders>
              <w:bottom w:val="single" w:sz="12" w:space="0" w:color="auto"/>
              <w:right w:val="single" w:sz="4" w:space="0" w:color="auto"/>
            </w:tcBorders>
            <w:shd w:val="clear" w:color="auto" w:fill="auto"/>
          </w:tcPr>
          <w:p w:rsidR="0047033B" w:rsidP="00FE3794">
            <w:pPr>
              <w:pStyle w:val="PlainText"/>
              <w:jc w:val="center"/>
              <w:rPr>
                <w:rFonts w:ascii="Times New Roman" w:hAnsi="Times New Roman"/>
                <w:sz w:val="22"/>
                <w:szCs w:val="22"/>
              </w:rPr>
            </w:pPr>
            <w:r>
              <w:rPr>
                <w:rFonts w:ascii="Times New Roman" w:hAnsi="Times New Roman"/>
                <w:sz w:val="22"/>
                <w:szCs w:val="22"/>
              </w:rPr>
              <w:t>Fixed &amp; Mobile</w:t>
            </w:r>
          </w:p>
        </w:tc>
        <w:tc>
          <w:tcPr>
            <w:tcW w:w="1728" w:type="dxa"/>
            <w:tcBorders>
              <w:left w:val="single" w:sz="4" w:space="0" w:color="auto"/>
              <w:bottom w:val="single" w:sz="12" w:space="0" w:color="auto"/>
              <w:right w:val="single" w:sz="4" w:space="0" w:color="auto"/>
            </w:tcBorders>
            <w:shd w:val="clear" w:color="auto" w:fill="auto"/>
          </w:tcPr>
          <w:p w:rsidR="0047033B" w:rsidP="00FE3794">
            <w:pPr>
              <w:pStyle w:val="PlainText"/>
              <w:jc w:val="center"/>
              <w:rPr>
                <w:rFonts w:ascii="Times New Roman" w:hAnsi="Times New Roman"/>
                <w:sz w:val="22"/>
                <w:szCs w:val="22"/>
              </w:rPr>
            </w:pPr>
            <w:r>
              <w:rPr>
                <w:rFonts w:ascii="Times New Roman" w:hAnsi="Times New Roman"/>
                <w:sz w:val="22"/>
                <w:szCs w:val="22"/>
              </w:rPr>
              <w:t>Non-federal</w:t>
            </w:r>
          </w:p>
        </w:tc>
        <w:tc>
          <w:tcPr>
            <w:tcW w:w="1728" w:type="dxa"/>
            <w:tcBorders>
              <w:left w:val="single" w:sz="4" w:space="0" w:color="auto"/>
              <w:bottom w:val="single" w:sz="12" w:space="0" w:color="auto"/>
              <w:right w:val="single" w:sz="4" w:space="0" w:color="auto"/>
            </w:tcBorders>
            <w:shd w:val="clear" w:color="auto" w:fill="auto"/>
          </w:tcPr>
          <w:p w:rsidR="0047033B" w:rsidP="00FE3794">
            <w:pPr>
              <w:pStyle w:val="PlainText"/>
              <w:jc w:val="center"/>
              <w:rPr>
                <w:rFonts w:ascii="Times New Roman" w:hAnsi="Times New Roman"/>
                <w:sz w:val="22"/>
                <w:szCs w:val="22"/>
              </w:rPr>
            </w:pPr>
            <w:r>
              <w:rPr>
                <w:rFonts w:ascii="Times New Roman" w:hAnsi="Times New Roman"/>
                <w:sz w:val="22"/>
                <w:szCs w:val="22"/>
              </w:rPr>
              <w:t>65</w:t>
            </w:r>
          </w:p>
        </w:tc>
        <w:tc>
          <w:tcPr>
            <w:tcW w:w="1728" w:type="dxa"/>
            <w:tcBorders>
              <w:left w:val="single" w:sz="4" w:space="0" w:color="auto"/>
              <w:bottom w:val="single" w:sz="12" w:space="0" w:color="auto"/>
              <w:right w:val="single" w:sz="12" w:space="0" w:color="auto"/>
            </w:tcBorders>
            <w:shd w:val="clear" w:color="auto" w:fill="auto"/>
          </w:tcPr>
          <w:p w:rsidR="0047033B" w:rsidP="00FE3794">
            <w:pPr>
              <w:pStyle w:val="PlainText"/>
              <w:jc w:val="center"/>
              <w:rPr>
                <w:rFonts w:ascii="Times New Roman" w:hAnsi="Times New Roman"/>
                <w:sz w:val="22"/>
                <w:szCs w:val="22"/>
              </w:rPr>
            </w:pPr>
            <w:r>
              <w:rPr>
                <w:rFonts w:ascii="Times New Roman" w:hAnsi="Times New Roman"/>
                <w:sz w:val="22"/>
                <w:szCs w:val="22"/>
              </w:rPr>
              <w:t>20</w:t>
            </w:r>
          </w:p>
        </w:tc>
      </w:tr>
    </w:tbl>
    <w:p w:rsidR="004F686D" w:rsidP="004F686D">
      <w:pPr>
        <w:pStyle w:val="PlainText"/>
        <w:rPr>
          <w:rFonts w:ascii="Times New Roman" w:hAnsi="Times New Roman"/>
          <w:sz w:val="22"/>
          <w:szCs w:val="22"/>
        </w:rPr>
      </w:pPr>
    </w:p>
    <w:p w:rsidR="00861939" w:rsidRPr="00861939" w:rsidP="006947C1">
      <w:pPr>
        <w:pStyle w:val="PlainText"/>
        <w:spacing w:after="120"/>
        <w:rPr>
          <w:rFonts w:ascii="Times New Roman" w:hAnsi="Times New Roman"/>
          <w:b/>
          <w:sz w:val="22"/>
          <w:szCs w:val="22"/>
        </w:rPr>
      </w:pPr>
      <w:r>
        <w:rPr>
          <w:rFonts w:ascii="Times New Roman" w:hAnsi="Times New Roman"/>
          <w:b/>
          <w:sz w:val="22"/>
          <w:szCs w:val="22"/>
        </w:rPr>
        <w:t>Innovation Zone Term</w:t>
      </w:r>
    </w:p>
    <w:p w:rsidR="00861939" w:rsidP="006947C1">
      <w:pPr>
        <w:pStyle w:val="ParaNum"/>
        <w:numPr>
          <w:ilvl w:val="0"/>
          <w:numId w:val="0"/>
        </w:numPr>
      </w:pPr>
      <w:r>
        <w:t>Both the New York City and Salt Lake City Innovation Zones are established for a period of five years from the release date of this public notice.  The term may be renewed upon request at the end of this term.</w:t>
      </w:r>
    </w:p>
    <w:p w:rsidR="00AC6344" w:rsidRPr="00AC6344" w:rsidP="00AE5626">
      <w:pPr>
        <w:pStyle w:val="PlainText"/>
        <w:keepNext/>
        <w:widowControl w:val="0"/>
        <w:spacing w:after="120"/>
        <w:rPr>
          <w:rFonts w:ascii="Times New Roman" w:hAnsi="Times New Roman"/>
          <w:b/>
          <w:sz w:val="22"/>
          <w:szCs w:val="22"/>
        </w:rPr>
      </w:pPr>
      <w:r>
        <w:rPr>
          <w:rFonts w:ascii="Times New Roman" w:hAnsi="Times New Roman"/>
          <w:b/>
          <w:sz w:val="22"/>
          <w:szCs w:val="22"/>
        </w:rPr>
        <w:t xml:space="preserve">Program License Registration within </w:t>
      </w:r>
      <w:r>
        <w:rPr>
          <w:rFonts w:ascii="Times New Roman" w:hAnsi="Times New Roman"/>
          <w:b/>
          <w:sz w:val="22"/>
          <w:szCs w:val="22"/>
        </w:rPr>
        <w:t>Innovation Zone</w:t>
      </w:r>
      <w:r>
        <w:rPr>
          <w:rFonts w:ascii="Times New Roman" w:hAnsi="Times New Roman"/>
          <w:b/>
          <w:sz w:val="22"/>
          <w:szCs w:val="22"/>
        </w:rPr>
        <w:t>s</w:t>
      </w:r>
      <w:r>
        <w:rPr>
          <w:rFonts w:ascii="Times New Roman" w:hAnsi="Times New Roman"/>
          <w:b/>
          <w:sz w:val="22"/>
          <w:szCs w:val="22"/>
        </w:rPr>
        <w:t xml:space="preserve"> </w:t>
      </w:r>
    </w:p>
    <w:p w:rsidR="000C5137" w:rsidP="006947C1">
      <w:pPr>
        <w:pStyle w:val="ParaNum"/>
        <w:numPr>
          <w:ilvl w:val="0"/>
          <w:numId w:val="0"/>
        </w:numPr>
      </w:pPr>
      <w:r>
        <w:t>Program licensees must register on OET’s</w:t>
      </w:r>
      <w:r w:rsidR="00BF136B">
        <w:t xml:space="preserve"> Experiments System webpage under the respective</w:t>
      </w:r>
      <w:r>
        <w:t xml:space="preserve"> Innovation Zone </w:t>
      </w:r>
      <w:r w:rsidR="00BF136B">
        <w:t xml:space="preserve">webpage at: </w:t>
      </w:r>
      <w:hyperlink r:id="rId5" w:history="1">
        <w:r w:rsidRPr="002636FF" w:rsidR="009D573F">
          <w:rPr>
            <w:rStyle w:val="Hyperlink"/>
            <w:szCs w:val="22"/>
          </w:rPr>
          <w:t>https://www.fcc.gov/els</w:t>
        </w:r>
      </w:hyperlink>
      <w:r w:rsidR="00BF136B">
        <w:t xml:space="preserve"> </w:t>
      </w:r>
      <w:r w:rsidR="0029276B">
        <w:t>prior to operation.</w:t>
      </w:r>
      <w:r>
        <w:t xml:space="preserve">  </w:t>
      </w:r>
      <w:r>
        <w:t>The online r</w:t>
      </w:r>
      <w:r>
        <w:t xml:space="preserve">egistration </w:t>
      </w:r>
      <w:r>
        <w:t xml:space="preserve">process will </w:t>
      </w:r>
      <w:r>
        <w:t>provide a record of</w:t>
      </w:r>
      <w:r>
        <w:t xml:space="preserve"> </w:t>
      </w:r>
      <w:r w:rsidR="00306F6B">
        <w:t xml:space="preserve">program </w:t>
      </w:r>
      <w:r>
        <w:t>licensees</w:t>
      </w:r>
      <w:r>
        <w:t xml:space="preserve"> </w:t>
      </w:r>
      <w:r w:rsidR="00306F6B">
        <w:t>that indicate an intent to operate</w:t>
      </w:r>
      <w:r>
        <w:t xml:space="preserve"> in each Innovation Zone</w:t>
      </w:r>
      <w:r w:rsidR="00306F6B">
        <w:t xml:space="preserve">.  This registration process along with the required coordination process through the PAWR program office will provide an opportunity for </w:t>
      </w:r>
      <w:r>
        <w:t>incumbent licensees</w:t>
      </w:r>
      <w:r w:rsidR="00E26630">
        <w:t xml:space="preserve"> and federal spectrum users</w:t>
      </w:r>
      <w:r>
        <w:t xml:space="preserve"> </w:t>
      </w:r>
      <w:r w:rsidR="00306F6B">
        <w:t xml:space="preserve">to </w:t>
      </w:r>
      <w:r>
        <w:t>be a</w:t>
      </w:r>
      <w:r w:rsidR="001434BE">
        <w:t>n</w:t>
      </w:r>
      <w:r>
        <w:t xml:space="preserve"> integral part of </w:t>
      </w:r>
      <w:r w:rsidR="00306F6B">
        <w:t xml:space="preserve">any necessary compatibility </w:t>
      </w:r>
      <w:r>
        <w:t xml:space="preserve">evaluation.  The website will further be useful </w:t>
      </w:r>
      <w:r>
        <w:t xml:space="preserve">to alert other program licensees and experimental licensees of nearby operations.  </w:t>
      </w:r>
    </w:p>
    <w:p w:rsidR="00A824D3" w:rsidP="006947C1">
      <w:pPr>
        <w:pStyle w:val="ParaNum"/>
        <w:numPr>
          <w:ilvl w:val="0"/>
          <w:numId w:val="0"/>
        </w:numPr>
      </w:pPr>
      <w:r>
        <w:t xml:space="preserve">The process </w:t>
      </w:r>
      <w:r w:rsidR="005501D8">
        <w:t xml:space="preserve">for the New York </w:t>
      </w:r>
      <w:r w:rsidR="0070055B">
        <w:t xml:space="preserve">City </w:t>
      </w:r>
      <w:r w:rsidR="005501D8">
        <w:t xml:space="preserve">and Salt Lake </w:t>
      </w:r>
      <w:r w:rsidR="00A33AF0">
        <w:t xml:space="preserve">City </w:t>
      </w:r>
      <w:r w:rsidR="005501D8">
        <w:t>Innovation zones will require</w:t>
      </w:r>
      <w:r>
        <w:t xml:space="preserve"> each program licensee to </w:t>
      </w:r>
      <w:r w:rsidRPr="0046636E" w:rsidR="0046636E">
        <w:t xml:space="preserve">indicate its call sign and </w:t>
      </w:r>
      <w:r w:rsidR="0046636E">
        <w:t xml:space="preserve">identify </w:t>
      </w:r>
      <w:r w:rsidRPr="0046636E" w:rsidR="0046636E">
        <w:t xml:space="preserve">the </w:t>
      </w:r>
      <w:r>
        <w:t>I</w:t>
      </w:r>
      <w:r w:rsidRPr="0046636E" w:rsidR="0046636E">
        <w:t xml:space="preserve">nnovation </w:t>
      </w:r>
      <w:r>
        <w:t>Z</w:t>
      </w:r>
      <w:r w:rsidRPr="0046636E" w:rsidR="0046636E">
        <w:t>one(s) in which it intends to operate</w:t>
      </w:r>
      <w:r w:rsidR="0046636E">
        <w:t>.  It will</w:t>
      </w:r>
      <w:r w:rsidRPr="0046636E" w:rsidR="0046636E">
        <w:t xml:space="preserve"> </w:t>
      </w:r>
      <w:r w:rsidR="005501D8">
        <w:t>provide</w:t>
      </w:r>
      <w:r>
        <w:t xml:space="preserve"> specific technical data, </w:t>
      </w:r>
      <w:r w:rsidR="0046636E">
        <w:t xml:space="preserve">a </w:t>
      </w:r>
      <w:r>
        <w:t>description of the experiment</w:t>
      </w:r>
      <w:r w:rsidR="0046636E">
        <w:t>,</w:t>
      </w:r>
      <w:r>
        <w:t xml:space="preserve"> and a stop buzzer contact person </w:t>
      </w:r>
      <w:r w:rsidR="0046636E">
        <w:t xml:space="preserve">for posting on the appropriate </w:t>
      </w:r>
      <w:r>
        <w:t>Innovation Zone page</w:t>
      </w:r>
      <w:r w:rsidR="0046636E">
        <w:t>(s)</w:t>
      </w:r>
      <w:r>
        <w:t>.</w:t>
      </w:r>
      <w:r w:rsidRPr="000C4316" w:rsidR="000C4316">
        <w:t xml:space="preserve"> Parties will use OET’s Experiments System webpage to submit this information.</w:t>
      </w:r>
      <w:r>
        <w:rPr>
          <w:rStyle w:val="FootnoteReference"/>
          <w:szCs w:val="22"/>
        </w:rPr>
        <w:footnoteReference w:id="10"/>
      </w:r>
    </w:p>
    <w:p w:rsidR="00F905A5" w:rsidP="006947C1">
      <w:pPr>
        <w:pStyle w:val="PlainText"/>
        <w:spacing w:after="120"/>
        <w:rPr>
          <w:rFonts w:ascii="Times New Roman" w:hAnsi="Times New Roman"/>
          <w:b/>
          <w:sz w:val="22"/>
          <w:szCs w:val="22"/>
        </w:rPr>
      </w:pPr>
      <w:r>
        <w:rPr>
          <w:rFonts w:ascii="Times New Roman" w:hAnsi="Times New Roman"/>
          <w:b/>
          <w:sz w:val="22"/>
          <w:szCs w:val="22"/>
        </w:rPr>
        <w:t>Innovation Zone Frequency Coordination</w:t>
      </w:r>
    </w:p>
    <w:p w:rsidR="000C5137" w:rsidP="006947C1">
      <w:pPr>
        <w:pStyle w:val="ParaNum"/>
        <w:numPr>
          <w:ilvl w:val="0"/>
          <w:numId w:val="0"/>
        </w:numPr>
      </w:pPr>
      <w:r>
        <w:t xml:space="preserve">In addition to </w:t>
      </w:r>
      <w:r w:rsidR="00A52827">
        <w:t xml:space="preserve">requesting </w:t>
      </w:r>
      <w:r>
        <w:t xml:space="preserve">to operate in an Innovation Zone, a Program Licensee must also coordinate its </w:t>
      </w:r>
      <w:r w:rsidRPr="006C5303">
        <w:t xml:space="preserve">operations prior to </w:t>
      </w:r>
      <w:r w:rsidRPr="006C5303" w:rsidR="00824894">
        <w:t>commencing its tests</w:t>
      </w:r>
      <w:r w:rsidRPr="006C5303">
        <w:t>.</w:t>
      </w:r>
      <w:r>
        <w:rPr>
          <w:rStyle w:val="FootnoteReference"/>
          <w:szCs w:val="22"/>
        </w:rPr>
        <w:footnoteReference w:id="11"/>
      </w:r>
      <w:r w:rsidRPr="006C5303">
        <w:t xml:space="preserve">  The PAWR </w:t>
      </w:r>
      <w:r w:rsidRPr="006C5303" w:rsidR="004B4FCE">
        <w:t>Project Office</w:t>
      </w:r>
      <w:r w:rsidRPr="006C5303">
        <w:t xml:space="preserve"> will serve as the frequency/operations coordinator for the New York City and Salt Lake City Innovation Zones.  In this role, the PAWR </w:t>
      </w:r>
      <w:r w:rsidRPr="006C5303" w:rsidR="004B4FCE">
        <w:t>Project Office</w:t>
      </w:r>
      <w:r w:rsidRPr="006C5303">
        <w:t xml:space="preserve"> will offer non-discriminatory service to all interested Program Licensees to </w:t>
      </w:r>
      <w:r w:rsidRPr="006C5303" w:rsidR="00A26966">
        <w:t xml:space="preserve">coordinate specific times and locations for each Program Licensee’s operations to avoid interference </w:t>
      </w:r>
      <w:r w:rsidR="00E26630">
        <w:t>t</w:t>
      </w:r>
      <w:r w:rsidR="00E34149">
        <w:t xml:space="preserve">o other spectrum users and </w:t>
      </w:r>
      <w:r w:rsidRPr="006C5303" w:rsidR="00A26966">
        <w:t xml:space="preserve">between </w:t>
      </w:r>
      <w:r w:rsidR="00E34149">
        <w:t xml:space="preserve">Program </w:t>
      </w:r>
      <w:r w:rsidRPr="006C5303" w:rsidR="00824894">
        <w:t xml:space="preserve">Licensees’ </w:t>
      </w:r>
      <w:r w:rsidRPr="006C5303" w:rsidR="00A26966">
        <w:t xml:space="preserve">tests.  The frequency coordinator </w:t>
      </w:r>
      <w:r>
        <w:t>may</w:t>
      </w:r>
      <w:r w:rsidRPr="006C5303" w:rsidR="00A26966">
        <w:t xml:space="preserve"> act as a central clearinghouse to </w:t>
      </w:r>
      <w:r w:rsidRPr="006C5303" w:rsidR="0044518C">
        <w:t xml:space="preserve">obtain consent from </w:t>
      </w:r>
      <w:r w:rsidRPr="006C5303" w:rsidR="00A26966">
        <w:t>other potentially affected Commission licensees and/or federal spectrum users</w:t>
      </w:r>
      <w:r w:rsidRPr="006C5303" w:rsidR="0044518C">
        <w:t xml:space="preserve"> for Innovation Zone operations</w:t>
      </w:r>
      <w:r w:rsidRPr="006C5303" w:rsidR="00A26966">
        <w:t xml:space="preserve">. </w:t>
      </w:r>
      <w:r w:rsidRPr="006C5303" w:rsidR="00F905A5">
        <w:t xml:space="preserve"> </w:t>
      </w:r>
      <w:r w:rsidRPr="006C5303" w:rsidR="00910468">
        <w:t xml:space="preserve">Alternatively, Program Licensees may coordinate their own arrangements with these authorized spectrum users.  In such cases, Program Licensees must still coordinate specific operations through the PAWR </w:t>
      </w:r>
      <w:r w:rsidRPr="006C5303" w:rsidR="004B4FCE">
        <w:t>Project Office</w:t>
      </w:r>
      <w:r w:rsidRPr="006C5303" w:rsidR="00910468">
        <w:t xml:space="preserve">.  </w:t>
      </w:r>
      <w:r w:rsidRPr="006C5303" w:rsidR="00824894">
        <w:t>Note that designating PAWR as the Innovation Zone</w:t>
      </w:r>
      <w:r w:rsidR="00824894">
        <w:t xml:space="preserve"> frequency coordinator does not confer operating authority on PAWR nor does it confer sole authority for PAWR to permit operations as Program Licensees must also register on </w:t>
      </w:r>
      <w:r w:rsidR="002E310A">
        <w:t>OET’s</w:t>
      </w:r>
      <w:r w:rsidR="00824894">
        <w:t xml:space="preserve"> Innovation Zone Registration Webpage.  </w:t>
      </w:r>
    </w:p>
    <w:p w:rsidR="00F905A5" w:rsidP="006947C1">
      <w:pPr>
        <w:pStyle w:val="PlainText"/>
        <w:spacing w:after="120"/>
        <w:rPr>
          <w:rFonts w:ascii="Times New Roman" w:hAnsi="Times New Roman"/>
          <w:sz w:val="22"/>
          <w:szCs w:val="22"/>
        </w:rPr>
      </w:pPr>
      <w:r>
        <w:rPr>
          <w:rFonts w:ascii="Times New Roman" w:hAnsi="Times New Roman"/>
          <w:sz w:val="22"/>
          <w:szCs w:val="22"/>
        </w:rPr>
        <w:t xml:space="preserve">Interested </w:t>
      </w:r>
      <w:r w:rsidR="002E310A">
        <w:rPr>
          <w:rFonts w:ascii="Times New Roman" w:hAnsi="Times New Roman"/>
          <w:sz w:val="22"/>
          <w:szCs w:val="22"/>
        </w:rPr>
        <w:t>P</w:t>
      </w:r>
      <w:r>
        <w:rPr>
          <w:rFonts w:ascii="Times New Roman" w:hAnsi="Times New Roman"/>
          <w:sz w:val="22"/>
          <w:szCs w:val="22"/>
        </w:rPr>
        <w:t xml:space="preserve">rogram </w:t>
      </w:r>
      <w:r w:rsidR="002E310A">
        <w:rPr>
          <w:rFonts w:ascii="Times New Roman" w:hAnsi="Times New Roman"/>
          <w:sz w:val="22"/>
          <w:szCs w:val="22"/>
        </w:rPr>
        <w:t>L</w:t>
      </w:r>
      <w:r>
        <w:rPr>
          <w:rFonts w:ascii="Times New Roman" w:hAnsi="Times New Roman"/>
          <w:sz w:val="22"/>
          <w:szCs w:val="22"/>
        </w:rPr>
        <w:t>icensees may contact</w:t>
      </w:r>
      <w:r w:rsidR="0078770E">
        <w:rPr>
          <w:rFonts w:ascii="Times New Roman" w:hAnsi="Times New Roman"/>
          <w:sz w:val="22"/>
          <w:szCs w:val="22"/>
        </w:rPr>
        <w:t xml:space="preserve"> Joe </w:t>
      </w:r>
      <w:r w:rsidR="0078770E">
        <w:rPr>
          <w:rFonts w:ascii="Times New Roman" w:hAnsi="Times New Roman"/>
          <w:sz w:val="22"/>
          <w:szCs w:val="22"/>
        </w:rPr>
        <w:t>Kochan</w:t>
      </w:r>
      <w:r w:rsidR="0078770E">
        <w:rPr>
          <w:rFonts w:ascii="Times New Roman" w:hAnsi="Times New Roman"/>
          <w:sz w:val="22"/>
          <w:szCs w:val="22"/>
        </w:rPr>
        <w:t xml:space="preserve">, </w:t>
      </w:r>
      <w:r w:rsidR="0047033B">
        <w:rPr>
          <w:rFonts w:ascii="Times New Roman" w:hAnsi="Times New Roman"/>
          <w:sz w:val="22"/>
          <w:szCs w:val="22"/>
        </w:rPr>
        <w:t xml:space="preserve">PAWR </w:t>
      </w:r>
      <w:r w:rsidR="0078770E">
        <w:rPr>
          <w:rFonts w:ascii="Times New Roman" w:hAnsi="Times New Roman"/>
          <w:sz w:val="22"/>
          <w:szCs w:val="22"/>
        </w:rPr>
        <w:t>Program Director, at joe.kochan@advancedwireless.org</w:t>
      </w:r>
      <w:r w:rsidR="002E310A">
        <w:rPr>
          <w:rFonts w:ascii="Times New Roman" w:hAnsi="Times New Roman"/>
          <w:sz w:val="22"/>
          <w:szCs w:val="22"/>
        </w:rPr>
        <w:t>.</w:t>
      </w:r>
    </w:p>
    <w:p w:rsidR="00715342" w:rsidRPr="00547FEF" w:rsidP="006947C1">
      <w:pPr>
        <w:pStyle w:val="PlainText"/>
        <w:spacing w:after="120"/>
        <w:rPr>
          <w:rFonts w:ascii="Times New Roman" w:hAnsi="Times New Roman"/>
          <w:b/>
          <w:sz w:val="22"/>
          <w:szCs w:val="22"/>
        </w:rPr>
      </w:pPr>
      <w:r w:rsidRPr="00547FEF">
        <w:rPr>
          <w:rFonts w:ascii="Times New Roman" w:hAnsi="Times New Roman"/>
          <w:b/>
          <w:sz w:val="22"/>
          <w:szCs w:val="22"/>
        </w:rPr>
        <w:t>OET Contact</w:t>
      </w:r>
    </w:p>
    <w:p w:rsidR="00AC6344" w:rsidP="006947C1">
      <w:pPr>
        <w:pStyle w:val="ParaNum"/>
        <w:numPr>
          <w:ilvl w:val="0"/>
          <w:numId w:val="0"/>
        </w:numPr>
      </w:pPr>
      <w:r>
        <w:t xml:space="preserve">Program licensees interested in operating in the New York City or Salt Lake City Innovation Zones </w:t>
      </w:r>
      <w:r w:rsidRPr="00547FEF">
        <w:t>may contact</w:t>
      </w:r>
      <w:r w:rsidR="002E310A">
        <w:t xml:space="preserve"> Ira Keltz at 202-418-0616 or </w:t>
      </w:r>
      <w:hyperlink r:id="rId6" w:history="1">
        <w:r w:rsidRPr="0037231F" w:rsidR="002E310A">
          <w:rPr>
            <w:rStyle w:val="Hyperlink"/>
            <w:szCs w:val="22"/>
          </w:rPr>
          <w:t>ira.keltz@fcc.gov</w:t>
        </w:r>
      </w:hyperlink>
      <w:r w:rsidR="002E310A">
        <w:t xml:space="preserve"> or</w:t>
      </w:r>
      <w:r w:rsidRPr="00547FEF">
        <w:t xml:space="preserve"> </w:t>
      </w:r>
      <w:r w:rsidRPr="002E310A">
        <w:t xml:space="preserve">Anthony Serafini </w:t>
      </w:r>
      <w:r w:rsidRPr="00547FEF">
        <w:t>at 202-418-2456 or</w:t>
      </w:r>
      <w:r>
        <w:t xml:space="preserve"> </w:t>
      </w:r>
      <w:r w:rsidR="0047033B">
        <w:t>a</w:t>
      </w:r>
      <w:r w:rsidRPr="00547FEF">
        <w:t>nthony.Serafini@fcc.gov with</w:t>
      </w:r>
      <w:r>
        <w:t xml:space="preserve"> </w:t>
      </w:r>
      <w:r w:rsidRPr="00547FEF">
        <w:t>questions regarding this public notice.</w:t>
      </w:r>
    </w:p>
    <w:p w:rsidR="00AC6344" w:rsidRPr="00811B83" w:rsidP="006947C1"/>
    <w:p w:rsidR="00123DB0" w:rsidRPr="00547FEF" w:rsidP="006947C1">
      <w:pPr>
        <w:jc w:val="center"/>
      </w:pPr>
      <w:r w:rsidRPr="00547FEF">
        <w:t>-</w:t>
      </w:r>
      <w:r w:rsidR="006947C1">
        <w:t xml:space="preserve"> </w:t>
      </w:r>
      <w:r w:rsidRPr="006947C1" w:rsidR="006947C1">
        <w:rPr>
          <w:b/>
        </w:rPr>
        <w:t>FCC</w:t>
      </w:r>
      <w:r w:rsidR="006947C1">
        <w:t xml:space="preserve"> </w:t>
      </w:r>
      <w:r w:rsidRPr="00547FEF">
        <w:t>-</w:t>
      </w:r>
    </w:p>
    <w:sectPr w:rsidSect="00DF0810">
      <w:headerReference w:type="default" r:id="rId7"/>
      <w:footerReference w:type="even" r:id="rId8"/>
      <w:footerReference w:type="default" r:id="rId9"/>
      <w:headerReference w:type="first" r:id="rId10"/>
      <w:footerReference w:type="first" r:id="rId11"/>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AE5626">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5626" w:rsidP="00AE5626">
    <w:pPr>
      <w:pStyle w:val="Footer"/>
      <w:tabs>
        <w:tab w:val="clear" w:pos="4320"/>
        <w:tab w:val="center" w:pos="468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3095">
      <w:r>
        <w:separator/>
      </w:r>
    </w:p>
  </w:footnote>
  <w:footnote w:type="continuationSeparator" w:id="1">
    <w:p w:rsidR="00B53095" w:rsidP="00C721AC">
      <w:pPr>
        <w:spacing w:before="120"/>
        <w:rPr>
          <w:sz w:val="20"/>
        </w:rPr>
      </w:pPr>
      <w:r>
        <w:rPr>
          <w:sz w:val="20"/>
        </w:rPr>
        <w:t xml:space="preserve">(Continued from previous page)  </w:t>
      </w:r>
      <w:r>
        <w:rPr>
          <w:sz w:val="20"/>
        </w:rPr>
        <w:separator/>
      </w:r>
    </w:p>
  </w:footnote>
  <w:footnote w:type="continuationNotice" w:id="2">
    <w:p w:rsidR="00B53095" w:rsidP="00C721AC">
      <w:pPr>
        <w:jc w:val="right"/>
        <w:rPr>
          <w:sz w:val="20"/>
        </w:rPr>
      </w:pPr>
      <w:r>
        <w:rPr>
          <w:sz w:val="20"/>
        </w:rPr>
        <w:t>(continued….)</w:t>
      </w:r>
    </w:p>
  </w:footnote>
  <w:footnote w:id="3">
    <w:p w:rsidR="00FE3163">
      <w:pPr>
        <w:pStyle w:val="FootnoteText"/>
      </w:pPr>
      <w:r>
        <w:rPr>
          <w:rStyle w:val="FootnoteReference"/>
        </w:rPr>
        <w:footnoteRef/>
      </w:r>
      <w:r>
        <w:t xml:space="preserve"> </w:t>
      </w:r>
      <w:r w:rsidRPr="006665FF" w:rsidR="00913F5B">
        <w:rPr>
          <w:i/>
        </w:rPr>
        <w:t>See</w:t>
      </w:r>
      <w:r w:rsidR="00913F5B">
        <w:t xml:space="preserve"> </w:t>
      </w:r>
      <w:r w:rsidR="0046636E">
        <w:t>L</w:t>
      </w:r>
      <w:r w:rsidR="00913F5B">
        <w:t xml:space="preserve">etter from Joseph </w:t>
      </w:r>
      <w:r w:rsidR="00913F5B">
        <w:t>Kochan</w:t>
      </w:r>
      <w:r w:rsidR="00913F5B">
        <w:t>, Project Director, PAWR Program Office</w:t>
      </w:r>
      <w:r w:rsidR="0046636E">
        <w:t>,</w:t>
      </w:r>
      <w:r w:rsidR="00913F5B">
        <w:t xml:space="preserve"> to Ira Keltz, Office of Engineering and Technology, Federal Communications Commission (March 1, 2019)</w:t>
      </w:r>
      <w:r w:rsidR="0046636E">
        <w:t xml:space="preserve"> (</w:t>
      </w:r>
      <w:r w:rsidR="00212636">
        <w:t xml:space="preserve">available in ET Docket </w:t>
      </w:r>
      <w:r w:rsidR="00D27C21">
        <w:t xml:space="preserve">No. </w:t>
      </w:r>
      <w:r w:rsidR="00212636">
        <w:t>19-257</w:t>
      </w:r>
      <w:r w:rsidR="0046636E">
        <w:t>)</w:t>
      </w:r>
      <w:r w:rsidR="00913F5B">
        <w:t xml:space="preserve"> and </w:t>
      </w:r>
      <w:r w:rsidR="0046636E">
        <w:t>L</w:t>
      </w:r>
      <w:r w:rsidR="00913F5B">
        <w:t xml:space="preserve">etter from Joseph </w:t>
      </w:r>
      <w:r w:rsidR="00913F5B">
        <w:t>Kochan</w:t>
      </w:r>
      <w:r w:rsidR="00913F5B">
        <w:t>, Project Director, PAWR Program Office</w:t>
      </w:r>
      <w:r w:rsidR="0046636E">
        <w:t>,</w:t>
      </w:r>
      <w:r w:rsidR="00913F5B">
        <w:t xml:space="preserve"> to Ira </w:t>
      </w:r>
      <w:r w:rsidRPr="00212636" w:rsidR="00913F5B">
        <w:t xml:space="preserve">Keltz, Office of Engineering and Technology, Federal Communications Commission (July 15, 2019) </w:t>
      </w:r>
      <w:r w:rsidRPr="00212636" w:rsidR="0046636E">
        <w:t>(</w:t>
      </w:r>
      <w:r w:rsidRPr="00212636" w:rsidR="00212636">
        <w:t xml:space="preserve">available in ET Docket </w:t>
      </w:r>
      <w:r w:rsidR="00D27C21">
        <w:t xml:space="preserve">No. </w:t>
      </w:r>
      <w:r w:rsidRPr="00212636" w:rsidR="00212636">
        <w:t>19-257</w:t>
      </w:r>
      <w:r w:rsidRPr="00212636" w:rsidR="0046636E">
        <w:t>)</w:t>
      </w:r>
      <w:r w:rsidRPr="00212636" w:rsidR="00913F5B">
        <w:t>.</w:t>
      </w:r>
      <w:r w:rsidR="00913F5B">
        <w:t xml:space="preserve">  </w:t>
      </w:r>
    </w:p>
  </w:footnote>
  <w:footnote w:id="4">
    <w:p w:rsidR="00913F5B" w:rsidP="00913F5B">
      <w:pPr>
        <w:pStyle w:val="FootnoteText"/>
      </w:pPr>
      <w:r>
        <w:rPr>
          <w:rStyle w:val="FootnoteReference"/>
        </w:rPr>
        <w:footnoteRef/>
      </w:r>
      <w:r>
        <w:t xml:space="preserve"> </w:t>
      </w:r>
      <w:r>
        <w:rPr>
          <w:i/>
        </w:rPr>
        <w:t>See Id.</w:t>
      </w:r>
      <w:r w:rsidRPr="00913F5B">
        <w:rPr>
          <w:i/>
        </w:rPr>
        <w:t xml:space="preserve"> </w:t>
      </w:r>
      <w:r>
        <w:rPr>
          <w:i/>
        </w:rPr>
        <w:t xml:space="preserve"> </w:t>
      </w:r>
      <w:r>
        <w:t>PAWR</w:t>
      </w:r>
      <w:r w:rsidR="0046636E">
        <w:t xml:space="preserve">, Platforms for Advanced Wireless Research, </w:t>
      </w:r>
      <w:hyperlink r:id="rId1" w:history="1">
        <w:r>
          <w:rPr>
            <w:rStyle w:val="Hyperlink"/>
          </w:rPr>
          <w:t>https://advancedwireless.org</w:t>
        </w:r>
      </w:hyperlink>
      <w:r w:rsidR="001E0F80">
        <w:t xml:space="preserve"> (last visited August 9, 2019);</w:t>
      </w:r>
      <w:r>
        <w:t xml:space="preserve"> National Science Foundation</w:t>
      </w:r>
      <w:r w:rsidR="0046636E">
        <w:t>,</w:t>
      </w:r>
      <w:r w:rsidR="001E0F80">
        <w:t xml:space="preserve"> </w:t>
      </w:r>
      <w:r w:rsidRPr="001E0F80" w:rsidR="001E0F80">
        <w:t>Platforms for Advanced Wireless Research (PAWR): Establishing the PAWR Project Office (PPO) (PAWR/PPO)</w:t>
      </w:r>
      <w:r w:rsidR="001E0F80">
        <w:t>,</w:t>
      </w:r>
      <w:r w:rsidR="0046636E">
        <w:t xml:space="preserve"> </w:t>
      </w:r>
      <w:r w:rsidRPr="007171F8">
        <w:t xml:space="preserve"> </w:t>
      </w:r>
      <w:hyperlink r:id="rId2" w:history="1">
        <w:r w:rsidRPr="007171F8">
          <w:rPr>
            <w:rStyle w:val="Hyperlink"/>
          </w:rPr>
          <w:t>https://www.nsf.gov/funding/pgm_summ.jsp?pims_id=505316</w:t>
        </w:r>
      </w:hyperlink>
      <w:r w:rsidR="001E0F80">
        <w:t xml:space="preserve"> (last visited August 9, 2019)</w:t>
      </w:r>
      <w:r w:rsidR="00460950">
        <w:t>.</w:t>
      </w:r>
    </w:p>
  </w:footnote>
  <w:footnote w:id="5">
    <w:p w:rsidR="00FE3163" w:rsidP="00FE3163">
      <w:pPr>
        <w:pStyle w:val="FootnoteText"/>
      </w:pPr>
      <w:r>
        <w:rPr>
          <w:rStyle w:val="FootnoteReference"/>
        </w:rPr>
        <w:footnoteRef/>
      </w:r>
      <w:r>
        <w:t xml:space="preserve"> </w:t>
      </w:r>
      <w:r w:rsidRPr="00162EED">
        <w:rPr>
          <w:i/>
        </w:rPr>
        <w:t>Promoting Expanded Opportunities for Radio Experimentation and Market Trials under Part 5 of the Commission’s Rules and Streamlining Other Related Rules</w:t>
      </w:r>
      <w:r>
        <w:t xml:space="preserve">, </w:t>
      </w:r>
      <w:r w:rsidR="001E0F80">
        <w:t xml:space="preserve">ET Docket No. </w:t>
      </w:r>
      <w:r w:rsidR="00460950">
        <w:t>10</w:t>
      </w:r>
      <w:r w:rsidR="001E0F80">
        <w:t>-</w:t>
      </w:r>
      <w:r w:rsidR="00460950">
        <w:t>236</w:t>
      </w:r>
      <w:r w:rsidR="001E0F80">
        <w:t xml:space="preserve">, Report and Order, </w:t>
      </w:r>
      <w:r>
        <w:t xml:space="preserve">FCC 13-15, 28 FCC </w:t>
      </w:r>
      <w:r>
        <w:t>Rcd</w:t>
      </w:r>
      <w:r>
        <w:t xml:space="preserve"> 758 (2013)</w:t>
      </w:r>
      <w:r w:rsidR="00052CA4">
        <w:t xml:space="preserve"> (Experimental R&amp;O)</w:t>
      </w:r>
      <w:r>
        <w:t>.</w:t>
      </w:r>
    </w:p>
  </w:footnote>
  <w:footnote w:id="6">
    <w:p w:rsidR="00AC6344">
      <w:pPr>
        <w:pStyle w:val="FootnoteText"/>
      </w:pPr>
      <w:r>
        <w:rPr>
          <w:rStyle w:val="FootnoteReference"/>
        </w:rPr>
        <w:footnoteRef/>
      </w:r>
      <w:r>
        <w:t xml:space="preserve"> </w:t>
      </w:r>
      <w:r w:rsidR="00052CA4">
        <w:t>Experimental R&amp;O</w:t>
      </w:r>
      <w:r w:rsidR="001E0F80">
        <w:t xml:space="preserve">, 28 FCC </w:t>
      </w:r>
      <w:r w:rsidR="001E0F80">
        <w:t>Rcd</w:t>
      </w:r>
      <w:r w:rsidR="001E0F80">
        <w:t xml:space="preserve"> at 792, </w:t>
      </w:r>
      <w:r w:rsidR="00052CA4">
        <w:t>para 93.</w:t>
      </w:r>
    </w:p>
  </w:footnote>
  <w:footnote w:id="7">
    <w:p w:rsidR="00AC6344">
      <w:pPr>
        <w:pStyle w:val="FootnoteText"/>
      </w:pPr>
      <w:r>
        <w:rPr>
          <w:rStyle w:val="FootnoteReference"/>
        </w:rPr>
        <w:footnoteRef/>
      </w:r>
      <w:r>
        <w:t xml:space="preserve"> </w:t>
      </w:r>
      <w:r w:rsidR="00BC0BB3">
        <w:t xml:space="preserve">The Experiments System webpage can be accessed at: </w:t>
      </w:r>
      <w:hyperlink r:id="rId3" w:history="1">
        <w:r w:rsidRPr="002636FF" w:rsidR="009D573F">
          <w:rPr>
            <w:rStyle w:val="Hyperlink"/>
          </w:rPr>
          <w:t>https://www.fcc.gov/els</w:t>
        </w:r>
      </w:hyperlink>
      <w:r w:rsidR="00BC0BB3">
        <w:t>.</w:t>
      </w:r>
    </w:p>
  </w:footnote>
  <w:footnote w:id="8">
    <w:p w:rsidR="009F5740" w:rsidP="009F5740">
      <w:pPr>
        <w:pStyle w:val="FootnoteText"/>
      </w:pPr>
      <w:r>
        <w:rPr>
          <w:rStyle w:val="FootnoteReference"/>
        </w:rPr>
        <w:footnoteRef/>
      </w:r>
      <w:r>
        <w:t xml:space="preserve"> Program licensees with experimentation needs that differ from those permitted for the New York City and Salt Lake City Innovation Zones will be required to apply for and obtain a conventional experimental license through the Commission’s experimental licensing system prior to operating.  In such instances, requests to operate on federally allocated spectrum will be coordinated with NTIA.</w:t>
      </w:r>
    </w:p>
  </w:footnote>
  <w:footnote w:id="9">
    <w:p w:rsidR="00E26630">
      <w:pPr>
        <w:pStyle w:val="FootnoteText"/>
      </w:pPr>
      <w:r>
        <w:rPr>
          <w:rStyle w:val="FootnoteReference"/>
        </w:rPr>
        <w:footnoteRef/>
      </w:r>
      <w:r>
        <w:t xml:space="preserve"> The PAWR Project Office will coordinate with non-federal licensees as appropriate as well as establish coordination procedures with potentially affected federal spectrum users.</w:t>
      </w:r>
    </w:p>
  </w:footnote>
  <w:footnote w:id="10">
    <w:p w:rsidR="00162EED">
      <w:pPr>
        <w:pStyle w:val="FootnoteText"/>
      </w:pPr>
      <w:r>
        <w:rPr>
          <w:rStyle w:val="FootnoteReference"/>
        </w:rPr>
        <w:footnoteRef/>
      </w:r>
      <w:r>
        <w:t xml:space="preserve"> </w:t>
      </w:r>
      <w:r w:rsidRPr="00162EED">
        <w:t xml:space="preserve">Further information and detailed filing instructions can be found at </w:t>
      </w:r>
      <w:hyperlink r:id="rId3" w:history="1">
        <w:r w:rsidRPr="002636FF" w:rsidR="009D573F">
          <w:rPr>
            <w:rStyle w:val="Hyperlink"/>
          </w:rPr>
          <w:t>https://www.fcc.gov/els</w:t>
        </w:r>
      </w:hyperlink>
      <w:r w:rsidR="009D573F">
        <w:t xml:space="preserve">. </w:t>
      </w:r>
    </w:p>
  </w:footnote>
  <w:footnote w:id="11">
    <w:p w:rsidR="00B52421" w:rsidP="00B52421">
      <w:pPr>
        <w:pStyle w:val="FootnoteText"/>
      </w:pPr>
      <w:r>
        <w:rPr>
          <w:rStyle w:val="FootnoteReference"/>
        </w:rPr>
        <w:footnoteRef/>
      </w:r>
      <w:r>
        <w:t xml:space="preserve"> We note that the bands being designated for the New York City and Salt Lake City Innovation Zones contain or are adjacent to important incumbent uses, including safety-of-life applications.  The PAWR </w:t>
      </w:r>
      <w:r w:rsidR="00E34149">
        <w:t>project office will take these uses by non-federal and federal spectrum users into consideration when coordinating Program Licensees’ specific operations for each area.</w:t>
      </w:r>
      <w:r w:rsidR="00C36FF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47C1" w:rsidRPr="009838BC" w:rsidP="006947C1">
    <w:pPr>
      <w:tabs>
        <w:tab w:val="center" w:pos="4680"/>
        <w:tab w:val="right" w:pos="9360"/>
      </w:tabs>
    </w:pPr>
    <w:r w:rsidRPr="009838BC">
      <w:rPr>
        <w:b/>
      </w:rPr>
      <w:tab/>
      <w:t>Federal Communications Commission</w:t>
    </w:r>
    <w:r w:rsidRPr="009838BC">
      <w:rPr>
        <w:b/>
      </w:rPr>
      <w:tab/>
    </w:r>
    <w:r>
      <w:rPr>
        <w:b/>
      </w:rPr>
      <w:t>DA 19-923</w:t>
    </w:r>
  </w:p>
  <w:p w:rsidR="006947C1" w:rsidRPr="009838BC" w:rsidP="006947C1">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6947C1" w:rsidRPr="009838BC" w:rsidP="006947C1">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47C1" w:rsidRPr="00B338A9" w:rsidP="006947C1">
    <w:pPr>
      <w:pStyle w:val="Header"/>
      <w:ind w:firstLine="0"/>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fcc_logo" style="width:41.75pt;height:41.75pt;margin-top:7pt;margin-left:-51.25pt;position:absolute;z-index:251661312" o:allowincell="f">
          <v:imagedata r:id="rId1" o:title=""/>
          <w10:wrap type="topAndBottom"/>
        </v:shape>
      </w:pict>
    </w:r>
    <w:r>
      <w:rPr>
        <w:b w:val="0"/>
        <w:noProof/>
      </w:rPr>
      <w:pict>
        <v:shapetype id="_x0000_t202" coordsize="21600,21600" o:spt="202" path="m,l,21600r21600,l21600,xe">
          <v:stroke joinstyle="miter"/>
          <v:path gradientshapeok="t" o:connecttype="rect"/>
        </v:shapetype>
        <v:shape id="Text Box 3" o:spid="_x0000_s2051" type="#_x0000_t202" style="width:244.8pt;height:50.4pt;margin-top:58.35pt;margin-left:-4.5pt;mso-position-horizontal-relative:margin;position:absolute;z-index:251658240"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w:r>
    <w:r w:rsidRPr="00B338A9" w:rsidR="00F65C79">
      <w:t>PUBLIC NOTICE</w:t>
    </w:r>
  </w:p>
  <w:p w:rsidR="00D47505" w:rsidP="006947C1">
    <w:pPr>
      <w:pStyle w:val="Header"/>
      <w:ind w:firstLine="0"/>
    </w:pPr>
    <w:r>
      <w:rPr>
        <w:b w:val="0"/>
        <w:noProof/>
      </w:rPr>
      <w:pict>
        <v:line id="Line 4" o:spid="_x0000_s2052" style="mso-position-horizontal:right;mso-position-horizontal-relative:margin;position:absolute;z-index:251659264" from="428pt,56.7pt" to="896pt,56.7pt" o:allowincell="f" fillcolor="none">
          <w10:wrap anchorx="margin"/>
        </v:line>
      </w:pict>
    </w:r>
    <w:r>
      <w:rPr>
        <w:b w:val="0"/>
        <w:noProof/>
      </w:rPr>
      <w:pict>
        <v:shape id="Text Box 5" o:spid="_x0000_s2053" type="#_x0000_t202" style="width:207.95pt;height:35.25pt;margin-top:14.05pt;margin-left:263.25pt;position:absolute;z-index:251660288"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hyperlink r:id="rId2" w:history="1">
                  <w:r w:rsidRPr="00D216CD" w:rsidR="007F413A">
                    <w:rPr>
                      <w:rStyle w:val="Hyperlink"/>
                      <w:rFonts w:ascii="Arial" w:hAnsi="Arial"/>
                      <w:b/>
                      <w:sz w:val="16"/>
                    </w:rPr>
                    <w:t>h</w:t>
                  </w:r>
                  <w:bookmarkEnd w:id="1"/>
                  <w:r w:rsidRPr="00D216CD" w:rsidR="007F413A">
                    <w:rPr>
                      <w:rStyle w:val="Hyperlink"/>
                      <w:rFonts w:ascii="Arial" w:hAnsi="Arial"/>
                      <w:b/>
                      <w:sz w:val="16"/>
                    </w:rPr>
                    <w:t>ttps://www.fcc.gov</w:t>
                  </w:r>
                </w:hyperlink>
              </w:p>
              <w:p w:rsidR="00D47505" w:rsidP="00B338A9">
                <w:pPr>
                  <w:jc w:val="right"/>
                </w:pPr>
                <w:r>
                  <w:rPr>
                    <w:rFonts w:ascii="Arial" w:hAnsi="Arial"/>
                    <w:b/>
                    <w:sz w:val="16"/>
                  </w:rPr>
                  <w:t>TTY: 1-888-835-5322</w:t>
                </w:r>
              </w:p>
            </w:txbxContent>
          </v:textbox>
        </v:shape>
      </w:pict>
    </w:r>
  </w:p>
  <w:p w:rsidR="006947C1" w:rsidRPr="006947C1" w:rsidP="006947C1">
    <w:pPr>
      <w:pStyle w:val="Header"/>
      <w:ind w:firstLine="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16470"/>
    <w:multiLevelType w:val="hybridMultilevel"/>
    <w:tmpl w:val="CF96649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1DD22BE4"/>
    <w:multiLevelType w:val="hybridMultilevel"/>
    <w:tmpl w:val="AF5E60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63074571"/>
    <w:multiLevelType w:val="hybridMultilevel"/>
    <w:tmpl w:val="B80AF9CC"/>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3042FC9"/>
    <w:multiLevelType w:val="hybridMultilevel"/>
    <w:tmpl w:val="A95C9C8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76736542"/>
    <w:multiLevelType w:val="hybridMultilevel"/>
    <w:tmpl w:val="F1E230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8"/>
  </w:num>
  <w:num w:numId="3">
    <w:abstractNumId w:val="5"/>
  </w:num>
  <w:num w:numId="4">
    <w:abstractNumId w:val="6"/>
  </w:num>
  <w:num w:numId="5">
    <w:abstractNumId w:val="4"/>
  </w:num>
  <w:num w:numId="6">
    <w:abstractNumId w:val="0"/>
  </w:num>
  <w:num w:numId="7">
    <w:abstractNumId w:val="7"/>
  </w:num>
  <w:num w:numId="8">
    <w:abstractNumId w:val="1"/>
  </w:num>
  <w:num w:numId="9">
    <w:abstractNumId w:val="9"/>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32"/>
    <w:rsid w:val="000025BD"/>
    <w:rsid w:val="00003F1C"/>
    <w:rsid w:val="00010198"/>
    <w:rsid w:val="00010645"/>
    <w:rsid w:val="000219DF"/>
    <w:rsid w:val="00021C2F"/>
    <w:rsid w:val="00027A4F"/>
    <w:rsid w:val="00032B32"/>
    <w:rsid w:val="0003319B"/>
    <w:rsid w:val="00033666"/>
    <w:rsid w:val="00036039"/>
    <w:rsid w:val="00037F90"/>
    <w:rsid w:val="00040A65"/>
    <w:rsid w:val="000458EE"/>
    <w:rsid w:val="00052CA4"/>
    <w:rsid w:val="00053D1D"/>
    <w:rsid w:val="00076237"/>
    <w:rsid w:val="000762E5"/>
    <w:rsid w:val="000844C9"/>
    <w:rsid w:val="0008535F"/>
    <w:rsid w:val="000875BF"/>
    <w:rsid w:val="00091015"/>
    <w:rsid w:val="0009404C"/>
    <w:rsid w:val="00096D8C"/>
    <w:rsid w:val="000B21B1"/>
    <w:rsid w:val="000B55E6"/>
    <w:rsid w:val="000C0B65"/>
    <w:rsid w:val="000C1A9B"/>
    <w:rsid w:val="000C4316"/>
    <w:rsid w:val="000C5137"/>
    <w:rsid w:val="000E05FE"/>
    <w:rsid w:val="000E3D42"/>
    <w:rsid w:val="000F2FCD"/>
    <w:rsid w:val="000F382F"/>
    <w:rsid w:val="001023CD"/>
    <w:rsid w:val="00102FA7"/>
    <w:rsid w:val="0011044C"/>
    <w:rsid w:val="00112200"/>
    <w:rsid w:val="00122BD5"/>
    <w:rsid w:val="00123DB0"/>
    <w:rsid w:val="00130FAE"/>
    <w:rsid w:val="00131D58"/>
    <w:rsid w:val="00133F79"/>
    <w:rsid w:val="00141C78"/>
    <w:rsid w:val="001434BE"/>
    <w:rsid w:val="00162EED"/>
    <w:rsid w:val="00186626"/>
    <w:rsid w:val="00186C34"/>
    <w:rsid w:val="0019035D"/>
    <w:rsid w:val="00191494"/>
    <w:rsid w:val="00194A66"/>
    <w:rsid w:val="001B284C"/>
    <w:rsid w:val="001B6931"/>
    <w:rsid w:val="001B724A"/>
    <w:rsid w:val="001C34E1"/>
    <w:rsid w:val="001D3D11"/>
    <w:rsid w:val="001D42DF"/>
    <w:rsid w:val="001D6BCF"/>
    <w:rsid w:val="001E01CA"/>
    <w:rsid w:val="001E0F80"/>
    <w:rsid w:val="001F0028"/>
    <w:rsid w:val="001F289F"/>
    <w:rsid w:val="001F31FE"/>
    <w:rsid w:val="00203CDD"/>
    <w:rsid w:val="0020613C"/>
    <w:rsid w:val="00206B22"/>
    <w:rsid w:val="00206CA3"/>
    <w:rsid w:val="00212636"/>
    <w:rsid w:val="00220D7C"/>
    <w:rsid w:val="002237A9"/>
    <w:rsid w:val="00225D7F"/>
    <w:rsid w:val="00227C98"/>
    <w:rsid w:val="00234F08"/>
    <w:rsid w:val="002369E2"/>
    <w:rsid w:val="002406BA"/>
    <w:rsid w:val="002410CC"/>
    <w:rsid w:val="00241671"/>
    <w:rsid w:val="002430A0"/>
    <w:rsid w:val="00247B8F"/>
    <w:rsid w:val="0025248B"/>
    <w:rsid w:val="00253A05"/>
    <w:rsid w:val="00254C6E"/>
    <w:rsid w:val="00255299"/>
    <w:rsid w:val="002562B3"/>
    <w:rsid w:val="00256A68"/>
    <w:rsid w:val="002636FF"/>
    <w:rsid w:val="00264D50"/>
    <w:rsid w:val="00264F44"/>
    <w:rsid w:val="00272E3E"/>
    <w:rsid w:val="00273420"/>
    <w:rsid w:val="0027395A"/>
    <w:rsid w:val="00275CF5"/>
    <w:rsid w:val="00281876"/>
    <w:rsid w:val="0028301F"/>
    <w:rsid w:val="00285017"/>
    <w:rsid w:val="00286F8B"/>
    <w:rsid w:val="00287C91"/>
    <w:rsid w:val="0029276B"/>
    <w:rsid w:val="002A2D2E"/>
    <w:rsid w:val="002A5C96"/>
    <w:rsid w:val="002A78D6"/>
    <w:rsid w:val="002B42ED"/>
    <w:rsid w:val="002C00E8"/>
    <w:rsid w:val="002C132A"/>
    <w:rsid w:val="002C2167"/>
    <w:rsid w:val="002C2A84"/>
    <w:rsid w:val="002E310A"/>
    <w:rsid w:val="002E3F23"/>
    <w:rsid w:val="002F26D9"/>
    <w:rsid w:val="00301F8F"/>
    <w:rsid w:val="00306F6B"/>
    <w:rsid w:val="003112FB"/>
    <w:rsid w:val="00313632"/>
    <w:rsid w:val="003142AC"/>
    <w:rsid w:val="003317F4"/>
    <w:rsid w:val="0034197D"/>
    <w:rsid w:val="00341EDB"/>
    <w:rsid w:val="00343470"/>
    <w:rsid w:val="00343749"/>
    <w:rsid w:val="00343AFD"/>
    <w:rsid w:val="003478BA"/>
    <w:rsid w:val="00351B15"/>
    <w:rsid w:val="00361FAB"/>
    <w:rsid w:val="00362719"/>
    <w:rsid w:val="003660ED"/>
    <w:rsid w:val="00370F93"/>
    <w:rsid w:val="0037231F"/>
    <w:rsid w:val="00381C41"/>
    <w:rsid w:val="00385E29"/>
    <w:rsid w:val="003A01AF"/>
    <w:rsid w:val="003A2FA2"/>
    <w:rsid w:val="003A6250"/>
    <w:rsid w:val="003A7B23"/>
    <w:rsid w:val="003B0550"/>
    <w:rsid w:val="003B3547"/>
    <w:rsid w:val="003B694F"/>
    <w:rsid w:val="003C6D0C"/>
    <w:rsid w:val="003D4896"/>
    <w:rsid w:val="003D5D3A"/>
    <w:rsid w:val="003D7928"/>
    <w:rsid w:val="003E342C"/>
    <w:rsid w:val="003E4C89"/>
    <w:rsid w:val="003F171C"/>
    <w:rsid w:val="003F1C3A"/>
    <w:rsid w:val="003F1E5F"/>
    <w:rsid w:val="003F29C0"/>
    <w:rsid w:val="004000BB"/>
    <w:rsid w:val="00412FC5"/>
    <w:rsid w:val="00420C99"/>
    <w:rsid w:val="00422276"/>
    <w:rsid w:val="004242F1"/>
    <w:rsid w:val="00432E89"/>
    <w:rsid w:val="00436841"/>
    <w:rsid w:val="0044321E"/>
    <w:rsid w:val="0044518C"/>
    <w:rsid w:val="00445A00"/>
    <w:rsid w:val="00451B0F"/>
    <w:rsid w:val="00456C04"/>
    <w:rsid w:val="00460950"/>
    <w:rsid w:val="00463E48"/>
    <w:rsid w:val="0046636E"/>
    <w:rsid w:val="00467852"/>
    <w:rsid w:val="0047033B"/>
    <w:rsid w:val="004712A1"/>
    <w:rsid w:val="00485C89"/>
    <w:rsid w:val="004861CC"/>
    <w:rsid w:val="004933C5"/>
    <w:rsid w:val="00493F9E"/>
    <w:rsid w:val="004A4233"/>
    <w:rsid w:val="004A5A58"/>
    <w:rsid w:val="004B4FCE"/>
    <w:rsid w:val="004B6EB6"/>
    <w:rsid w:val="004C2EE3"/>
    <w:rsid w:val="004C6FC2"/>
    <w:rsid w:val="004D11B6"/>
    <w:rsid w:val="004D126D"/>
    <w:rsid w:val="004D5EBE"/>
    <w:rsid w:val="004D727C"/>
    <w:rsid w:val="004E2238"/>
    <w:rsid w:val="004E3C61"/>
    <w:rsid w:val="004E4A22"/>
    <w:rsid w:val="004E5CC5"/>
    <w:rsid w:val="004F686D"/>
    <w:rsid w:val="004F6CB8"/>
    <w:rsid w:val="00502D0B"/>
    <w:rsid w:val="005045F8"/>
    <w:rsid w:val="005118B3"/>
    <w:rsid w:val="00511968"/>
    <w:rsid w:val="00521735"/>
    <w:rsid w:val="00524C35"/>
    <w:rsid w:val="00530EBC"/>
    <w:rsid w:val="00536BB8"/>
    <w:rsid w:val="00547FEF"/>
    <w:rsid w:val="005501D8"/>
    <w:rsid w:val="005529C4"/>
    <w:rsid w:val="0055341A"/>
    <w:rsid w:val="0055614C"/>
    <w:rsid w:val="00562C52"/>
    <w:rsid w:val="00562C99"/>
    <w:rsid w:val="005803D3"/>
    <w:rsid w:val="00591030"/>
    <w:rsid w:val="005A00CD"/>
    <w:rsid w:val="005A4EE8"/>
    <w:rsid w:val="005A6B15"/>
    <w:rsid w:val="005B4F1D"/>
    <w:rsid w:val="005B6BC4"/>
    <w:rsid w:val="005B7201"/>
    <w:rsid w:val="005D6B82"/>
    <w:rsid w:val="005E14C2"/>
    <w:rsid w:val="005F16FC"/>
    <w:rsid w:val="005F76C9"/>
    <w:rsid w:val="006007F2"/>
    <w:rsid w:val="0060255E"/>
    <w:rsid w:val="00606CDD"/>
    <w:rsid w:val="006077CF"/>
    <w:rsid w:val="00607BA5"/>
    <w:rsid w:val="0061180A"/>
    <w:rsid w:val="00626EB6"/>
    <w:rsid w:val="006277EC"/>
    <w:rsid w:val="00630EC6"/>
    <w:rsid w:val="006311BC"/>
    <w:rsid w:val="0063490D"/>
    <w:rsid w:val="00640CCD"/>
    <w:rsid w:val="00641E0D"/>
    <w:rsid w:val="006443EA"/>
    <w:rsid w:val="00650487"/>
    <w:rsid w:val="00651AB0"/>
    <w:rsid w:val="00655D03"/>
    <w:rsid w:val="006665FF"/>
    <w:rsid w:val="00683388"/>
    <w:rsid w:val="00683F84"/>
    <w:rsid w:val="00687674"/>
    <w:rsid w:val="00693A3E"/>
    <w:rsid w:val="006947C1"/>
    <w:rsid w:val="00695E67"/>
    <w:rsid w:val="006A1C8E"/>
    <w:rsid w:val="006A1E3E"/>
    <w:rsid w:val="006A1F49"/>
    <w:rsid w:val="006A4EFC"/>
    <w:rsid w:val="006A6A81"/>
    <w:rsid w:val="006A6C46"/>
    <w:rsid w:val="006B03F2"/>
    <w:rsid w:val="006B1456"/>
    <w:rsid w:val="006B197A"/>
    <w:rsid w:val="006B22B0"/>
    <w:rsid w:val="006B35CF"/>
    <w:rsid w:val="006B4BB6"/>
    <w:rsid w:val="006B4C21"/>
    <w:rsid w:val="006B4E8F"/>
    <w:rsid w:val="006B5B26"/>
    <w:rsid w:val="006C5303"/>
    <w:rsid w:val="006D116F"/>
    <w:rsid w:val="006D6C44"/>
    <w:rsid w:val="006D6C49"/>
    <w:rsid w:val="006F0107"/>
    <w:rsid w:val="006F0554"/>
    <w:rsid w:val="006F274B"/>
    <w:rsid w:val="006F7393"/>
    <w:rsid w:val="0070055B"/>
    <w:rsid w:val="0070224F"/>
    <w:rsid w:val="007115F7"/>
    <w:rsid w:val="00712973"/>
    <w:rsid w:val="00715342"/>
    <w:rsid w:val="007171F8"/>
    <w:rsid w:val="00725C03"/>
    <w:rsid w:val="007279EE"/>
    <w:rsid w:val="0073014B"/>
    <w:rsid w:val="007328C7"/>
    <w:rsid w:val="00732FA3"/>
    <w:rsid w:val="00733995"/>
    <w:rsid w:val="00737593"/>
    <w:rsid w:val="00741044"/>
    <w:rsid w:val="00742638"/>
    <w:rsid w:val="00744C8E"/>
    <w:rsid w:val="00760AB5"/>
    <w:rsid w:val="00760BEA"/>
    <w:rsid w:val="00762BCD"/>
    <w:rsid w:val="00763357"/>
    <w:rsid w:val="00764A3C"/>
    <w:rsid w:val="00770D95"/>
    <w:rsid w:val="00774208"/>
    <w:rsid w:val="00777AFF"/>
    <w:rsid w:val="00784983"/>
    <w:rsid w:val="00785689"/>
    <w:rsid w:val="0078770E"/>
    <w:rsid w:val="007922DF"/>
    <w:rsid w:val="00795E71"/>
    <w:rsid w:val="0079754B"/>
    <w:rsid w:val="007A1E6D"/>
    <w:rsid w:val="007A3C6D"/>
    <w:rsid w:val="007A6BFC"/>
    <w:rsid w:val="007B0EB2"/>
    <w:rsid w:val="007B1613"/>
    <w:rsid w:val="007B1BD0"/>
    <w:rsid w:val="007B1C9E"/>
    <w:rsid w:val="007B3817"/>
    <w:rsid w:val="007C5E26"/>
    <w:rsid w:val="007C6704"/>
    <w:rsid w:val="007C7373"/>
    <w:rsid w:val="007D19C4"/>
    <w:rsid w:val="007D1E9E"/>
    <w:rsid w:val="007E065E"/>
    <w:rsid w:val="007E0AF5"/>
    <w:rsid w:val="007E2F51"/>
    <w:rsid w:val="007E34AC"/>
    <w:rsid w:val="007E3598"/>
    <w:rsid w:val="007E62BF"/>
    <w:rsid w:val="007E672A"/>
    <w:rsid w:val="007F413A"/>
    <w:rsid w:val="00802AF0"/>
    <w:rsid w:val="0080562C"/>
    <w:rsid w:val="00810B6F"/>
    <w:rsid w:val="00811B83"/>
    <w:rsid w:val="00820667"/>
    <w:rsid w:val="00822CE0"/>
    <w:rsid w:val="00823AAE"/>
    <w:rsid w:val="00824894"/>
    <w:rsid w:val="00835697"/>
    <w:rsid w:val="008371D6"/>
    <w:rsid w:val="00841AB1"/>
    <w:rsid w:val="00852F47"/>
    <w:rsid w:val="008578B4"/>
    <w:rsid w:val="00861939"/>
    <w:rsid w:val="0086308A"/>
    <w:rsid w:val="0088083C"/>
    <w:rsid w:val="00882FEE"/>
    <w:rsid w:val="008910EF"/>
    <w:rsid w:val="00891F21"/>
    <w:rsid w:val="008B4016"/>
    <w:rsid w:val="008B4446"/>
    <w:rsid w:val="008C0F89"/>
    <w:rsid w:val="008C3137"/>
    <w:rsid w:val="008C68F1"/>
    <w:rsid w:val="008E7489"/>
    <w:rsid w:val="008E7762"/>
    <w:rsid w:val="00903647"/>
    <w:rsid w:val="00906253"/>
    <w:rsid w:val="00910468"/>
    <w:rsid w:val="00913F5B"/>
    <w:rsid w:val="00921803"/>
    <w:rsid w:val="00922C64"/>
    <w:rsid w:val="00926503"/>
    <w:rsid w:val="00930870"/>
    <w:rsid w:val="00953936"/>
    <w:rsid w:val="0096287B"/>
    <w:rsid w:val="009726D8"/>
    <w:rsid w:val="009838BC"/>
    <w:rsid w:val="009868A2"/>
    <w:rsid w:val="009873B6"/>
    <w:rsid w:val="009906F9"/>
    <w:rsid w:val="00993951"/>
    <w:rsid w:val="009B09C3"/>
    <w:rsid w:val="009B0CCC"/>
    <w:rsid w:val="009B0FF9"/>
    <w:rsid w:val="009B257B"/>
    <w:rsid w:val="009B28B7"/>
    <w:rsid w:val="009B79D4"/>
    <w:rsid w:val="009C02C6"/>
    <w:rsid w:val="009C5909"/>
    <w:rsid w:val="009D573F"/>
    <w:rsid w:val="009E1AEA"/>
    <w:rsid w:val="009E2503"/>
    <w:rsid w:val="009F5740"/>
    <w:rsid w:val="009F5D70"/>
    <w:rsid w:val="009F76DB"/>
    <w:rsid w:val="00A00510"/>
    <w:rsid w:val="00A03689"/>
    <w:rsid w:val="00A11FDE"/>
    <w:rsid w:val="00A1380A"/>
    <w:rsid w:val="00A16706"/>
    <w:rsid w:val="00A23A43"/>
    <w:rsid w:val="00A26966"/>
    <w:rsid w:val="00A32C3B"/>
    <w:rsid w:val="00A33AF0"/>
    <w:rsid w:val="00A36734"/>
    <w:rsid w:val="00A42FD7"/>
    <w:rsid w:val="00A45A92"/>
    <w:rsid w:val="00A45F4F"/>
    <w:rsid w:val="00A52827"/>
    <w:rsid w:val="00A54ADF"/>
    <w:rsid w:val="00A56CA6"/>
    <w:rsid w:val="00A57205"/>
    <w:rsid w:val="00A600A9"/>
    <w:rsid w:val="00A726A5"/>
    <w:rsid w:val="00A7415D"/>
    <w:rsid w:val="00A824D3"/>
    <w:rsid w:val="00A8519D"/>
    <w:rsid w:val="00A925A3"/>
    <w:rsid w:val="00A9291F"/>
    <w:rsid w:val="00A93030"/>
    <w:rsid w:val="00A93C8C"/>
    <w:rsid w:val="00AA55B7"/>
    <w:rsid w:val="00AA5B9E"/>
    <w:rsid w:val="00AA6B24"/>
    <w:rsid w:val="00AB2407"/>
    <w:rsid w:val="00AB53DF"/>
    <w:rsid w:val="00AC2E19"/>
    <w:rsid w:val="00AC424B"/>
    <w:rsid w:val="00AC51FE"/>
    <w:rsid w:val="00AC6344"/>
    <w:rsid w:val="00AC72A6"/>
    <w:rsid w:val="00AD02E5"/>
    <w:rsid w:val="00AD6EBB"/>
    <w:rsid w:val="00AE1584"/>
    <w:rsid w:val="00AE5626"/>
    <w:rsid w:val="00AE5C8C"/>
    <w:rsid w:val="00AF259A"/>
    <w:rsid w:val="00AF2B8E"/>
    <w:rsid w:val="00AF46DC"/>
    <w:rsid w:val="00AF7E60"/>
    <w:rsid w:val="00B051BF"/>
    <w:rsid w:val="00B07E5C"/>
    <w:rsid w:val="00B11653"/>
    <w:rsid w:val="00B155EC"/>
    <w:rsid w:val="00B20363"/>
    <w:rsid w:val="00B26664"/>
    <w:rsid w:val="00B338A9"/>
    <w:rsid w:val="00B35C68"/>
    <w:rsid w:val="00B40F7E"/>
    <w:rsid w:val="00B52421"/>
    <w:rsid w:val="00B53095"/>
    <w:rsid w:val="00B62848"/>
    <w:rsid w:val="00B64EA8"/>
    <w:rsid w:val="00B679AB"/>
    <w:rsid w:val="00B70EB9"/>
    <w:rsid w:val="00B72322"/>
    <w:rsid w:val="00B748B6"/>
    <w:rsid w:val="00B76DB8"/>
    <w:rsid w:val="00B7785B"/>
    <w:rsid w:val="00B811F7"/>
    <w:rsid w:val="00B84C81"/>
    <w:rsid w:val="00B8750E"/>
    <w:rsid w:val="00B95D4C"/>
    <w:rsid w:val="00B970C4"/>
    <w:rsid w:val="00BA2712"/>
    <w:rsid w:val="00BA59BA"/>
    <w:rsid w:val="00BA5CBC"/>
    <w:rsid w:val="00BA5DC6"/>
    <w:rsid w:val="00BA6196"/>
    <w:rsid w:val="00BB2091"/>
    <w:rsid w:val="00BC0BB3"/>
    <w:rsid w:val="00BC6B2A"/>
    <w:rsid w:val="00BC6D8C"/>
    <w:rsid w:val="00BE2C4D"/>
    <w:rsid w:val="00BF136B"/>
    <w:rsid w:val="00BF6A27"/>
    <w:rsid w:val="00C02BA0"/>
    <w:rsid w:val="00C041EA"/>
    <w:rsid w:val="00C06733"/>
    <w:rsid w:val="00C07C13"/>
    <w:rsid w:val="00C12019"/>
    <w:rsid w:val="00C20567"/>
    <w:rsid w:val="00C23438"/>
    <w:rsid w:val="00C27533"/>
    <w:rsid w:val="00C305C7"/>
    <w:rsid w:val="00C3157F"/>
    <w:rsid w:val="00C34006"/>
    <w:rsid w:val="00C34090"/>
    <w:rsid w:val="00C34810"/>
    <w:rsid w:val="00C35A15"/>
    <w:rsid w:val="00C36FF2"/>
    <w:rsid w:val="00C426B1"/>
    <w:rsid w:val="00C44588"/>
    <w:rsid w:val="00C45FE9"/>
    <w:rsid w:val="00C46694"/>
    <w:rsid w:val="00C513AC"/>
    <w:rsid w:val="00C51432"/>
    <w:rsid w:val="00C55959"/>
    <w:rsid w:val="00C63CDB"/>
    <w:rsid w:val="00C64D79"/>
    <w:rsid w:val="00C66160"/>
    <w:rsid w:val="00C721AC"/>
    <w:rsid w:val="00C721B9"/>
    <w:rsid w:val="00C82745"/>
    <w:rsid w:val="00C8514A"/>
    <w:rsid w:val="00C90D6A"/>
    <w:rsid w:val="00C935BF"/>
    <w:rsid w:val="00CA040B"/>
    <w:rsid w:val="00CA247E"/>
    <w:rsid w:val="00CB45B6"/>
    <w:rsid w:val="00CB61EC"/>
    <w:rsid w:val="00CC15F7"/>
    <w:rsid w:val="00CC3521"/>
    <w:rsid w:val="00CC3B15"/>
    <w:rsid w:val="00CC48A4"/>
    <w:rsid w:val="00CC72B6"/>
    <w:rsid w:val="00CC776F"/>
    <w:rsid w:val="00CD32F2"/>
    <w:rsid w:val="00CE1669"/>
    <w:rsid w:val="00CE25CD"/>
    <w:rsid w:val="00CE25E1"/>
    <w:rsid w:val="00CE5745"/>
    <w:rsid w:val="00CE6E1C"/>
    <w:rsid w:val="00CF3D4D"/>
    <w:rsid w:val="00D00A0E"/>
    <w:rsid w:val="00D0218D"/>
    <w:rsid w:val="00D07F81"/>
    <w:rsid w:val="00D15A72"/>
    <w:rsid w:val="00D17E38"/>
    <w:rsid w:val="00D20C45"/>
    <w:rsid w:val="00D216CD"/>
    <w:rsid w:val="00D25FB5"/>
    <w:rsid w:val="00D27C21"/>
    <w:rsid w:val="00D314D0"/>
    <w:rsid w:val="00D34224"/>
    <w:rsid w:val="00D40094"/>
    <w:rsid w:val="00D42E5B"/>
    <w:rsid w:val="00D44223"/>
    <w:rsid w:val="00D47505"/>
    <w:rsid w:val="00D50274"/>
    <w:rsid w:val="00D51F88"/>
    <w:rsid w:val="00D530F8"/>
    <w:rsid w:val="00D74B86"/>
    <w:rsid w:val="00D75187"/>
    <w:rsid w:val="00D776A7"/>
    <w:rsid w:val="00D9218B"/>
    <w:rsid w:val="00DA2529"/>
    <w:rsid w:val="00DB130A"/>
    <w:rsid w:val="00DB2CA1"/>
    <w:rsid w:val="00DB2EBB"/>
    <w:rsid w:val="00DB50D8"/>
    <w:rsid w:val="00DC10A1"/>
    <w:rsid w:val="00DC548D"/>
    <w:rsid w:val="00DC5D96"/>
    <w:rsid w:val="00DC61F6"/>
    <w:rsid w:val="00DC655F"/>
    <w:rsid w:val="00DC672A"/>
    <w:rsid w:val="00DC6A8C"/>
    <w:rsid w:val="00DD0B59"/>
    <w:rsid w:val="00DD34D4"/>
    <w:rsid w:val="00DD7EBD"/>
    <w:rsid w:val="00DE12AC"/>
    <w:rsid w:val="00DE179C"/>
    <w:rsid w:val="00DE499C"/>
    <w:rsid w:val="00DE4C8D"/>
    <w:rsid w:val="00DF0810"/>
    <w:rsid w:val="00DF5FB2"/>
    <w:rsid w:val="00DF62B6"/>
    <w:rsid w:val="00E032D8"/>
    <w:rsid w:val="00E07225"/>
    <w:rsid w:val="00E1098C"/>
    <w:rsid w:val="00E12FC0"/>
    <w:rsid w:val="00E15120"/>
    <w:rsid w:val="00E15A8A"/>
    <w:rsid w:val="00E20D2A"/>
    <w:rsid w:val="00E26630"/>
    <w:rsid w:val="00E34149"/>
    <w:rsid w:val="00E51290"/>
    <w:rsid w:val="00E5409F"/>
    <w:rsid w:val="00E5550B"/>
    <w:rsid w:val="00E56804"/>
    <w:rsid w:val="00E63589"/>
    <w:rsid w:val="00E71707"/>
    <w:rsid w:val="00E7250C"/>
    <w:rsid w:val="00E74AB8"/>
    <w:rsid w:val="00E83C02"/>
    <w:rsid w:val="00E851E7"/>
    <w:rsid w:val="00E85E2B"/>
    <w:rsid w:val="00E87201"/>
    <w:rsid w:val="00E95BC6"/>
    <w:rsid w:val="00E96BFC"/>
    <w:rsid w:val="00EA39F8"/>
    <w:rsid w:val="00EA669A"/>
    <w:rsid w:val="00EB4ACC"/>
    <w:rsid w:val="00EB55AF"/>
    <w:rsid w:val="00EB6C4B"/>
    <w:rsid w:val="00EB6E18"/>
    <w:rsid w:val="00EB7DC7"/>
    <w:rsid w:val="00EC062D"/>
    <w:rsid w:val="00EC6DEF"/>
    <w:rsid w:val="00ED49BC"/>
    <w:rsid w:val="00EE6488"/>
    <w:rsid w:val="00EF5485"/>
    <w:rsid w:val="00EF6141"/>
    <w:rsid w:val="00EF68D5"/>
    <w:rsid w:val="00F0071A"/>
    <w:rsid w:val="00F021FA"/>
    <w:rsid w:val="00F02D69"/>
    <w:rsid w:val="00F05050"/>
    <w:rsid w:val="00F1095B"/>
    <w:rsid w:val="00F12670"/>
    <w:rsid w:val="00F1680A"/>
    <w:rsid w:val="00F22732"/>
    <w:rsid w:val="00F32E13"/>
    <w:rsid w:val="00F37EE1"/>
    <w:rsid w:val="00F47A56"/>
    <w:rsid w:val="00F51099"/>
    <w:rsid w:val="00F53CE8"/>
    <w:rsid w:val="00F6220F"/>
    <w:rsid w:val="00F62E97"/>
    <w:rsid w:val="00F64209"/>
    <w:rsid w:val="00F65C79"/>
    <w:rsid w:val="00F72E7F"/>
    <w:rsid w:val="00F85551"/>
    <w:rsid w:val="00F8591E"/>
    <w:rsid w:val="00F866C7"/>
    <w:rsid w:val="00F87B59"/>
    <w:rsid w:val="00F905A5"/>
    <w:rsid w:val="00F93BF5"/>
    <w:rsid w:val="00F94941"/>
    <w:rsid w:val="00F955D8"/>
    <w:rsid w:val="00F96857"/>
    <w:rsid w:val="00FB74C8"/>
    <w:rsid w:val="00FD0E10"/>
    <w:rsid w:val="00FD2627"/>
    <w:rsid w:val="00FD6FC7"/>
    <w:rsid w:val="00FE285B"/>
    <w:rsid w:val="00FE2C64"/>
    <w:rsid w:val="00FE3163"/>
    <w:rsid w:val="00FE3794"/>
    <w:rsid w:val="00FF46D6"/>
  </w:rsids>
  <m:mathPr>
    <m:mathFont m:val="Cambria Math"/>
    <m:wrapRight/>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626"/>
    <w:pPr>
      <w:widowControl w:val="0"/>
    </w:pPr>
    <w:rPr>
      <w:snapToGrid w:val="0"/>
      <w:kern w:val="28"/>
      <w:sz w:val="22"/>
    </w:rPr>
  </w:style>
  <w:style w:type="paragraph" w:styleId="Heading1">
    <w:name w:val="heading 1"/>
    <w:basedOn w:val="Normal"/>
    <w:next w:val="ParaNum"/>
    <w:qFormat/>
    <w:rsid w:val="00AE562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E5626"/>
    <w:pPr>
      <w:keepNext/>
      <w:numPr>
        <w:ilvl w:val="1"/>
        <w:numId w:val="3"/>
      </w:numPr>
      <w:spacing w:after="120"/>
      <w:outlineLvl w:val="1"/>
    </w:pPr>
    <w:rPr>
      <w:b/>
    </w:rPr>
  </w:style>
  <w:style w:type="paragraph" w:styleId="Heading3">
    <w:name w:val="heading 3"/>
    <w:basedOn w:val="Normal"/>
    <w:next w:val="ParaNum"/>
    <w:qFormat/>
    <w:rsid w:val="00AE5626"/>
    <w:pPr>
      <w:keepNext/>
      <w:numPr>
        <w:ilvl w:val="2"/>
        <w:numId w:val="3"/>
      </w:numPr>
      <w:tabs>
        <w:tab w:val="left" w:pos="2160"/>
      </w:tabs>
      <w:spacing w:after="120"/>
      <w:outlineLvl w:val="2"/>
    </w:pPr>
    <w:rPr>
      <w:b/>
    </w:rPr>
  </w:style>
  <w:style w:type="paragraph" w:styleId="Heading4">
    <w:name w:val="heading 4"/>
    <w:basedOn w:val="Normal"/>
    <w:next w:val="ParaNum"/>
    <w:qFormat/>
    <w:rsid w:val="00AE5626"/>
    <w:pPr>
      <w:keepNext/>
      <w:numPr>
        <w:ilvl w:val="3"/>
        <w:numId w:val="3"/>
      </w:numPr>
      <w:tabs>
        <w:tab w:val="left" w:pos="2880"/>
      </w:tabs>
      <w:spacing w:after="120"/>
      <w:outlineLvl w:val="3"/>
    </w:pPr>
    <w:rPr>
      <w:b/>
    </w:rPr>
  </w:style>
  <w:style w:type="paragraph" w:styleId="Heading5">
    <w:name w:val="heading 5"/>
    <w:basedOn w:val="Normal"/>
    <w:next w:val="ParaNum"/>
    <w:qFormat/>
    <w:rsid w:val="00AE562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E5626"/>
    <w:pPr>
      <w:numPr>
        <w:ilvl w:val="5"/>
        <w:numId w:val="3"/>
      </w:numPr>
      <w:tabs>
        <w:tab w:val="left" w:pos="4320"/>
      </w:tabs>
      <w:spacing w:after="120"/>
      <w:outlineLvl w:val="5"/>
    </w:pPr>
    <w:rPr>
      <w:b/>
    </w:rPr>
  </w:style>
  <w:style w:type="paragraph" w:styleId="Heading7">
    <w:name w:val="heading 7"/>
    <w:basedOn w:val="Normal"/>
    <w:next w:val="ParaNum"/>
    <w:qFormat/>
    <w:rsid w:val="00AE562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E562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E562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AE56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E5626"/>
  </w:style>
  <w:style w:type="paragraph" w:customStyle="1" w:styleId="ParaNum">
    <w:name w:val="ParaNum"/>
    <w:basedOn w:val="Normal"/>
    <w:rsid w:val="00AE5626"/>
    <w:pPr>
      <w:numPr>
        <w:numId w:val="2"/>
      </w:numPr>
      <w:tabs>
        <w:tab w:val="clear" w:pos="1080"/>
        <w:tab w:val="num" w:pos="1440"/>
      </w:tabs>
      <w:spacing w:after="120"/>
    </w:pPr>
  </w:style>
  <w:style w:type="paragraph" w:styleId="EndnoteText">
    <w:name w:val="endnote text"/>
    <w:basedOn w:val="Normal"/>
    <w:semiHidden/>
    <w:rsid w:val="00AE5626"/>
    <w:rPr>
      <w:sz w:val="20"/>
    </w:rPr>
  </w:style>
  <w:style w:type="character" w:styleId="EndnoteReference">
    <w:name w:val="endnote reference"/>
    <w:semiHidden/>
    <w:rsid w:val="00AE5626"/>
    <w:rPr>
      <w:vertAlign w:val="superscript"/>
    </w:rPr>
  </w:style>
  <w:style w:type="paragraph" w:styleId="FootnoteText">
    <w:name w:val="footnote text"/>
    <w:link w:val="FootnoteTextChar"/>
    <w:rsid w:val="00AE5626"/>
    <w:pPr>
      <w:spacing w:after="120"/>
    </w:pPr>
  </w:style>
  <w:style w:type="character" w:styleId="FootnoteReference">
    <w:name w:val="footnote reference"/>
    <w:rsid w:val="00AE5626"/>
    <w:rPr>
      <w:rFonts w:ascii="Times New Roman" w:hAnsi="Times New Roman"/>
      <w:dstrike w:val="0"/>
      <w:color w:val="auto"/>
      <w:sz w:val="22"/>
      <w:vertAlign w:val="superscript"/>
    </w:rPr>
  </w:style>
  <w:style w:type="paragraph" w:styleId="TOC1">
    <w:name w:val="toc 1"/>
    <w:basedOn w:val="Normal"/>
    <w:next w:val="Normal"/>
    <w:uiPriority w:val="39"/>
    <w:rsid w:val="00AE562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E5626"/>
    <w:pPr>
      <w:tabs>
        <w:tab w:val="left" w:pos="720"/>
        <w:tab w:val="right" w:leader="dot" w:pos="9360"/>
      </w:tabs>
      <w:suppressAutoHyphens/>
      <w:ind w:left="720" w:right="720" w:hanging="360"/>
    </w:pPr>
    <w:rPr>
      <w:noProof/>
    </w:rPr>
  </w:style>
  <w:style w:type="paragraph" w:styleId="TOC3">
    <w:name w:val="toc 3"/>
    <w:basedOn w:val="Normal"/>
    <w:next w:val="Normal"/>
    <w:semiHidden/>
    <w:rsid w:val="00AE562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E562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E562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E562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E562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E562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E562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E5626"/>
    <w:pPr>
      <w:tabs>
        <w:tab w:val="right" w:pos="9360"/>
      </w:tabs>
      <w:suppressAutoHyphens/>
    </w:pPr>
  </w:style>
  <w:style w:type="character" w:customStyle="1" w:styleId="EquationCaption">
    <w:name w:val="_Equation Caption"/>
    <w:rsid w:val="00AE5626"/>
  </w:style>
  <w:style w:type="paragraph" w:styleId="Header">
    <w:name w:val="header"/>
    <w:basedOn w:val="Normal"/>
    <w:autoRedefine/>
    <w:rsid w:val="00AE5626"/>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AE5626"/>
    <w:pPr>
      <w:tabs>
        <w:tab w:val="center" w:pos="4320"/>
        <w:tab w:val="right" w:pos="8640"/>
      </w:tabs>
    </w:pPr>
  </w:style>
  <w:style w:type="character" w:styleId="PageNumber">
    <w:name w:val="page number"/>
    <w:basedOn w:val="DefaultParagraphFont"/>
    <w:rsid w:val="00AE5626"/>
  </w:style>
  <w:style w:type="paragraph" w:styleId="BlockText">
    <w:name w:val="Block Text"/>
    <w:basedOn w:val="Normal"/>
    <w:rsid w:val="00AE5626"/>
    <w:pPr>
      <w:spacing w:after="240"/>
      <w:ind w:left="1440" w:right="1440"/>
    </w:pPr>
  </w:style>
  <w:style w:type="paragraph" w:customStyle="1" w:styleId="Paratitle">
    <w:name w:val="Para title"/>
    <w:basedOn w:val="Normal"/>
    <w:rsid w:val="00AE5626"/>
    <w:pPr>
      <w:tabs>
        <w:tab w:val="center" w:pos="9270"/>
      </w:tabs>
      <w:spacing w:after="240"/>
    </w:pPr>
    <w:rPr>
      <w:spacing w:val="-2"/>
    </w:rPr>
  </w:style>
  <w:style w:type="paragraph" w:customStyle="1" w:styleId="Bullet">
    <w:name w:val="Bullet"/>
    <w:basedOn w:val="Normal"/>
    <w:rsid w:val="00AE5626"/>
    <w:pPr>
      <w:numPr>
        <w:numId w:val="1"/>
      </w:numPr>
      <w:tabs>
        <w:tab w:val="clear" w:pos="360"/>
        <w:tab w:val="left" w:pos="2160"/>
      </w:tabs>
      <w:spacing w:after="220"/>
      <w:ind w:left="2160" w:hanging="720"/>
    </w:pPr>
  </w:style>
  <w:style w:type="paragraph" w:customStyle="1" w:styleId="TableFormat">
    <w:name w:val="TableFormat"/>
    <w:basedOn w:val="Bullet"/>
    <w:rsid w:val="00AE5626"/>
    <w:pPr>
      <w:numPr>
        <w:numId w:val="0"/>
      </w:numPr>
      <w:tabs>
        <w:tab w:val="clear" w:pos="2160"/>
        <w:tab w:val="left" w:pos="5040"/>
      </w:tabs>
      <w:ind w:left="5040" w:hanging="3600"/>
    </w:pPr>
  </w:style>
  <w:style w:type="paragraph" w:customStyle="1" w:styleId="TOCTitle">
    <w:name w:val="TOC Title"/>
    <w:basedOn w:val="Normal"/>
    <w:rsid w:val="00AE562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5626"/>
    <w:pPr>
      <w:jc w:val="center"/>
    </w:pPr>
    <w:rPr>
      <w:rFonts w:ascii="Times New Roman Bold" w:hAnsi="Times New Roman Bold"/>
      <w:b/>
      <w:bCs/>
      <w:caps/>
      <w:szCs w:val="22"/>
    </w:rPr>
  </w:style>
  <w:style w:type="character" w:styleId="Hyperlink">
    <w:name w:val="Hyperlink"/>
    <w:rsid w:val="00AE5626"/>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AE5626"/>
    <w:rPr>
      <w:snapToGrid w:val="0"/>
      <w:kern w:val="28"/>
      <w:sz w:val="22"/>
    </w:rPr>
  </w:style>
  <w:style w:type="paragraph" w:styleId="NormalWeb">
    <w:name w:val="Normal (Web)"/>
    <w:basedOn w:val="Normal"/>
    <w:uiPriority w:val="99"/>
    <w:unhideWhenUsed/>
    <w:rsid w:val="00313632"/>
    <w:pPr>
      <w:widowControl/>
      <w:spacing w:before="100" w:beforeAutospacing="1" w:after="100" w:afterAutospacing="1"/>
    </w:pPr>
    <w:rPr>
      <w:rFonts w:eastAsia="Calibri"/>
      <w:snapToGrid/>
      <w:kern w:val="0"/>
      <w:sz w:val="24"/>
      <w:szCs w:val="24"/>
    </w:rPr>
  </w:style>
  <w:style w:type="character" w:customStyle="1" w:styleId="FootnoteTextChar">
    <w:name w:val="Footnote Text Char"/>
    <w:basedOn w:val="DefaultParagraphFont"/>
    <w:link w:val="FootnoteText"/>
    <w:rsid w:val="00313632"/>
  </w:style>
  <w:style w:type="paragraph" w:styleId="BodyText">
    <w:name w:val="Body Text"/>
    <w:basedOn w:val="Normal"/>
    <w:link w:val="BodyTextChar"/>
    <w:uiPriority w:val="99"/>
    <w:unhideWhenUsed/>
    <w:rsid w:val="00313632"/>
    <w:pPr>
      <w:widowControl/>
    </w:pPr>
    <w:rPr>
      <w:snapToGrid/>
      <w:kern w:val="0"/>
      <w:sz w:val="24"/>
    </w:rPr>
  </w:style>
  <w:style w:type="character" w:customStyle="1" w:styleId="BodyTextChar">
    <w:name w:val="Body Text Char"/>
    <w:link w:val="BodyText"/>
    <w:uiPriority w:val="99"/>
    <w:rsid w:val="00313632"/>
    <w:rPr>
      <w:sz w:val="24"/>
    </w:rPr>
  </w:style>
  <w:style w:type="paragraph" w:customStyle="1" w:styleId="Default">
    <w:name w:val="Default"/>
    <w:rsid w:val="00313632"/>
    <w:pPr>
      <w:autoSpaceDE w:val="0"/>
      <w:autoSpaceDN w:val="0"/>
      <w:adjustRightInd w:val="0"/>
    </w:pPr>
    <w:rPr>
      <w:color w:val="000000"/>
      <w:sz w:val="24"/>
      <w:szCs w:val="24"/>
    </w:rPr>
  </w:style>
  <w:style w:type="character" w:styleId="CommentReference">
    <w:name w:val="annotation reference"/>
    <w:rsid w:val="00351B15"/>
    <w:rPr>
      <w:sz w:val="16"/>
      <w:szCs w:val="16"/>
    </w:rPr>
  </w:style>
  <w:style w:type="paragraph" w:styleId="CommentText">
    <w:name w:val="annotation text"/>
    <w:basedOn w:val="Normal"/>
    <w:link w:val="CommentTextChar"/>
    <w:rsid w:val="00351B15"/>
    <w:rPr>
      <w:sz w:val="20"/>
    </w:rPr>
  </w:style>
  <w:style w:type="character" w:customStyle="1" w:styleId="CommentTextChar">
    <w:name w:val="Comment Text Char"/>
    <w:link w:val="CommentText"/>
    <w:rsid w:val="00351B15"/>
    <w:rPr>
      <w:snapToGrid w:val="0"/>
      <w:kern w:val="28"/>
    </w:rPr>
  </w:style>
  <w:style w:type="paragraph" w:styleId="CommentSubject">
    <w:name w:val="annotation subject"/>
    <w:basedOn w:val="CommentText"/>
    <w:next w:val="CommentText"/>
    <w:link w:val="CommentSubjectChar"/>
    <w:rsid w:val="00351B15"/>
    <w:rPr>
      <w:b/>
      <w:bCs/>
    </w:rPr>
  </w:style>
  <w:style w:type="character" w:customStyle="1" w:styleId="CommentSubjectChar">
    <w:name w:val="Comment Subject Char"/>
    <w:link w:val="CommentSubject"/>
    <w:rsid w:val="00351B15"/>
    <w:rPr>
      <w:b/>
      <w:bCs/>
      <w:snapToGrid w:val="0"/>
      <w:kern w:val="28"/>
    </w:rPr>
  </w:style>
  <w:style w:type="paragraph" w:styleId="Revision">
    <w:name w:val="Revision"/>
    <w:hidden/>
    <w:uiPriority w:val="99"/>
    <w:semiHidden/>
    <w:rsid w:val="00EF5485"/>
    <w:rPr>
      <w:snapToGrid w:val="0"/>
      <w:kern w:val="28"/>
      <w:sz w:val="22"/>
    </w:rPr>
  </w:style>
  <w:style w:type="character" w:customStyle="1" w:styleId="UnresolvedMention1">
    <w:name w:val="Unresolved Mention1"/>
    <w:uiPriority w:val="99"/>
    <w:semiHidden/>
    <w:unhideWhenUsed/>
    <w:rsid w:val="00C64D79"/>
    <w:rPr>
      <w:color w:val="808080"/>
      <w:shd w:val="clear" w:color="auto" w:fill="E6E6E6"/>
    </w:rPr>
  </w:style>
  <w:style w:type="character" w:styleId="FollowedHyperlink">
    <w:name w:val="FollowedHyperlink"/>
    <w:rsid w:val="00DC5D96"/>
    <w:rPr>
      <w:color w:val="954F72"/>
      <w:u w:val="single"/>
    </w:rPr>
  </w:style>
  <w:style w:type="paragraph" w:styleId="ListParagraph">
    <w:name w:val="List Paragraph"/>
    <w:basedOn w:val="Normal"/>
    <w:uiPriority w:val="34"/>
    <w:qFormat/>
    <w:rsid w:val="007922DF"/>
    <w:pPr>
      <w:ind w:left="720"/>
      <w:contextualSpacing/>
    </w:pPr>
  </w:style>
  <w:style w:type="character" w:customStyle="1" w:styleId="UnresolvedMention">
    <w:name w:val="Unresolved Mention"/>
    <w:rsid w:val="00695E67"/>
    <w:rPr>
      <w:color w:val="605E5C"/>
      <w:shd w:val="clear" w:color="auto" w:fill="E1DFDD"/>
    </w:rPr>
  </w:style>
  <w:style w:type="paragraph" w:styleId="PlainText">
    <w:name w:val="Plain Text"/>
    <w:basedOn w:val="Normal"/>
    <w:link w:val="PlainTextChar"/>
    <w:uiPriority w:val="99"/>
    <w:unhideWhenUsed/>
    <w:rsid w:val="00123DB0"/>
    <w:pPr>
      <w:widowControl/>
    </w:pPr>
    <w:rPr>
      <w:rFonts w:ascii="Consolas" w:eastAsia="Calibri" w:hAnsi="Consolas"/>
      <w:snapToGrid/>
      <w:kern w:val="0"/>
      <w:sz w:val="21"/>
      <w:szCs w:val="21"/>
    </w:rPr>
  </w:style>
  <w:style w:type="character" w:customStyle="1" w:styleId="PlainTextChar">
    <w:name w:val="Plain Text Char"/>
    <w:link w:val="PlainText"/>
    <w:uiPriority w:val="99"/>
    <w:rsid w:val="00123DB0"/>
    <w:rPr>
      <w:rFonts w:ascii="Consolas" w:eastAsia="Calibri" w:hAnsi="Consolas" w:cs="Times New Roman"/>
      <w:sz w:val="21"/>
      <w:szCs w:val="21"/>
    </w:rPr>
  </w:style>
  <w:style w:type="table" w:styleId="TableGrid">
    <w:name w:val="Table Grid"/>
    <w:basedOn w:val="TableNormal"/>
    <w:rsid w:val="00C27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ls" TargetMode="External" /><Relationship Id="rId6" Type="http://schemas.openxmlformats.org/officeDocument/2006/relationships/hyperlink" Target="mailto:ira.keltz@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advancedwireless.org/" TargetMode="External" /><Relationship Id="rId2" Type="http://schemas.openxmlformats.org/officeDocument/2006/relationships/hyperlink" Target="https://www.nsf.gov/funding/pgm_summ.jsp?pims_id=505316" TargetMode="External" /><Relationship Id="rId3" Type="http://schemas.openxmlformats.org/officeDocument/2006/relationships/hyperlink" Target="https://www.fcc.gov/el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