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74691">
      <w:pPr>
        <w:jc w:val="center"/>
        <w:rPr>
          <w:b/>
          <w:szCs w:val="22"/>
        </w:rPr>
      </w:pPr>
      <w:r>
        <w:rPr>
          <w:b/>
          <w:szCs w:val="22"/>
        </w:rPr>
        <w:t>Befo</w:t>
      </w:r>
      <w:bookmarkStart w:id="0" w:name="_GoBack"/>
      <w:bookmarkEnd w:id="0"/>
      <w:r>
        <w:rPr>
          <w:b/>
          <w:szCs w:val="22"/>
        </w:rPr>
        <w:t>re the</w:t>
      </w:r>
    </w:p>
    <w:p w:rsidR="00C74691">
      <w:pPr>
        <w:jc w:val="center"/>
        <w:rPr>
          <w:b/>
          <w:szCs w:val="22"/>
        </w:rPr>
      </w:pPr>
      <w:r>
        <w:rPr>
          <w:b/>
          <w:szCs w:val="22"/>
        </w:rPr>
        <w:t>Federal Communications Commission</w:t>
      </w:r>
    </w:p>
    <w:p w:rsidR="00C74691">
      <w:pPr>
        <w:jc w:val="center"/>
        <w:rPr>
          <w:b/>
          <w:szCs w:val="22"/>
        </w:rPr>
      </w:pPr>
      <w:smartTag w:uri="urn:schemas-microsoft-com:office:smarttags" w:element="place">
        <w:smartTag w:uri="urn:schemas-microsoft-com:office:smarttags" w:element="City">
          <w:r>
            <w:rPr>
              <w:b/>
              <w:szCs w:val="22"/>
            </w:rPr>
            <w:t>Washington</w:t>
          </w:r>
        </w:smartTag>
        <w:r>
          <w:rPr>
            <w:b/>
            <w:szCs w:val="22"/>
          </w:rPr>
          <w:t xml:space="preserve">, </w:t>
        </w:r>
        <w:smartTag w:uri="urn:schemas-microsoft-com:office:smarttags" w:element="State">
          <w:r>
            <w:rPr>
              <w:b/>
              <w:szCs w:val="22"/>
            </w:rPr>
            <w:t>D.C.</w:t>
          </w:r>
        </w:smartTag>
        <w:r>
          <w:rPr>
            <w:b/>
            <w:szCs w:val="22"/>
          </w:rPr>
          <w:t xml:space="preserve"> </w:t>
        </w:r>
        <w:smartTag w:uri="urn:schemas-microsoft-com:office:smarttags" w:element="PostalCode">
          <w:r>
            <w:rPr>
              <w:b/>
              <w:szCs w:val="22"/>
            </w:rPr>
            <w:t>20554</w:t>
          </w:r>
        </w:smartTag>
      </w:smartTag>
    </w:p>
    <w:p w:rsidR="00C74691">
      <w:pPr>
        <w:rPr>
          <w:szCs w:val="22"/>
        </w:rPr>
      </w:pPr>
    </w:p>
    <w:tbl>
      <w:tblPr>
        <w:tblW w:w="9648" w:type="dxa"/>
        <w:tblLayout w:type="fixed"/>
        <w:tblLook w:val="0000"/>
      </w:tblPr>
      <w:tblGrid>
        <w:gridCol w:w="4698"/>
        <w:gridCol w:w="720"/>
        <w:gridCol w:w="4230"/>
      </w:tblGrid>
      <w:tr>
        <w:tblPrEx>
          <w:tblW w:w="9648" w:type="dxa"/>
          <w:tblLayout w:type="fixed"/>
          <w:tblLook w:val="0000"/>
        </w:tblPrEx>
        <w:tc>
          <w:tcPr>
            <w:tcW w:w="4698" w:type="dxa"/>
          </w:tcPr>
          <w:p w:rsidR="008D4336">
            <w:pPr>
              <w:ind w:right="-18"/>
              <w:rPr>
                <w:szCs w:val="22"/>
              </w:rPr>
            </w:pPr>
            <w:r>
              <w:rPr>
                <w:szCs w:val="22"/>
              </w:rPr>
              <w:t xml:space="preserve">In </w:t>
            </w:r>
            <w:r>
              <w:rPr>
                <w:szCs w:val="22"/>
              </w:rPr>
              <w:t>the Matter of</w:t>
            </w:r>
          </w:p>
          <w:p w:rsidR="008D4336">
            <w:pPr>
              <w:ind w:right="-18"/>
              <w:rPr>
                <w:szCs w:val="22"/>
              </w:rPr>
            </w:pPr>
          </w:p>
          <w:p w:rsidR="00C74691">
            <w:pPr>
              <w:tabs>
                <w:tab w:val="left" w:pos="0"/>
              </w:tabs>
              <w:suppressAutoHyphens/>
              <w:ind w:left="5040" w:hanging="5040"/>
              <w:rPr>
                <w:b/>
                <w:szCs w:val="22"/>
              </w:rPr>
            </w:pPr>
            <w:r>
              <w:rPr>
                <w:b/>
                <w:szCs w:val="22"/>
              </w:rPr>
              <w:t>HUBBARD’S ADVERTISING</w:t>
            </w:r>
          </w:p>
          <w:p w:rsidR="00BC41FF">
            <w:pPr>
              <w:tabs>
                <w:tab w:val="left" w:pos="0"/>
              </w:tabs>
              <w:suppressAutoHyphens/>
              <w:ind w:left="5040" w:hanging="5040"/>
              <w:rPr>
                <w:b/>
                <w:szCs w:val="22"/>
              </w:rPr>
            </w:pPr>
            <w:r>
              <w:rPr>
                <w:b/>
                <w:szCs w:val="22"/>
              </w:rPr>
              <w:t>AGENCY</w:t>
            </w:r>
            <w:r>
              <w:rPr>
                <w:b/>
                <w:szCs w:val="22"/>
              </w:rPr>
              <w:t>, INC.</w:t>
            </w:r>
          </w:p>
          <w:p w:rsidR="00C74691">
            <w:pPr>
              <w:tabs>
                <w:tab w:val="left" w:pos="0"/>
              </w:tabs>
              <w:suppressAutoHyphens/>
              <w:ind w:left="5040" w:hanging="5040"/>
              <w:rPr>
                <w:b/>
                <w:szCs w:val="22"/>
              </w:rPr>
            </w:pPr>
          </w:p>
          <w:p w:rsidR="00C74691">
            <w:pPr>
              <w:ind w:right="-18"/>
              <w:rPr>
                <w:szCs w:val="22"/>
              </w:rPr>
            </w:pPr>
            <w:r>
              <w:rPr>
                <w:szCs w:val="22"/>
              </w:rPr>
              <w:t>Application f</w:t>
            </w:r>
            <w:r>
              <w:rPr>
                <w:szCs w:val="22"/>
              </w:rPr>
              <w:t>or Renewal of License for</w:t>
            </w:r>
          </w:p>
          <w:p w:rsidR="00C74691">
            <w:pPr>
              <w:ind w:right="-18"/>
              <w:rPr>
                <w:b/>
                <w:szCs w:val="22"/>
              </w:rPr>
            </w:pPr>
            <w:r>
              <w:rPr>
                <w:szCs w:val="22"/>
              </w:rPr>
              <w:t xml:space="preserve">Station </w:t>
            </w:r>
            <w:r w:rsidR="00911F9F">
              <w:rPr>
                <w:szCs w:val="22"/>
              </w:rPr>
              <w:t>WLLL</w:t>
            </w:r>
            <w:r w:rsidR="00BC41FF">
              <w:rPr>
                <w:szCs w:val="22"/>
              </w:rPr>
              <w:t>(AM)</w:t>
            </w:r>
          </w:p>
          <w:p w:rsidR="00C74691">
            <w:pPr>
              <w:ind w:right="-18"/>
              <w:rPr>
                <w:szCs w:val="22"/>
              </w:rPr>
            </w:pPr>
            <w:r>
              <w:rPr>
                <w:szCs w:val="22"/>
              </w:rPr>
              <w:t>Lynchburg</w:t>
            </w:r>
            <w:r w:rsidR="00BC41FF">
              <w:rPr>
                <w:szCs w:val="22"/>
              </w:rPr>
              <w:t xml:space="preserve">, </w:t>
            </w:r>
            <w:r>
              <w:rPr>
                <w:szCs w:val="22"/>
              </w:rPr>
              <w:t>Virginia</w:t>
            </w:r>
          </w:p>
        </w:tc>
        <w:tc>
          <w:tcPr>
            <w:tcW w:w="720" w:type="dxa"/>
          </w:tcPr>
          <w:p w:rsidR="00C74691">
            <w:pPr>
              <w:rPr>
                <w:b/>
                <w:szCs w:val="22"/>
              </w:rPr>
            </w:pPr>
            <w:r>
              <w:rPr>
                <w:b/>
                <w:szCs w:val="22"/>
              </w:rPr>
              <w:t>)</w:t>
            </w:r>
          </w:p>
          <w:p w:rsidR="00C74691">
            <w:pPr>
              <w:rPr>
                <w:b/>
                <w:szCs w:val="22"/>
              </w:rPr>
            </w:pPr>
            <w:r>
              <w:rPr>
                <w:b/>
                <w:szCs w:val="22"/>
              </w:rPr>
              <w:t>)</w:t>
            </w:r>
          </w:p>
          <w:p w:rsidR="00C74691">
            <w:pPr>
              <w:rPr>
                <w:b/>
                <w:szCs w:val="22"/>
              </w:rPr>
            </w:pPr>
            <w:r>
              <w:rPr>
                <w:b/>
                <w:szCs w:val="22"/>
              </w:rPr>
              <w:t>)</w:t>
            </w:r>
          </w:p>
          <w:p w:rsidR="00C74691">
            <w:pPr>
              <w:rPr>
                <w:b/>
                <w:szCs w:val="22"/>
              </w:rPr>
            </w:pPr>
            <w:r>
              <w:rPr>
                <w:b/>
                <w:szCs w:val="22"/>
              </w:rPr>
              <w:t>)</w:t>
            </w:r>
          </w:p>
          <w:p w:rsidR="00C74691">
            <w:pPr>
              <w:rPr>
                <w:b/>
                <w:szCs w:val="22"/>
              </w:rPr>
            </w:pPr>
            <w:r>
              <w:rPr>
                <w:b/>
                <w:szCs w:val="22"/>
              </w:rPr>
              <w:t>)</w:t>
            </w:r>
          </w:p>
          <w:p w:rsidR="00C74691">
            <w:pPr>
              <w:rPr>
                <w:b/>
                <w:szCs w:val="22"/>
              </w:rPr>
            </w:pPr>
            <w:r>
              <w:rPr>
                <w:b/>
                <w:szCs w:val="22"/>
              </w:rPr>
              <w:t>)</w:t>
            </w:r>
          </w:p>
          <w:p w:rsidR="00C74691">
            <w:pPr>
              <w:rPr>
                <w:b/>
                <w:szCs w:val="22"/>
              </w:rPr>
            </w:pPr>
            <w:r>
              <w:rPr>
                <w:b/>
                <w:szCs w:val="22"/>
              </w:rPr>
              <w:t>)</w:t>
            </w:r>
          </w:p>
          <w:p w:rsidR="00C74691">
            <w:pPr>
              <w:rPr>
                <w:b/>
                <w:szCs w:val="22"/>
              </w:rPr>
            </w:pPr>
            <w:r>
              <w:rPr>
                <w:b/>
                <w:szCs w:val="22"/>
              </w:rPr>
              <w:t>)</w:t>
            </w:r>
          </w:p>
        </w:tc>
        <w:tc>
          <w:tcPr>
            <w:tcW w:w="4230" w:type="dxa"/>
          </w:tcPr>
          <w:p w:rsidR="00C74691">
            <w:pPr>
              <w:rPr>
                <w:szCs w:val="22"/>
              </w:rPr>
            </w:pPr>
          </w:p>
          <w:p w:rsidR="00C74691">
            <w:pPr>
              <w:rPr>
                <w:szCs w:val="22"/>
              </w:rPr>
            </w:pPr>
          </w:p>
          <w:p w:rsidR="00F823CC" w:rsidP="00F823CC">
            <w:pPr>
              <w:tabs>
                <w:tab w:val="left" w:pos="4680"/>
              </w:tabs>
              <w:rPr>
                <w:b/>
                <w:szCs w:val="22"/>
              </w:rPr>
            </w:pPr>
            <w:r>
              <w:rPr>
                <w:szCs w:val="22"/>
              </w:rPr>
              <w:t>NAL/Acct. No. MB</w:t>
            </w:r>
            <w:r w:rsidR="00A453AA">
              <w:rPr>
                <w:szCs w:val="22"/>
              </w:rPr>
              <w:t>-</w:t>
            </w:r>
            <w:r>
              <w:rPr>
                <w:szCs w:val="22"/>
              </w:rPr>
              <w:t>201</w:t>
            </w:r>
            <w:r w:rsidR="00911F9F">
              <w:rPr>
                <w:szCs w:val="22"/>
              </w:rPr>
              <w:t>9</w:t>
            </w:r>
            <w:r>
              <w:rPr>
                <w:szCs w:val="22"/>
              </w:rPr>
              <w:t>414100</w:t>
            </w:r>
            <w:r w:rsidR="00A453AA">
              <w:rPr>
                <w:szCs w:val="22"/>
              </w:rPr>
              <w:t>04</w:t>
            </w:r>
          </w:p>
          <w:p w:rsidR="00F823CC" w:rsidP="00F823CC">
            <w:pPr>
              <w:tabs>
                <w:tab w:val="left" w:pos="4680"/>
              </w:tabs>
              <w:rPr>
                <w:szCs w:val="22"/>
              </w:rPr>
            </w:pPr>
            <w:r>
              <w:rPr>
                <w:szCs w:val="22"/>
              </w:rPr>
              <w:t>FRN:  000</w:t>
            </w:r>
            <w:r w:rsidR="00911F9F">
              <w:rPr>
                <w:szCs w:val="22"/>
              </w:rPr>
              <w:t>6184048</w:t>
            </w:r>
          </w:p>
          <w:p w:rsidR="00C74691">
            <w:pPr>
              <w:rPr>
                <w:szCs w:val="22"/>
              </w:rPr>
            </w:pPr>
            <w:r>
              <w:rPr>
                <w:szCs w:val="22"/>
              </w:rPr>
              <w:t xml:space="preserve">Facility ID No. </w:t>
            </w:r>
            <w:r w:rsidR="00911F9F">
              <w:rPr>
                <w:szCs w:val="22"/>
              </w:rPr>
              <w:t>17409</w:t>
            </w:r>
          </w:p>
          <w:p w:rsidR="00C74691">
            <w:pPr>
              <w:rPr>
                <w:szCs w:val="22"/>
              </w:rPr>
            </w:pPr>
            <w:r>
              <w:rPr>
                <w:szCs w:val="22"/>
              </w:rPr>
              <w:t xml:space="preserve">File No. </w:t>
            </w:r>
            <w:r w:rsidR="00911F9F">
              <w:rPr>
                <w:szCs w:val="22"/>
              </w:rPr>
              <w:t>0000072723</w:t>
            </w:r>
          </w:p>
          <w:p w:rsidR="00C74691">
            <w:pPr>
              <w:rPr>
                <w:szCs w:val="22"/>
              </w:rPr>
            </w:pPr>
          </w:p>
        </w:tc>
      </w:tr>
    </w:tbl>
    <w:p w:rsidR="00C74691">
      <w:pPr>
        <w:rPr>
          <w:szCs w:val="22"/>
        </w:rPr>
      </w:pPr>
    </w:p>
    <w:p w:rsidR="00C74691">
      <w:pPr>
        <w:jc w:val="center"/>
        <w:rPr>
          <w:b/>
          <w:spacing w:val="-2"/>
          <w:szCs w:val="22"/>
        </w:rPr>
      </w:pPr>
      <w:r>
        <w:rPr>
          <w:b/>
          <w:spacing w:val="-2"/>
          <w:szCs w:val="22"/>
        </w:rPr>
        <w:t xml:space="preserve">MEMORANDUM OPINION AND ORDER </w:t>
      </w:r>
    </w:p>
    <w:p w:rsidR="00C74691">
      <w:pPr>
        <w:jc w:val="center"/>
        <w:rPr>
          <w:b/>
          <w:szCs w:val="22"/>
        </w:rPr>
      </w:pPr>
      <w:r>
        <w:rPr>
          <w:b/>
          <w:spacing w:val="-2"/>
          <w:szCs w:val="22"/>
        </w:rPr>
        <w:t>AND</w:t>
      </w:r>
      <w:r w:rsidR="008D4336">
        <w:rPr>
          <w:b/>
          <w:spacing w:val="-2"/>
          <w:szCs w:val="22"/>
        </w:rPr>
        <w:t xml:space="preserve"> </w:t>
      </w:r>
      <w:r>
        <w:rPr>
          <w:b/>
          <w:spacing w:val="-2"/>
          <w:szCs w:val="22"/>
        </w:rPr>
        <w:t>NOTICE OF APPARENT LIABILITY FOR FORFEITURE</w:t>
      </w:r>
    </w:p>
    <w:p w:rsidR="00C74691">
      <w:pPr>
        <w:tabs>
          <w:tab w:val="left" w:pos="5760"/>
        </w:tabs>
        <w:rPr>
          <w:szCs w:val="22"/>
        </w:rPr>
      </w:pPr>
    </w:p>
    <w:p w:rsidR="00C74691" w:rsidRPr="008D30C5" w:rsidP="008D4336">
      <w:pPr>
        <w:tabs>
          <w:tab w:val="right" w:pos="9360"/>
        </w:tabs>
        <w:rPr>
          <w:b/>
          <w:szCs w:val="22"/>
        </w:rPr>
      </w:pPr>
      <w:r w:rsidRPr="008D30C5">
        <w:rPr>
          <w:b/>
          <w:szCs w:val="22"/>
        </w:rPr>
        <w:t xml:space="preserve">Adopted: </w:t>
      </w:r>
      <w:r w:rsidR="006B246E">
        <w:rPr>
          <w:b/>
          <w:szCs w:val="22"/>
        </w:rPr>
        <w:t>September 20</w:t>
      </w:r>
      <w:r w:rsidRPr="008D30C5">
        <w:rPr>
          <w:b/>
          <w:szCs w:val="22"/>
        </w:rPr>
        <w:t>, 201</w:t>
      </w:r>
      <w:r w:rsidRPr="008D30C5" w:rsidR="00911F9F">
        <w:rPr>
          <w:b/>
          <w:szCs w:val="22"/>
        </w:rPr>
        <w:t>9</w:t>
      </w:r>
      <w:r w:rsidRPr="008D30C5">
        <w:rPr>
          <w:b/>
          <w:szCs w:val="22"/>
        </w:rPr>
        <w:tab/>
        <w:t xml:space="preserve">Released: </w:t>
      </w:r>
      <w:r w:rsidR="006B246E">
        <w:rPr>
          <w:b/>
          <w:szCs w:val="22"/>
        </w:rPr>
        <w:t>September 20</w:t>
      </w:r>
      <w:r w:rsidRPr="008D30C5">
        <w:rPr>
          <w:b/>
          <w:szCs w:val="22"/>
        </w:rPr>
        <w:t>, 201</w:t>
      </w:r>
      <w:r w:rsidRPr="008D30C5" w:rsidR="00911F9F">
        <w:rPr>
          <w:b/>
          <w:szCs w:val="22"/>
        </w:rPr>
        <w:t>9</w:t>
      </w:r>
    </w:p>
    <w:p w:rsidR="00C74691" w:rsidRPr="008D30C5">
      <w:pPr>
        <w:tabs>
          <w:tab w:val="left" w:pos="5760"/>
        </w:tabs>
        <w:rPr>
          <w:b/>
          <w:szCs w:val="22"/>
        </w:rPr>
      </w:pPr>
    </w:p>
    <w:p w:rsidR="00C74691" w:rsidRPr="008D30C5">
      <w:pPr>
        <w:tabs>
          <w:tab w:val="left" w:pos="5760"/>
        </w:tabs>
        <w:rPr>
          <w:spacing w:val="-2"/>
          <w:szCs w:val="22"/>
        </w:rPr>
      </w:pPr>
      <w:r w:rsidRPr="008D30C5">
        <w:rPr>
          <w:szCs w:val="22"/>
        </w:rPr>
        <w:t>By the Chief, Audio Division, Media Bureau</w:t>
      </w:r>
      <w:r w:rsidRPr="008D30C5">
        <w:rPr>
          <w:spacing w:val="-2"/>
          <w:szCs w:val="22"/>
        </w:rPr>
        <w:t>:</w:t>
      </w:r>
    </w:p>
    <w:p w:rsidR="00C74691" w:rsidRPr="008D30C5">
      <w:pPr>
        <w:tabs>
          <w:tab w:val="left" w:pos="5760"/>
        </w:tabs>
        <w:rPr>
          <w:szCs w:val="22"/>
        </w:rPr>
      </w:pPr>
    </w:p>
    <w:p w:rsidR="00C74691" w:rsidRPr="008D30C5" w:rsidP="008D4336">
      <w:pPr>
        <w:pStyle w:val="Heading1"/>
      </w:pPr>
      <w:r w:rsidRPr="008D30C5">
        <w:t>INTRODUCTION</w:t>
      </w:r>
    </w:p>
    <w:p w:rsidR="003333DC" w:rsidRPr="008D30C5" w:rsidP="008D4336">
      <w:pPr>
        <w:pStyle w:val="ParaNum"/>
      </w:pPr>
      <w:r w:rsidRPr="008D30C5">
        <w:t>The Media Bureau (Bureau) has before it the application</w:t>
      </w:r>
      <w:r w:rsidRPr="008D30C5" w:rsidR="00266E2B">
        <w:t>, as amended</w:t>
      </w:r>
      <w:r w:rsidRPr="008D30C5" w:rsidR="003F7938">
        <w:t xml:space="preserve"> </w:t>
      </w:r>
      <w:r w:rsidRPr="008D30C5" w:rsidR="00D004F2">
        <w:t>(Application)</w:t>
      </w:r>
      <w:r w:rsidR="009E794A">
        <w:t>,</w:t>
      </w:r>
      <w:r>
        <w:rPr>
          <w:rStyle w:val="FootnoteReference"/>
          <w:szCs w:val="22"/>
        </w:rPr>
        <w:footnoteReference w:id="3"/>
      </w:r>
      <w:r w:rsidRPr="008D30C5" w:rsidR="003F7938">
        <w:t xml:space="preserve"> </w:t>
      </w:r>
      <w:r w:rsidRPr="008D30C5">
        <w:t xml:space="preserve">of </w:t>
      </w:r>
      <w:r w:rsidRPr="008D30C5" w:rsidR="00820C29">
        <w:t>Hubbard’s Advertising Agency</w:t>
      </w:r>
      <w:r w:rsidRPr="008D30C5" w:rsidR="00BC41FF">
        <w:t xml:space="preserve">, Inc. </w:t>
      </w:r>
      <w:r w:rsidRPr="008D30C5" w:rsidR="00987E78">
        <w:t>(</w:t>
      </w:r>
      <w:r w:rsidRPr="008D30C5">
        <w:t xml:space="preserve">Licensee), for renewal of license for Station </w:t>
      </w:r>
      <w:r w:rsidRPr="008D30C5" w:rsidR="00820C29">
        <w:t>WLLL</w:t>
      </w:r>
      <w:r w:rsidRPr="008D30C5" w:rsidR="00BC41FF">
        <w:t>(AM</w:t>
      </w:r>
      <w:r w:rsidRPr="008D30C5" w:rsidR="00240E25">
        <w:t>)</w:t>
      </w:r>
      <w:r w:rsidRPr="008D30C5">
        <w:t xml:space="preserve">, </w:t>
      </w:r>
      <w:r w:rsidRPr="008D30C5" w:rsidR="00820C29">
        <w:t xml:space="preserve">Lynchburg, Virginia </w:t>
      </w:r>
      <w:r w:rsidRPr="008D30C5">
        <w:t xml:space="preserve">(Station).  In this </w:t>
      </w:r>
      <w:r w:rsidRPr="008D30C5">
        <w:rPr>
          <w:i/>
        </w:rPr>
        <w:t xml:space="preserve">Memorandum Opinion and Order and Notice of Apparent Liability for Forfeiture </w:t>
      </w:r>
      <w:r w:rsidRPr="008D30C5">
        <w:t>(</w:t>
      </w:r>
      <w:r w:rsidRPr="008D30C5">
        <w:rPr>
          <w:i/>
        </w:rPr>
        <w:t>NAL</w:t>
      </w:r>
      <w:r w:rsidRPr="008D30C5">
        <w:t>),</w:t>
      </w:r>
      <w:r>
        <w:rPr>
          <w:rStyle w:val="FootnoteReference"/>
          <w:szCs w:val="22"/>
        </w:rPr>
        <w:footnoteReference w:id="4"/>
      </w:r>
      <w:r w:rsidRPr="008D30C5">
        <w:t xml:space="preserve"> we find that Licensee apparently willfully and repeatedly violated</w:t>
      </w:r>
      <w:r w:rsidRPr="008D30C5" w:rsidR="001C15EB">
        <w:t xml:space="preserve">: </w:t>
      </w:r>
      <w:r w:rsidR="009E794A">
        <w:t xml:space="preserve"> </w:t>
      </w:r>
      <w:r w:rsidRPr="008D30C5" w:rsidR="001C15EB">
        <w:t xml:space="preserve">(1) </w:t>
      </w:r>
      <w:r w:rsidRPr="008D30C5">
        <w:t xml:space="preserve"> Section</w:t>
      </w:r>
      <w:r w:rsidRPr="008D30C5" w:rsidR="000E2586">
        <w:t xml:space="preserve"> 73.3526(e)(12)</w:t>
      </w:r>
      <w:r>
        <w:rPr>
          <w:rStyle w:val="FootnoteReference"/>
          <w:szCs w:val="22"/>
        </w:rPr>
        <w:footnoteReference w:id="5"/>
      </w:r>
      <w:r w:rsidRPr="008D30C5">
        <w:t xml:space="preserve"> </w:t>
      </w:r>
      <w:r w:rsidRPr="008D30C5" w:rsidR="00A022C5">
        <w:t xml:space="preserve">of the Rules </w:t>
      </w:r>
      <w:r w:rsidRPr="008D30C5" w:rsidR="00A20504">
        <w:t xml:space="preserve">by failing to prepare required </w:t>
      </w:r>
      <w:r w:rsidRPr="008D30C5" w:rsidR="000E2586">
        <w:t>quarterly issues</w:t>
      </w:r>
      <w:r w:rsidRPr="008D30C5" w:rsidR="001C15EB">
        <w:t xml:space="preserve"> a</w:t>
      </w:r>
      <w:r w:rsidRPr="008D30C5" w:rsidR="000E2586">
        <w:t>nd programs lists</w:t>
      </w:r>
      <w:r w:rsidRPr="008D30C5" w:rsidR="001C15EB">
        <w:t xml:space="preserve">; and (2) </w:t>
      </w:r>
      <w:r w:rsidRPr="008D30C5" w:rsidR="000E2586">
        <w:t>Section 73.3526(b)(2)</w:t>
      </w:r>
      <w:r>
        <w:rPr>
          <w:rStyle w:val="FootnoteReference"/>
          <w:szCs w:val="22"/>
        </w:rPr>
        <w:footnoteReference w:id="6"/>
      </w:r>
      <w:r w:rsidRPr="008D30C5" w:rsidR="000E2586">
        <w:t xml:space="preserve"> of the Rules by failing to </w:t>
      </w:r>
      <w:r w:rsidRPr="008D30C5" w:rsidR="00A20504">
        <w:t>upload this information into the Station’s</w:t>
      </w:r>
      <w:r w:rsidRPr="008D30C5" w:rsidR="00A022C5">
        <w:t xml:space="preserve"> online public inspection file (OPIF).  </w:t>
      </w:r>
      <w:r w:rsidRPr="008D30C5">
        <w:t xml:space="preserve">Based upon review of the record before us, we conclude that Licensee is apparently liable for a monetary forfeiture in the amount of </w:t>
      </w:r>
      <w:r w:rsidRPr="008D30C5" w:rsidR="00A022C5">
        <w:t xml:space="preserve">fifteen </w:t>
      </w:r>
      <w:r w:rsidRPr="008D30C5">
        <w:t>thousand dollars ($1</w:t>
      </w:r>
      <w:r w:rsidRPr="008D30C5" w:rsidR="00A022C5">
        <w:t>5</w:t>
      </w:r>
      <w:r w:rsidRPr="008D30C5">
        <w:t xml:space="preserve">,000) and that the captioned license renewal application should be granted for a period of </w:t>
      </w:r>
      <w:r w:rsidR="00102DDA">
        <w:t>two</w:t>
      </w:r>
      <w:r w:rsidRPr="008D30C5" w:rsidR="00102DDA">
        <w:t xml:space="preserve"> </w:t>
      </w:r>
      <w:r w:rsidRPr="008D30C5">
        <w:t xml:space="preserve">years instead of a full term of eight years. </w:t>
      </w:r>
    </w:p>
    <w:p w:rsidR="00C74691" w:rsidRPr="008D30C5" w:rsidP="008D4336">
      <w:pPr>
        <w:pStyle w:val="Heading1"/>
      </w:pPr>
      <w:r w:rsidRPr="008D30C5">
        <w:t>BACKGROUND</w:t>
      </w:r>
    </w:p>
    <w:p w:rsidR="00966218" w:rsidRPr="008D30C5" w:rsidP="008D4336">
      <w:pPr>
        <w:pStyle w:val="ParaNum"/>
        <w:widowControl/>
      </w:pPr>
      <w:r w:rsidRPr="008D30C5">
        <w:t>Section 73.352</w:t>
      </w:r>
      <w:r w:rsidRPr="008D30C5" w:rsidR="00BC41FF">
        <w:t>6</w:t>
      </w:r>
      <w:r w:rsidRPr="008D30C5">
        <w:t xml:space="preserve"> of the </w:t>
      </w:r>
      <w:r w:rsidRPr="008D30C5" w:rsidR="00147050">
        <w:t>R</w:t>
      </w:r>
      <w:r w:rsidRPr="008D30C5">
        <w:t xml:space="preserve">ules requires </w:t>
      </w:r>
      <w:r w:rsidRPr="008D30C5" w:rsidR="00CB18BF">
        <w:t xml:space="preserve">commercial </w:t>
      </w:r>
      <w:r w:rsidRPr="008D30C5">
        <w:t>broadcast licensees to maintain a public inspection file containing specific types of information related to station operations.</w:t>
      </w:r>
      <w:r w:rsidRPr="008D30C5" w:rsidR="00147050">
        <w:t xml:space="preserve">  Section 73.3526(e)(12) requires every commercial broadcast radio licensee to place in its public file, on a quarterly basis, an issues and programs list which details programs that have provided the station’s most significant treatment of community issues during the preceding three-month period and must include a brief narrative of the issue addressed, as well as the time, date, duration, and title of each program that addressed the issue.</w:t>
      </w:r>
      <w:r>
        <w:rPr>
          <w:rStyle w:val="FootnoteReference"/>
          <w:szCs w:val="22"/>
        </w:rPr>
        <w:footnoteReference w:id="7"/>
      </w:r>
      <w:r w:rsidRPr="008D30C5" w:rsidR="00147050">
        <w:t xml:space="preserve">  The issues and programs lists must be placed in the Station’s public file by the tenth </w:t>
      </w:r>
      <w:r w:rsidRPr="008D30C5" w:rsidR="00147050">
        <w:t>day of the succeeding calendar quarter and must be retained until final action on the station’s next license renewal application.</w:t>
      </w:r>
      <w:r>
        <w:rPr>
          <w:rStyle w:val="FootnoteReference"/>
          <w:szCs w:val="22"/>
        </w:rPr>
        <w:footnoteReference w:id="8"/>
      </w:r>
      <w:r w:rsidRPr="008D30C5" w:rsidR="00B42501">
        <w:t xml:space="preserve">  </w:t>
      </w:r>
    </w:p>
    <w:p w:rsidR="00783DC2" w:rsidRPr="008D30C5" w:rsidP="008D4336">
      <w:pPr>
        <w:pStyle w:val="ParaNum"/>
        <w:rPr>
          <w:color w:val="000000"/>
        </w:rPr>
      </w:pPr>
      <w:r w:rsidRPr="008D30C5">
        <w:t xml:space="preserve">In 2012, the Commission </w:t>
      </w:r>
      <w:r w:rsidRPr="008D30C5" w:rsidR="008E1D33">
        <w:t xml:space="preserve">amended </w:t>
      </w:r>
      <w:r w:rsidR="00CC5631">
        <w:t>section</w:t>
      </w:r>
      <w:r w:rsidRPr="008D30C5" w:rsidR="008E1D33">
        <w:t xml:space="preserve"> 73.3526(b)</w:t>
      </w:r>
      <w:r w:rsidRPr="008D30C5" w:rsidR="00D77805">
        <w:t>(2)</w:t>
      </w:r>
      <w:r w:rsidRPr="008D30C5" w:rsidR="008E1D33">
        <w:t xml:space="preserve"> of the Rules</w:t>
      </w:r>
      <w:r w:rsidRPr="008D30C5" w:rsidR="00B53B13">
        <w:t xml:space="preserve"> (OPIF Rule)</w:t>
      </w:r>
      <w:r w:rsidRPr="008D30C5" w:rsidR="008E1D33">
        <w:t xml:space="preserve"> to require </w:t>
      </w:r>
      <w:r w:rsidRPr="008D30C5" w:rsidR="004C799A">
        <w:t xml:space="preserve">broadcast television stations to </w:t>
      </w:r>
      <w:r w:rsidRPr="008D30C5" w:rsidR="008E1D33">
        <w:t xml:space="preserve">upload </w:t>
      </w:r>
      <w:r w:rsidRPr="008D30C5" w:rsidR="004C799A">
        <w:t xml:space="preserve">public file documents to the </w:t>
      </w:r>
      <w:r w:rsidRPr="008D30C5">
        <w:t>Commission</w:t>
      </w:r>
      <w:r w:rsidRPr="008D30C5" w:rsidR="008E1D33">
        <w:t xml:space="preserve">’s </w:t>
      </w:r>
      <w:r w:rsidRPr="008D30C5" w:rsidR="004C799A">
        <w:t xml:space="preserve">online </w:t>
      </w:r>
      <w:r w:rsidR="00EA0841">
        <w:t xml:space="preserve">public inspection file </w:t>
      </w:r>
      <w:r w:rsidRPr="008D30C5" w:rsidR="004C799A">
        <w:t>database.</w:t>
      </w:r>
      <w:r>
        <w:rPr>
          <w:rStyle w:val="FootnoteReference"/>
          <w:szCs w:val="22"/>
        </w:rPr>
        <w:footnoteReference w:id="9"/>
      </w:r>
      <w:r w:rsidRPr="008D30C5">
        <w:t xml:space="preserve">  The Commission</w:t>
      </w:r>
      <w:r w:rsidRPr="008D30C5" w:rsidR="008E1D33">
        <w:t xml:space="preserve"> adopted the OPIF </w:t>
      </w:r>
      <w:r w:rsidRPr="008D30C5" w:rsidR="00B53B13">
        <w:t xml:space="preserve">Rule </w:t>
      </w:r>
      <w:r w:rsidRPr="008D30C5">
        <w:t>to modernize the way television broadcasters</w:t>
      </w:r>
      <w:r w:rsidRPr="008D30C5" w:rsidR="00B53B13">
        <w:t xml:space="preserve"> inform the public about their service to their community, increase accessibility of this information to the public, and re</w:t>
      </w:r>
      <w:r w:rsidRPr="008D30C5" w:rsidR="00E174C0">
        <w:t xml:space="preserve">duce the </w:t>
      </w:r>
      <w:r w:rsidRPr="008D30C5" w:rsidR="00B53B13">
        <w:t>cost of compliance</w:t>
      </w:r>
      <w:r w:rsidRPr="008D30C5" w:rsidR="00E174C0">
        <w:t xml:space="preserve"> with the public file requirements</w:t>
      </w:r>
      <w:r w:rsidRPr="008D30C5" w:rsidR="00B53B13">
        <w:t>.</w:t>
      </w:r>
      <w:r>
        <w:rPr>
          <w:rStyle w:val="FootnoteReference"/>
          <w:szCs w:val="22"/>
        </w:rPr>
        <w:footnoteReference w:id="10"/>
      </w:r>
      <w:r w:rsidRPr="008D30C5" w:rsidR="00E174C0">
        <w:t xml:space="preserve">  In 2016, the Commission expanded the OPIF Rule to </w:t>
      </w:r>
      <w:r w:rsidRPr="008D30C5" w:rsidR="00BD743B">
        <w:t xml:space="preserve">require </w:t>
      </w:r>
      <w:r w:rsidRPr="008D30C5" w:rsidR="00BD743B">
        <w:rPr>
          <w:color w:val="000000"/>
        </w:rPr>
        <w:t>all broadcast radio licensees to transition their public inspection files to the Commission’s OPIF database</w:t>
      </w:r>
      <w:r w:rsidRPr="008D30C5" w:rsidR="00E174C0">
        <w:t>.</w:t>
      </w:r>
      <w:r>
        <w:rPr>
          <w:rStyle w:val="FootnoteReference"/>
          <w:szCs w:val="22"/>
        </w:rPr>
        <w:footnoteReference w:id="11"/>
      </w:r>
      <w:r w:rsidRPr="008D30C5" w:rsidR="003F51F5">
        <w:t xml:space="preserve">  </w:t>
      </w:r>
      <w:r w:rsidRPr="008D30C5" w:rsidR="00BD743B">
        <w:rPr>
          <w:color w:val="000000"/>
        </w:rPr>
        <w:t>By March 1, 2018, a</w:t>
      </w:r>
      <w:r w:rsidRPr="008D30C5" w:rsidR="00310AEE">
        <w:rPr>
          <w:color w:val="000000"/>
        </w:rPr>
        <w:t xml:space="preserve">ll broadcast radio </w:t>
      </w:r>
      <w:r w:rsidRPr="008D30C5" w:rsidR="00D77805">
        <w:rPr>
          <w:color w:val="000000"/>
        </w:rPr>
        <w:t xml:space="preserve">stations </w:t>
      </w:r>
      <w:r w:rsidRPr="008D30C5" w:rsidR="00310AEE">
        <w:rPr>
          <w:color w:val="000000"/>
        </w:rPr>
        <w:t xml:space="preserve"> </w:t>
      </w:r>
      <w:r w:rsidRPr="008D30C5" w:rsidR="00BD743B">
        <w:rPr>
          <w:color w:val="000000"/>
        </w:rPr>
        <w:t xml:space="preserve">were required to post </w:t>
      </w:r>
      <w:r w:rsidRPr="008D30C5" w:rsidR="00310AEE">
        <w:rPr>
          <w:color w:val="000000"/>
        </w:rPr>
        <w:t xml:space="preserve">all </w:t>
      </w:r>
      <w:r w:rsidRPr="008D30C5" w:rsidR="00BD743B">
        <w:rPr>
          <w:color w:val="000000"/>
        </w:rPr>
        <w:t>public file material, except political file material created before March 1, 2018</w:t>
      </w:r>
      <w:r w:rsidR="009270C7">
        <w:rPr>
          <w:color w:val="000000"/>
        </w:rPr>
        <w:t>.</w:t>
      </w:r>
      <w:r>
        <w:rPr>
          <w:rStyle w:val="FootnoteReference"/>
          <w:color w:val="000000"/>
          <w:szCs w:val="22"/>
        </w:rPr>
        <w:footnoteReference w:id="12"/>
      </w:r>
      <w:r w:rsidRPr="008D30C5">
        <w:rPr>
          <w:color w:val="000000"/>
        </w:rPr>
        <w:t xml:space="preserve">  </w:t>
      </w:r>
      <w:r w:rsidRPr="008D30C5" w:rsidR="0003203E">
        <w:rPr>
          <w:color w:val="000000"/>
        </w:rPr>
        <w:t xml:space="preserve">Thereafter, in public notices, the </w:t>
      </w:r>
      <w:r w:rsidRPr="008D30C5" w:rsidR="00D77805">
        <w:rPr>
          <w:color w:val="000000"/>
        </w:rPr>
        <w:t>Bureau</w:t>
      </w:r>
      <w:r w:rsidRPr="008D30C5" w:rsidR="00EC1B6D">
        <w:rPr>
          <w:color w:val="000000"/>
        </w:rPr>
        <w:t xml:space="preserve"> </w:t>
      </w:r>
      <w:r w:rsidRPr="008D30C5" w:rsidR="0003203E">
        <w:rPr>
          <w:color w:val="000000"/>
        </w:rPr>
        <w:t xml:space="preserve">has </w:t>
      </w:r>
      <w:r w:rsidRPr="008D30C5" w:rsidR="00EC1B6D">
        <w:rPr>
          <w:color w:val="000000"/>
        </w:rPr>
        <w:t xml:space="preserve">reminded </w:t>
      </w:r>
      <w:r w:rsidRPr="008D30C5" w:rsidR="00D77805">
        <w:rPr>
          <w:color w:val="000000"/>
        </w:rPr>
        <w:t>broadcast radio licensees of their OPIF obligation</w:t>
      </w:r>
      <w:r w:rsidRPr="008D30C5" w:rsidR="00EC1B6D">
        <w:rPr>
          <w:color w:val="000000"/>
        </w:rPr>
        <w:t>.</w:t>
      </w:r>
      <w:r>
        <w:rPr>
          <w:rStyle w:val="FootnoteReference"/>
          <w:color w:val="000000"/>
          <w:szCs w:val="22"/>
        </w:rPr>
        <w:footnoteReference w:id="13"/>
      </w:r>
      <w:r w:rsidRPr="008D30C5" w:rsidR="00D77805">
        <w:rPr>
          <w:color w:val="000000"/>
        </w:rPr>
        <w:t xml:space="preserve">   </w:t>
      </w:r>
      <w:r w:rsidRPr="008D30C5" w:rsidR="00BD743B">
        <w:rPr>
          <w:color w:val="000000"/>
        </w:rPr>
        <w:t xml:space="preserve">  </w:t>
      </w:r>
      <w:r w:rsidRPr="008D30C5" w:rsidR="00310AEE">
        <w:rPr>
          <w:color w:val="000000"/>
        </w:rPr>
        <w:t xml:space="preserve"> </w:t>
      </w:r>
    </w:p>
    <w:p w:rsidR="006B3D28" w:rsidRPr="008D30C5" w:rsidP="009862F3">
      <w:pPr>
        <w:pStyle w:val="ParaNum"/>
      </w:pPr>
      <w:r w:rsidRPr="008D30C5">
        <w:t xml:space="preserve">Section III, Item 3 of the license renewal application form </w:t>
      </w:r>
      <w:r w:rsidR="008416DA">
        <w:t>requires</w:t>
      </w:r>
      <w:r w:rsidRPr="008D30C5" w:rsidR="008416DA">
        <w:t xml:space="preserve"> </w:t>
      </w:r>
      <w:r w:rsidRPr="008D30C5">
        <w:t xml:space="preserve">that the licensee certify that the documentation required by </w:t>
      </w:r>
      <w:r w:rsidR="00CC5631">
        <w:t>section</w:t>
      </w:r>
      <w:r w:rsidRPr="008D30C5">
        <w:t xml:space="preserve"> 73.3526 has been placed in the station’s public inspection file at the appropriate times.  Licensee answered “No” to that certification and</w:t>
      </w:r>
      <w:r w:rsidRPr="008D30C5">
        <w:t xml:space="preserve"> </w:t>
      </w:r>
      <w:r w:rsidRPr="008D30C5">
        <w:t>attached an</w:t>
      </w:r>
      <w:r w:rsidRPr="008D30C5">
        <w:t xml:space="preserve"> amended </w:t>
      </w:r>
      <w:r w:rsidRPr="008D30C5">
        <w:t>exhibit</w:t>
      </w:r>
      <w:r w:rsidRPr="008D30C5">
        <w:t xml:space="preserve"> </w:t>
      </w:r>
      <w:r w:rsidRPr="008D30C5">
        <w:t>explaining that:</w:t>
      </w:r>
    </w:p>
    <w:p w:rsidR="00D500A0" w:rsidRPr="008D30C5" w:rsidP="009862F3">
      <w:pPr>
        <w:widowControl/>
        <w:spacing w:after="120"/>
        <w:ind w:left="720" w:right="720"/>
        <w:rPr>
          <w:szCs w:val="22"/>
        </w:rPr>
      </w:pPr>
      <w:r w:rsidRPr="008D30C5">
        <w:rPr>
          <w:szCs w:val="22"/>
        </w:rPr>
        <w:t xml:space="preserve">The sole principal of the licensee, Fletcher Hubbard, who has operated the Station almost entirely on his own is 92 years old and is not ‘computer literate.’  He did not understand how [to] access WLLL’s on line public file let alone how to upload documents to the file.  He is also unsure as to whether he prepared </w:t>
      </w:r>
      <w:r w:rsidRPr="008D30C5" w:rsidR="00445A3B">
        <w:rPr>
          <w:szCs w:val="22"/>
        </w:rPr>
        <w:t>Annual [sic] Issues and Programs lists and placed them in the station’s local public inspection file during the period following the station’s last renewal and the date by which all such lists were to have been uploaded to WLLL’s on line public file.  His adult children who recently begun to assist him in the operation of the station have searched for such issues and programs lists and were unable to find any.  Going forward the licensee’s children intend to make certain that the station complies with all FCC requirements including up loading issues and programs lists to the station’s public file when due.</w:t>
      </w:r>
      <w:r>
        <w:rPr>
          <w:rStyle w:val="FootnoteReference"/>
          <w:szCs w:val="22"/>
        </w:rPr>
        <w:footnoteReference w:id="14"/>
      </w:r>
      <w:r w:rsidRPr="008D30C5">
        <w:rPr>
          <w:szCs w:val="22"/>
        </w:rPr>
        <w:t xml:space="preserve">  </w:t>
      </w:r>
    </w:p>
    <w:p w:rsidR="003D16F2" w:rsidRPr="008D30C5" w:rsidP="009862F3">
      <w:pPr>
        <w:pStyle w:val="ParaNum"/>
        <w:numPr>
          <w:ilvl w:val="0"/>
          <w:numId w:val="0"/>
        </w:numPr>
      </w:pPr>
      <w:r w:rsidRPr="008D30C5">
        <w:t xml:space="preserve">A </w:t>
      </w:r>
      <w:r w:rsidRPr="008D30C5" w:rsidR="006F7D37">
        <w:t xml:space="preserve">Commission staff </w:t>
      </w:r>
      <w:r w:rsidRPr="008D30C5">
        <w:t xml:space="preserve">review has confirmed that Licensee has failed to place any </w:t>
      </w:r>
      <w:r w:rsidRPr="008D30C5" w:rsidR="00404002">
        <w:t>issues and programs lists</w:t>
      </w:r>
      <w:r w:rsidRPr="008D30C5">
        <w:t xml:space="preserve"> into the Station’s OPIF. </w:t>
      </w:r>
    </w:p>
    <w:p w:rsidR="00966218" w:rsidRPr="008D30C5" w:rsidP="009862F3">
      <w:pPr>
        <w:pStyle w:val="Heading1"/>
      </w:pPr>
      <w:r w:rsidRPr="008D30C5">
        <w:t>DISCUSSION</w:t>
      </w:r>
    </w:p>
    <w:p w:rsidR="00966218" w:rsidRPr="008D30C5" w:rsidP="009862F3">
      <w:pPr>
        <w:pStyle w:val="ParaNum"/>
      </w:pPr>
      <w:r w:rsidRPr="008D30C5">
        <w:rPr>
          <w:i/>
        </w:rPr>
        <w:t>Proposed Forfeiture.</w:t>
      </w:r>
      <w:r w:rsidRPr="008D30C5">
        <w:t xml:space="preserve">  As Licensee has acknowledged,</w:t>
      </w:r>
      <w:r w:rsidRPr="008D30C5" w:rsidR="00EB1EC8">
        <w:t xml:space="preserve"> issues and programs lists were not</w:t>
      </w:r>
      <w:r w:rsidRPr="008D30C5" w:rsidR="00404002">
        <w:t xml:space="preserve"> prepared and uploaded </w:t>
      </w:r>
      <w:r w:rsidRPr="008D30C5" w:rsidR="00EB1EC8">
        <w:t>in</w:t>
      </w:r>
      <w:r w:rsidRPr="008D30C5" w:rsidR="00404002">
        <w:t>to</w:t>
      </w:r>
      <w:r w:rsidRPr="008D30C5" w:rsidR="00EB1EC8">
        <w:t xml:space="preserve"> </w:t>
      </w:r>
      <w:r w:rsidRPr="008D30C5">
        <w:t xml:space="preserve">the Station’s </w:t>
      </w:r>
      <w:r w:rsidRPr="008D30C5" w:rsidR="00404002">
        <w:t xml:space="preserve">OPIF </w:t>
      </w:r>
      <w:r w:rsidRPr="008D30C5" w:rsidR="00EB1EC8">
        <w:t xml:space="preserve">as </w:t>
      </w:r>
      <w:r w:rsidRPr="008D30C5">
        <w:t xml:space="preserve">required by </w:t>
      </w:r>
      <w:r w:rsidR="00CC5631">
        <w:t>section</w:t>
      </w:r>
      <w:r w:rsidRPr="008D30C5" w:rsidR="00404002">
        <w:t>s</w:t>
      </w:r>
      <w:r w:rsidRPr="008D30C5">
        <w:t xml:space="preserve"> 73.352</w:t>
      </w:r>
      <w:r w:rsidRPr="008D30C5" w:rsidR="005F0E87">
        <w:t>6</w:t>
      </w:r>
      <w:r w:rsidRPr="008D30C5" w:rsidR="00404002">
        <w:t>(e)(12) and 73.3526(b)(2)</w:t>
      </w:r>
      <w:r>
        <w:rPr>
          <w:rStyle w:val="FootnoteReference"/>
          <w:szCs w:val="22"/>
        </w:rPr>
        <w:footnoteReference w:id="15"/>
      </w:r>
      <w:r w:rsidRPr="008D30C5" w:rsidR="00404002">
        <w:t xml:space="preserve"> </w:t>
      </w:r>
      <w:r w:rsidRPr="008D30C5">
        <w:t xml:space="preserve">of the </w:t>
      </w:r>
      <w:r w:rsidRPr="008D30C5" w:rsidR="00404002">
        <w:t>Rules</w:t>
      </w:r>
      <w:r w:rsidRPr="008D30C5">
        <w:t xml:space="preserve">.  </w:t>
      </w:r>
      <w:r w:rsidRPr="008D30C5" w:rsidR="000472BA">
        <w:t>W</w:t>
      </w:r>
      <w:r w:rsidRPr="008D30C5">
        <w:t xml:space="preserve">here </w:t>
      </w:r>
      <w:r w:rsidRPr="008D30C5" w:rsidR="000472BA">
        <w:t xml:space="preserve">such </w:t>
      </w:r>
      <w:r w:rsidRPr="008D30C5">
        <w:t>lapses occur, neither the negligent acts or omissions of station employees or agents, nor the subsequent remedial actions undertaken by the licensee, excuse or nullify a licensee’s rule violation.</w:t>
      </w:r>
      <w:r>
        <w:rPr>
          <w:rStyle w:val="FootnoteReference"/>
          <w:szCs w:val="22"/>
        </w:rPr>
        <w:footnoteReference w:id="16"/>
      </w:r>
      <w:r w:rsidRPr="008D30C5" w:rsidR="00E308F3">
        <w:t xml:space="preserve">  </w:t>
      </w:r>
    </w:p>
    <w:p w:rsidR="001C15EB" w:rsidRPr="008D30C5" w:rsidP="009862F3">
      <w:pPr>
        <w:pStyle w:val="ParaNum"/>
      </w:pPr>
      <w:r w:rsidRPr="008D30C5">
        <w:t xml:space="preserve">Under </w:t>
      </w:r>
      <w:r w:rsidR="00CC5631">
        <w:t>section</w:t>
      </w:r>
      <w:r w:rsidRPr="008D30C5">
        <w:t xml:space="preserve"> 503(b)(1)(B) of the Act, a person who is found to have willfully or repeatedly failed to comply with any provision of the Act or any rule, regulation, or order issued by the Commission shall be liable to the United States for a forfeiture penalty.</w:t>
      </w:r>
      <w:r>
        <w:rPr>
          <w:rStyle w:val="FootnoteReference"/>
          <w:szCs w:val="22"/>
        </w:rPr>
        <w:footnoteReference w:id="17"/>
      </w:r>
      <w:r w:rsidRPr="008D30C5">
        <w:t xml:space="preserve">  Section 312(f)(1) of the Act defines willful as “the conscious and deliberate commission or omission of [any] act, irrespective of any intent to violate” the law.</w:t>
      </w:r>
      <w:r>
        <w:rPr>
          <w:rStyle w:val="FootnoteReference"/>
          <w:szCs w:val="22"/>
        </w:rPr>
        <w:footnoteReference w:id="18"/>
      </w:r>
      <w:r w:rsidRPr="008D30C5">
        <w:t xml:space="preserve">  The legislative history to </w:t>
      </w:r>
      <w:r w:rsidR="00CC5631">
        <w:t>section</w:t>
      </w:r>
      <w:r w:rsidRPr="008D30C5">
        <w:t xml:space="preserve"> 312(f)(1) of the Act clarifies that this definition of willful applies to both </w:t>
      </w:r>
      <w:r w:rsidR="00CC5631">
        <w:t>section</w:t>
      </w:r>
      <w:r w:rsidRPr="008D30C5">
        <w:t>s 312 and 503(b) of the Act,</w:t>
      </w:r>
      <w:r>
        <w:rPr>
          <w:rStyle w:val="FootnoteReference"/>
          <w:szCs w:val="22"/>
        </w:rPr>
        <w:footnoteReference w:id="19"/>
      </w:r>
      <w:r w:rsidRPr="008D30C5">
        <w:t xml:space="preserve"> and the Commission has so interpreted the term in the </w:t>
      </w:r>
      <w:r w:rsidR="00CC5631">
        <w:t>section</w:t>
      </w:r>
      <w:r w:rsidRPr="008D30C5">
        <w:t xml:space="preserve"> 503(b) context.</w:t>
      </w:r>
      <w:r>
        <w:rPr>
          <w:rStyle w:val="FootnoteReference"/>
          <w:szCs w:val="22"/>
        </w:rPr>
        <w:footnoteReference w:id="20"/>
      </w:r>
      <w:r w:rsidRPr="008D30C5">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21"/>
      </w:r>
      <w:r w:rsidRPr="008D30C5">
        <w:t xml:space="preserve">  </w:t>
      </w:r>
    </w:p>
    <w:p w:rsidR="00C74691" w:rsidRPr="008D30C5" w:rsidP="009862F3">
      <w:pPr>
        <w:pStyle w:val="ParaNum"/>
      </w:pPr>
      <w:r w:rsidRPr="008D30C5">
        <w:t>The</w:t>
      </w:r>
      <w:r w:rsidRPr="009862F3">
        <w:rPr>
          <w:i/>
        </w:rPr>
        <w:t xml:space="preserve"> </w:t>
      </w:r>
      <w:r w:rsidRPr="008D30C5">
        <w:t>Commission’s</w:t>
      </w:r>
      <w:r w:rsidRPr="009862F3">
        <w:rPr>
          <w:i/>
        </w:rPr>
        <w:t xml:space="preserve"> Forfeiture Policy Statement</w:t>
      </w:r>
      <w:r w:rsidRPr="008D30C5">
        <w:t xml:space="preserve"> and </w:t>
      </w:r>
      <w:r w:rsidR="00CC5631">
        <w:t>section</w:t>
      </w:r>
      <w:r w:rsidRPr="008D30C5">
        <w:t xml:space="preserve"> 1.80(b)(</w:t>
      </w:r>
      <w:r w:rsidRPr="008D30C5" w:rsidR="0090432A">
        <w:t>5</w:t>
      </w:r>
      <w:r w:rsidRPr="008D30C5">
        <w:t xml:space="preserve">) of the </w:t>
      </w:r>
      <w:r w:rsidRPr="008D30C5" w:rsidR="00404002">
        <w:t>R</w:t>
      </w:r>
      <w:r w:rsidRPr="008D30C5">
        <w:t xml:space="preserve">ules establish a base forfeiture amount of $10,000 for </w:t>
      </w:r>
      <w:r w:rsidRPr="008D30C5" w:rsidR="00404002">
        <w:t>failure to maintain a station’s public file and $3,000 for fail</w:t>
      </w:r>
      <w:r w:rsidRPr="008D30C5" w:rsidR="00A27376">
        <w:t xml:space="preserve">ure to </w:t>
      </w:r>
      <w:r w:rsidRPr="008D30C5" w:rsidR="00404002">
        <w:t>file required information.</w:t>
      </w:r>
      <w:r>
        <w:rPr>
          <w:rStyle w:val="FootnoteReference"/>
          <w:szCs w:val="22"/>
        </w:rPr>
        <w:footnoteReference w:id="22"/>
      </w:r>
      <w:bookmarkStart w:id="1" w:name="SR;4127"/>
      <w:bookmarkStart w:id="2" w:name="SR;4128"/>
      <w:bookmarkEnd w:id="1"/>
      <w:bookmarkEnd w:id="2"/>
      <w:r w:rsidRPr="008D30C5" w:rsidR="001C15EB">
        <w:t xml:space="preserve">  </w:t>
      </w:r>
      <w:r w:rsidRPr="008D30C5">
        <w:t xml:space="preserve">In determining the appropriate forfeiture amount, we may adjust the amount upward or downward by considering the factors enumerated in </w:t>
      </w:r>
      <w:r w:rsidR="00CC5631">
        <w:t>section</w:t>
      </w:r>
      <w:r w:rsidRPr="008D30C5">
        <w:t xml:space="preserve"> 503(b)(2)(D)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23"/>
      </w:r>
    </w:p>
    <w:p w:rsidR="00C74691" w:rsidRPr="008D30C5" w:rsidP="009862F3">
      <w:pPr>
        <w:pStyle w:val="ParaNum"/>
      </w:pPr>
      <w:r w:rsidRPr="008D30C5">
        <w:t xml:space="preserve">Based on our review of the facts and circumstances, we find that a $15,000 forfeiture is appropriate.  </w:t>
      </w:r>
      <w:r w:rsidR="0021150F">
        <w:t>W</w:t>
      </w:r>
      <w:r w:rsidRPr="008D30C5" w:rsidR="0021150F">
        <w:t xml:space="preserve">e find that a forfeiture in the amount of $12,000 is appropriate for the Licensee’s failure to prepare any quarterly issues and programs lists during the license term as required by </w:t>
      </w:r>
      <w:r w:rsidR="00CC5631">
        <w:t>section</w:t>
      </w:r>
      <w:r w:rsidRPr="008D30C5" w:rsidR="0021150F">
        <w:t xml:space="preserve"> 73.3526(e)(12) of the Rules.</w:t>
      </w:r>
      <w:r>
        <w:rPr>
          <w:rStyle w:val="FootnoteReference"/>
          <w:szCs w:val="22"/>
        </w:rPr>
        <w:footnoteReference w:id="24"/>
      </w:r>
      <w:r w:rsidRPr="008D30C5" w:rsidR="0021150F">
        <w:t xml:space="preserve">  In this case, although Licensee admitted to violating </w:t>
      </w:r>
      <w:r w:rsidR="00CC5631">
        <w:t>section</w:t>
      </w:r>
      <w:r w:rsidRPr="008D30C5" w:rsidR="0021150F">
        <w:t xml:space="preserve"> 73.3526(e)(12), it did so only in the context of the question contained in the Application that compelled such disclosure.</w:t>
      </w:r>
      <w:r w:rsidR="00FC2710">
        <w:t xml:space="preserve">  We further note that Licensee has a history of failing to maintain a public inspection </w:t>
      </w:r>
      <w:r w:rsidR="00FC2710">
        <w:t>file.</w:t>
      </w:r>
      <w:r>
        <w:rPr>
          <w:rStyle w:val="FootnoteReference"/>
          <w:szCs w:val="22"/>
        </w:rPr>
        <w:footnoteReference w:id="25"/>
      </w:r>
      <w:r w:rsidR="00DC3633">
        <w:t xml:space="preserve">  </w:t>
      </w:r>
      <w:r w:rsidRPr="008D30C5" w:rsidR="0021150F">
        <w:t xml:space="preserve">Moreover, based on Licensee’s acknowledgement that no quarterly issues and programs lists </w:t>
      </w:r>
      <w:r w:rsidR="009E794A">
        <w:t>could be found,</w:t>
      </w:r>
      <w:r w:rsidRPr="008D30C5" w:rsidR="0021150F">
        <w:t xml:space="preserve"> the Station’s public file violations were extensive</w:t>
      </w:r>
      <w:r w:rsidR="009E794A">
        <w:t xml:space="preserve"> and not remediable</w:t>
      </w:r>
      <w:r w:rsidRPr="008D30C5" w:rsidR="0021150F">
        <w:t xml:space="preserve">, and </w:t>
      </w:r>
      <w:r w:rsidR="001A69A4">
        <w:t xml:space="preserve">apparently </w:t>
      </w:r>
      <w:r w:rsidRPr="008D30C5" w:rsidR="0021150F">
        <w:t xml:space="preserve">encompassed </w:t>
      </w:r>
      <w:r w:rsidR="001A69A4">
        <w:t>the two successive</w:t>
      </w:r>
      <w:r w:rsidRPr="008D30C5" w:rsidR="0021150F">
        <w:t xml:space="preserve"> license term</w:t>
      </w:r>
      <w:r w:rsidR="001A69A4">
        <w:t>s</w:t>
      </w:r>
      <w:r w:rsidRPr="008D30C5" w:rsidR="0021150F">
        <w:t>.</w:t>
      </w:r>
      <w:r w:rsidR="0021150F">
        <w:t xml:space="preserve">  </w:t>
      </w:r>
      <w:r w:rsidRPr="008D30C5">
        <w:t xml:space="preserve">In </w:t>
      </w:r>
      <w:r w:rsidR="0021150F">
        <w:t>addition</w:t>
      </w:r>
      <w:r w:rsidRPr="008D30C5">
        <w:t>, we find that a forfeiture in the amount of $3,000</w:t>
      </w:r>
      <w:bookmarkStart w:id="3" w:name="SR;884"/>
      <w:bookmarkEnd w:id="3"/>
      <w:r w:rsidRPr="008D30C5">
        <w:t xml:space="preserve"> is appropriate for Licensee’s failure to upload </w:t>
      </w:r>
      <w:r w:rsidRPr="008D30C5" w:rsidR="006F7D37">
        <w:t>issues and programs lists in</w:t>
      </w:r>
      <w:r w:rsidRPr="008D30C5">
        <w:t>to the Station’s OPIF</w:t>
      </w:r>
      <w:r w:rsidRPr="008D30C5" w:rsidR="00A27376">
        <w:t xml:space="preserve"> as required by </w:t>
      </w:r>
      <w:r w:rsidR="00CC5631">
        <w:t>section</w:t>
      </w:r>
      <w:r w:rsidRPr="008D30C5" w:rsidR="00A27376">
        <w:t xml:space="preserve"> 73.3526(b)(2)</w:t>
      </w:r>
      <w:r>
        <w:rPr>
          <w:rStyle w:val="FootnoteReference"/>
          <w:szCs w:val="22"/>
        </w:rPr>
        <w:footnoteReference w:id="26"/>
      </w:r>
      <w:r w:rsidRPr="008D30C5" w:rsidR="00A27376">
        <w:t xml:space="preserve"> of the Rules</w:t>
      </w:r>
      <w:r w:rsidRPr="008D30C5">
        <w:t>.</w:t>
      </w:r>
      <w:r>
        <w:rPr>
          <w:rStyle w:val="FootnoteReference"/>
          <w:szCs w:val="22"/>
        </w:rPr>
        <w:footnoteReference w:id="27"/>
      </w:r>
      <w:r w:rsidRPr="008D30C5">
        <w:t xml:space="preserve">  </w:t>
      </w:r>
      <w:r w:rsidR="0021150F">
        <w:t>Notwithstanding</w:t>
      </w:r>
      <w:r w:rsidRPr="008D30C5" w:rsidR="00A27376">
        <w:t xml:space="preserve"> </w:t>
      </w:r>
      <w:r w:rsidR="0021150F">
        <w:t xml:space="preserve">the </w:t>
      </w:r>
      <w:r w:rsidRPr="008D30C5" w:rsidR="00A27376">
        <w:t>Licensee</w:t>
      </w:r>
      <w:r w:rsidR="0021150F">
        <w:t xml:space="preserve"> principal</w:t>
      </w:r>
      <w:r w:rsidRPr="008D30C5" w:rsidR="00A27376">
        <w:t>’s advanced age, i</w:t>
      </w:r>
      <w:r w:rsidRPr="008D30C5">
        <w:t>t is a licensee’s responsibility to comply with Commission Rules</w:t>
      </w:r>
      <w:r w:rsidRPr="008D30C5" w:rsidR="00A27376">
        <w:t xml:space="preserve">.  </w:t>
      </w:r>
      <w:r w:rsidRPr="008D30C5" w:rsidR="0084488C">
        <w:t>A</w:t>
      </w:r>
      <w:r w:rsidRPr="008D30C5">
        <w:t xml:space="preserve">ccordingly, </w:t>
      </w:r>
      <w:r w:rsidRPr="008D30C5" w:rsidR="00273998">
        <w:t>we find that</w:t>
      </w:r>
      <w:r w:rsidRPr="008D30C5" w:rsidR="00302E6F">
        <w:t>,</w:t>
      </w:r>
      <w:r w:rsidRPr="008D30C5" w:rsidR="00273998">
        <w:t xml:space="preserve"> </w:t>
      </w:r>
      <w:r w:rsidRPr="008D30C5" w:rsidR="00523461">
        <w:t>c</w:t>
      </w:r>
      <w:r w:rsidRPr="008D30C5" w:rsidR="00273998">
        <w:t xml:space="preserve">onsidering the </w:t>
      </w:r>
      <w:r w:rsidRPr="008D30C5" w:rsidR="00273998">
        <w:t>record as a whole, a</w:t>
      </w:r>
      <w:r w:rsidRPr="008D30C5" w:rsidR="00273998">
        <w:t xml:space="preserve"> $1</w:t>
      </w:r>
      <w:r w:rsidRPr="008D30C5" w:rsidR="00251B3B">
        <w:t>5</w:t>
      </w:r>
      <w:r w:rsidRPr="008D30C5" w:rsidR="00273998">
        <w:t>,000 forfeiture is appropriate for the violations in this case.</w:t>
      </w:r>
      <w:r w:rsidRPr="008D30C5">
        <w:t xml:space="preserve"> </w:t>
      </w:r>
    </w:p>
    <w:p w:rsidR="009862F3" w:rsidP="009862F3">
      <w:pPr>
        <w:pStyle w:val="ParaNum"/>
      </w:pPr>
      <w:r w:rsidRPr="009862F3">
        <w:rPr>
          <w:i/>
          <w:iCs/>
        </w:rPr>
        <w:t>License Renewal Application</w:t>
      </w:r>
      <w:r w:rsidRPr="008D30C5">
        <w:t xml:space="preserve">. In evaluating an application for license renewal, the Commission's decision is governed by </w:t>
      </w:r>
      <w:r w:rsidR="00CC5631">
        <w:t>section</w:t>
      </w:r>
      <w:r w:rsidRPr="008D30C5">
        <w:t xml:space="preserve"> 309(k) of the Act.</w:t>
      </w:r>
      <w:bookmarkStart w:id="4" w:name="FN[FN15]"/>
      <w:bookmarkEnd w:id="4"/>
      <w:r>
        <w:rPr>
          <w:rStyle w:val="FootnoteReference"/>
          <w:szCs w:val="22"/>
        </w:rPr>
        <w:footnoteReference w:id="28"/>
      </w:r>
      <w:r w:rsidRPr="008D30C5">
        <w:t xml:space="preserve">  That section provides that if, upon consideration of the application and pleadings, we find that (1) the station has served the public interest, convenience, and necessity; (2) there have been no serious violations of the Act or the </w:t>
      </w:r>
      <w:r w:rsidRPr="008D30C5" w:rsidR="00F217F2">
        <w:t>FCC’s r</w:t>
      </w:r>
      <w:r w:rsidRPr="008D30C5">
        <w:t>ules; and (3) there have been no other violations which, taken together, constitute a pattern of abuse, we are to grant the renewal application.</w:t>
      </w:r>
      <w:bookmarkStart w:id="5" w:name="FN[FN16]"/>
      <w:bookmarkEnd w:id="5"/>
      <w:r>
        <w:rPr>
          <w:rStyle w:val="FootnoteReference"/>
          <w:szCs w:val="22"/>
        </w:rPr>
        <w:footnoteReference w:id="29"/>
      </w:r>
      <w:r w:rsidRPr="008D30C5">
        <w:t xml:space="preserve">  If, however, the licensee fails to meet that standard, the Commission may deny the application — after notice and opportunity for a hearing under </w:t>
      </w:r>
      <w:r w:rsidR="00CC5631">
        <w:t>section</w:t>
      </w:r>
      <w:r w:rsidRPr="008D30C5">
        <w:t xml:space="preserve"> 309(e) of the Act — or grant the application “on terms and conditions that are appropriate, including a renewal for a term less than the  maximum otherwise permitted.”</w:t>
      </w:r>
      <w:bookmarkStart w:id="6" w:name="FN[FN17]"/>
      <w:bookmarkEnd w:id="6"/>
      <w:r>
        <w:rPr>
          <w:rStyle w:val="FootnoteReference"/>
          <w:szCs w:val="22"/>
        </w:rPr>
        <w:footnoteReference w:id="30"/>
      </w:r>
    </w:p>
    <w:p w:rsidR="000750D2" w:rsidRPr="008D30C5" w:rsidP="009862F3">
      <w:pPr>
        <w:pStyle w:val="ParaNum"/>
      </w:pPr>
      <w:bookmarkStart w:id="7" w:name="sp_999_2"/>
      <w:bookmarkStart w:id="8" w:name="SDU_2"/>
      <w:bookmarkEnd w:id="7"/>
      <w:bookmarkEnd w:id="8"/>
      <w:r w:rsidRPr="008D30C5">
        <w:t xml:space="preserve">It is clear to us that Licensee’s conduct has fallen far short of the standard of compliance with the Act and the </w:t>
      </w:r>
      <w:r w:rsidRPr="008D30C5" w:rsidR="0042788D">
        <w:t>FCC’s r</w:t>
      </w:r>
      <w:r w:rsidRPr="008D30C5">
        <w:t xml:space="preserve">ules that would warrant a routine license renewal.  </w:t>
      </w:r>
      <w:r w:rsidRPr="008D30C5" w:rsidR="008945C8">
        <w:t xml:space="preserve">Licensee </w:t>
      </w:r>
      <w:r w:rsidRPr="008D30C5" w:rsidR="00F55DF7">
        <w:t xml:space="preserve">apparently failed to timely prepare and file </w:t>
      </w:r>
      <w:r w:rsidRPr="008D30C5" w:rsidR="00251B3B">
        <w:t xml:space="preserve">any </w:t>
      </w:r>
      <w:r w:rsidRPr="008D30C5" w:rsidR="00DD4F55">
        <w:t>i</w:t>
      </w:r>
      <w:r w:rsidRPr="008D30C5" w:rsidR="00F55DF7">
        <w:t>ssues</w:t>
      </w:r>
      <w:r w:rsidRPr="008D30C5" w:rsidR="00251B3B">
        <w:t xml:space="preserve"> and p</w:t>
      </w:r>
      <w:r w:rsidRPr="008D30C5" w:rsidR="00F55DF7">
        <w:t>rograms list</w:t>
      </w:r>
      <w:r w:rsidRPr="008D30C5" w:rsidR="00DD4F55">
        <w:t>s</w:t>
      </w:r>
      <w:r w:rsidRPr="008D30C5" w:rsidR="00F55DF7">
        <w:t xml:space="preserve"> </w:t>
      </w:r>
      <w:r w:rsidRPr="008D30C5" w:rsidR="00251B3B">
        <w:t>and to upload this information into the Station’s OPIF</w:t>
      </w:r>
      <w:r w:rsidRPr="008D30C5" w:rsidR="00F55DF7">
        <w:t xml:space="preserve">.  </w:t>
      </w:r>
      <w:r w:rsidRPr="008D30C5" w:rsidR="008E29F6">
        <w:t>T</w:t>
      </w:r>
      <w:r w:rsidRPr="008D30C5">
        <w:t>he issues</w:t>
      </w:r>
      <w:r w:rsidRPr="008D30C5" w:rsidR="00251B3B">
        <w:t xml:space="preserve"> and </w:t>
      </w:r>
      <w:r w:rsidRPr="008D30C5">
        <w:t>programs lists are a significant and representative indication that a licensee is providing substantial service to meet the needs and interests of its community.</w:t>
      </w:r>
      <w:r>
        <w:rPr>
          <w:vertAlign w:val="superscript"/>
        </w:rPr>
        <w:footnoteReference w:id="31"/>
      </w:r>
      <w:r w:rsidRPr="008D30C5">
        <w:t xml:space="preserve">  </w:t>
      </w:r>
      <w:r w:rsidRPr="008D30C5" w:rsidR="00251B3B">
        <w:t>In addition, t</w:t>
      </w:r>
      <w:r w:rsidRPr="008D30C5">
        <w:t xml:space="preserve">he Commission's </w:t>
      </w:r>
      <w:r w:rsidRPr="008D30C5" w:rsidR="00251B3B">
        <w:t xml:space="preserve">OPIF Rule </w:t>
      </w:r>
      <w:r w:rsidRPr="008D30C5">
        <w:t>safeguards the public's ability to assess the station's service and to meaningfully participate in the station's renewal process, and ensure the station's accessibility to and nexus with its community, to serve and respond to community programming needs.</w:t>
      </w:r>
      <w:r>
        <w:rPr>
          <w:vertAlign w:val="superscript"/>
        </w:rPr>
        <w:footnoteReference w:id="32"/>
      </w:r>
      <w:r w:rsidRPr="008D30C5">
        <w:t xml:space="preserve">  As such, the public information requirements are integral components of a licensee's obligation to serve the public interest and meet its community service obligations.</w:t>
      </w:r>
    </w:p>
    <w:p w:rsidR="00C74691" w:rsidRPr="008D30C5" w:rsidP="009862F3">
      <w:pPr>
        <w:pStyle w:val="ParaNum"/>
      </w:pPr>
      <w:r w:rsidRPr="008D30C5">
        <w:t>We believe that Licensee’s violation</w:t>
      </w:r>
      <w:r w:rsidRPr="008D30C5" w:rsidR="00464F5D">
        <w:t>s</w:t>
      </w:r>
      <w:r w:rsidRPr="008D30C5" w:rsidR="00251B3B">
        <w:t xml:space="preserve"> </w:t>
      </w:r>
      <w:r w:rsidRPr="008D30C5" w:rsidR="00464F5D">
        <w:t xml:space="preserve">of </w:t>
      </w:r>
      <w:r w:rsidR="00CC5631">
        <w:t>section</w:t>
      </w:r>
      <w:r w:rsidRPr="008D30C5" w:rsidR="00251B3B">
        <w:t>s</w:t>
      </w:r>
      <w:r w:rsidRPr="008D30C5">
        <w:t xml:space="preserve"> 73.352</w:t>
      </w:r>
      <w:r w:rsidRPr="008D30C5" w:rsidR="005F0E87">
        <w:t>6</w:t>
      </w:r>
      <w:r w:rsidRPr="008D30C5" w:rsidR="00251B3B">
        <w:t>(e)(12) and 73.3526(b)(2)</w:t>
      </w:r>
      <w:r w:rsidRPr="008D30C5" w:rsidR="0059707B">
        <w:t xml:space="preserve"> of the Rules</w:t>
      </w:r>
      <w:r>
        <w:rPr>
          <w:rStyle w:val="FootnoteReference"/>
          <w:szCs w:val="22"/>
        </w:rPr>
        <w:footnoteReference w:id="33"/>
      </w:r>
      <w:r w:rsidRPr="008D30C5">
        <w:t xml:space="preserve"> w</w:t>
      </w:r>
      <w:r w:rsidRPr="008D30C5" w:rsidR="004C64B6">
        <w:t>ere</w:t>
      </w:r>
      <w:r w:rsidRPr="008D30C5" w:rsidR="00464F5D">
        <w:t xml:space="preserve"> </w:t>
      </w:r>
      <w:r w:rsidRPr="008D30C5">
        <w:t>“serious” violation</w:t>
      </w:r>
      <w:r w:rsidRPr="008D30C5" w:rsidR="004C64B6">
        <w:t>s</w:t>
      </w:r>
      <w:r w:rsidRPr="008D30C5">
        <w:t>,</w:t>
      </w:r>
      <w:r>
        <w:rPr>
          <w:vertAlign w:val="superscript"/>
        </w:rPr>
        <w:footnoteReference w:id="34"/>
      </w:r>
      <w:r w:rsidRPr="008D30C5">
        <w:t xml:space="preserve"> as </w:t>
      </w:r>
      <w:r w:rsidRPr="008D30C5" w:rsidR="00C871E4">
        <w:t xml:space="preserve">they </w:t>
      </w:r>
      <w:r w:rsidRPr="008D30C5">
        <w:t xml:space="preserve">denied both the public and the Commission any opportunity to review and comment on the Station’s programming during the past license term.  The record here further indicates that </w:t>
      </w:r>
      <w:r w:rsidRPr="008D30C5" w:rsidR="00AB0947">
        <w:t xml:space="preserve">these </w:t>
      </w:r>
      <w:r w:rsidRPr="008D30C5">
        <w:t xml:space="preserve">willful and repeated violations, when considered together, constitute a pattern of abuse </w:t>
      </w:r>
      <w:r w:rsidRPr="008D30C5">
        <w:t>ove</w:t>
      </w:r>
      <w:r w:rsidRPr="008D30C5" w:rsidR="00BD47EB">
        <w:t xml:space="preserve">r </w:t>
      </w:r>
      <w:r w:rsidR="001A69A4">
        <w:t>a number</w:t>
      </w:r>
      <w:r w:rsidRPr="008D30C5" w:rsidR="00BD47EB">
        <w:t xml:space="preserve"> of years</w:t>
      </w:r>
      <w:r w:rsidR="001A69A4">
        <w:t xml:space="preserve"> – apparently at least two full license terms --</w:t>
      </w:r>
      <w:r w:rsidRPr="008D30C5" w:rsidR="00BD47EB">
        <w:t xml:space="preserve"> by Licensee</w:t>
      </w:r>
      <w:r w:rsidRPr="008D30C5">
        <w:t>.</w:t>
      </w:r>
      <w:r>
        <w:rPr>
          <w:vertAlign w:val="superscript"/>
        </w:rPr>
        <w:footnoteReference w:id="35"/>
      </w:r>
      <w:r w:rsidRPr="008D30C5" w:rsidR="00D46B77">
        <w:t xml:space="preserve">  </w:t>
      </w:r>
      <w:r w:rsidRPr="008D30C5">
        <w:t xml:space="preserve">However, although we are concerned with Licensee’s </w:t>
      </w:r>
      <w:r w:rsidRPr="008D30C5" w:rsidR="0014025A">
        <w:t xml:space="preserve">failure to create </w:t>
      </w:r>
      <w:r w:rsidRPr="008D30C5" w:rsidR="00251B3B">
        <w:t xml:space="preserve">required </w:t>
      </w:r>
      <w:r w:rsidRPr="008D30C5">
        <w:t>quarterly issues</w:t>
      </w:r>
      <w:r w:rsidRPr="008D30C5" w:rsidR="00251B3B">
        <w:t xml:space="preserve"> and p</w:t>
      </w:r>
      <w:r w:rsidRPr="008D30C5">
        <w:t>rograms lists</w:t>
      </w:r>
      <w:r w:rsidRPr="008D30C5" w:rsidR="008E29F6">
        <w:t>,</w:t>
      </w:r>
      <w:r w:rsidRPr="008D30C5" w:rsidR="005754A9">
        <w:t xml:space="preserve"> and </w:t>
      </w:r>
      <w:r w:rsidRPr="008D30C5" w:rsidR="00251B3B">
        <w:t>to upload these lists into the Station’s OPIF</w:t>
      </w:r>
      <w:r w:rsidRPr="008D30C5" w:rsidR="008E29F6">
        <w:t>,</w:t>
      </w:r>
      <w:r w:rsidRPr="008D30C5">
        <w:t xml:space="preserve"> we find that Licensee’s violations of the </w:t>
      </w:r>
      <w:r w:rsidRPr="008D30C5" w:rsidR="00251B3B">
        <w:t>R</w:t>
      </w:r>
      <w:r w:rsidRPr="008D30C5">
        <w:t>ules do not rise to such a level that designation for evidentiary hearing on the issue of whether to deny renewa</w:t>
      </w:r>
      <w:r w:rsidRPr="008D30C5" w:rsidR="00D46B77">
        <w:t>l for the Station is warranted.</w:t>
      </w:r>
      <w:r>
        <w:rPr>
          <w:vertAlign w:val="superscript"/>
        </w:rPr>
        <w:footnoteReference w:id="36"/>
      </w:r>
      <w:r w:rsidRPr="008D30C5">
        <w:t xml:space="preserve">  </w:t>
      </w:r>
    </w:p>
    <w:p w:rsidR="009B6ACD" w:rsidRPr="008D30C5" w:rsidP="009862F3">
      <w:pPr>
        <w:pStyle w:val="ParaNum"/>
      </w:pPr>
      <w:r w:rsidRPr="008D30C5">
        <w:t xml:space="preserve">On </w:t>
      </w:r>
      <w:r w:rsidRPr="008D30C5">
        <w:rPr>
          <w:color w:val="000000"/>
          <w:shd w:val="clear" w:color="auto" w:fill="FFFFFF"/>
        </w:rPr>
        <w:t>the facts presented here, we conclude that a short-term license renewal is the appropriate sanction.</w:t>
      </w:r>
      <w:r w:rsidRPr="008D30C5">
        <w:t xml:space="preserve">  W</w:t>
      </w:r>
      <w:r w:rsidRPr="008D30C5">
        <w:rPr>
          <w:color w:val="000000"/>
          <w:shd w:val="clear" w:color="auto" w:fill="FFFFFF"/>
        </w:rPr>
        <w:t>e believe that additional measures are necessary in order to ensure that Licensee endeavors in the future to provide the broadcast service it is licensed to provide</w:t>
      </w:r>
      <w:r w:rsidRPr="008D30C5" w:rsidR="002D5221">
        <w:rPr>
          <w:color w:val="000000"/>
          <w:shd w:val="clear" w:color="auto" w:fill="FFFFFF"/>
        </w:rPr>
        <w:t xml:space="preserve"> and comply with its obligations as a licensee</w:t>
      </w:r>
      <w:r w:rsidRPr="008D30C5">
        <w:rPr>
          <w:color w:val="000000"/>
          <w:shd w:val="clear" w:color="auto" w:fill="FFFFFF"/>
        </w:rPr>
        <w:t xml:space="preserve">.  </w:t>
      </w:r>
      <w:r w:rsidRPr="008D30C5">
        <w:t xml:space="preserve">Accordingly, pursuant to </w:t>
      </w:r>
      <w:r w:rsidR="00CC5631">
        <w:t>section</w:t>
      </w:r>
      <w:r w:rsidRPr="008D30C5">
        <w:t xml:space="preserve"> 309(k)(2) of the Act, we will grant the Station a short-term license renewal by separate action upon the conclusion of this forfeiture proceeding, if there are no issues other than the apparent violation</w:t>
      </w:r>
      <w:r w:rsidRPr="008D30C5" w:rsidR="002D5221">
        <w:t>s</w:t>
      </w:r>
      <w:r w:rsidRPr="008D30C5">
        <w:t xml:space="preserve"> </w:t>
      </w:r>
      <w:r w:rsidRPr="008D30C5" w:rsidR="002D5221">
        <w:t xml:space="preserve">addressed herein </w:t>
      </w:r>
      <w:r w:rsidRPr="008D30C5">
        <w:t xml:space="preserve">that would preclude such a grant of the </w:t>
      </w:r>
      <w:r w:rsidRPr="008D30C5" w:rsidR="002D5221">
        <w:t>A</w:t>
      </w:r>
      <w:r w:rsidRPr="008D30C5">
        <w:t>pplication.</w:t>
      </w:r>
      <w:r>
        <w:rPr>
          <w:rStyle w:val="FootnoteReference"/>
          <w:szCs w:val="22"/>
        </w:rPr>
        <w:footnoteReference w:id="37"/>
      </w:r>
      <w:r w:rsidRPr="008D30C5">
        <w:t xml:space="preserve">  The new license term will be limited to a period of </w:t>
      </w:r>
      <w:r w:rsidR="00102DDA">
        <w:t>two</w:t>
      </w:r>
      <w:r w:rsidRPr="008D30C5" w:rsidR="00102DDA">
        <w:t xml:space="preserve"> </w:t>
      </w:r>
      <w:r w:rsidRPr="008D30C5">
        <w:t>years.</w:t>
      </w:r>
      <w:r>
        <w:rPr>
          <w:rStyle w:val="FootnoteReference"/>
          <w:color w:val="000000"/>
          <w:szCs w:val="22"/>
        </w:rPr>
        <w:footnoteReference w:id="38"/>
      </w:r>
      <w:r w:rsidRPr="008D30C5" w:rsidR="00C34FDC">
        <w:t xml:space="preserve">  </w:t>
      </w:r>
      <w:r w:rsidRPr="008D30C5">
        <w:t xml:space="preserve">This limited renewal period will afford the Commission an opportunity to review the Station’s compliance with the Act and the </w:t>
      </w:r>
      <w:r w:rsidRPr="008D30C5" w:rsidR="00F217F2">
        <w:t>FCC’s r</w:t>
      </w:r>
      <w:r w:rsidRPr="008D30C5">
        <w:t xml:space="preserve">ules and to take whatever corrective actions, if any, that may be warranted at that time.  </w:t>
      </w:r>
    </w:p>
    <w:p w:rsidR="00C74691" w:rsidRPr="008D30C5" w:rsidP="009862F3">
      <w:pPr>
        <w:pStyle w:val="Heading1"/>
      </w:pPr>
      <w:r w:rsidRPr="008D30C5">
        <w:t>ORDERING CLAUSES</w:t>
      </w:r>
    </w:p>
    <w:p w:rsidR="00C74691" w:rsidRPr="008D30C5" w:rsidP="009862F3">
      <w:pPr>
        <w:pStyle w:val="ParaNum"/>
      </w:pPr>
      <w:r w:rsidRPr="008D30C5">
        <w:t xml:space="preserve">Accordingly, IT IS ORDERED, pursuant to </w:t>
      </w:r>
      <w:r w:rsidR="00CC5631">
        <w:t>section</w:t>
      </w:r>
      <w:r w:rsidRPr="008D30C5">
        <w:t xml:space="preserve"> 503(b) of the Communications Act of 1934, as amended, and </w:t>
      </w:r>
      <w:r w:rsidR="00CC5631">
        <w:t>section</w:t>
      </w:r>
      <w:r w:rsidRPr="008D30C5">
        <w:t xml:space="preserve"> 1.80 of the </w:t>
      </w:r>
      <w:r w:rsidRPr="008D30C5" w:rsidR="007D601A">
        <w:t>FCC</w:t>
      </w:r>
      <w:r w:rsidRPr="008D30C5">
        <w:t xml:space="preserve">’s </w:t>
      </w:r>
      <w:r w:rsidRPr="008D30C5" w:rsidR="00F217F2">
        <w:t>r</w:t>
      </w:r>
      <w:r w:rsidRPr="008D30C5">
        <w:t xml:space="preserve">ules, that </w:t>
      </w:r>
      <w:r w:rsidRPr="008D30C5" w:rsidR="00251B3B">
        <w:t xml:space="preserve">Hubbard’s Advertising Agency, Inc., </w:t>
      </w:r>
      <w:r w:rsidRPr="008D30C5">
        <w:t xml:space="preserve">is hereby NOTIFIED of its APPARENT LIABILITY FOR FORFEITURE in the amount of </w:t>
      </w:r>
      <w:r w:rsidRPr="008D30C5" w:rsidR="00251B3B">
        <w:t xml:space="preserve">fifteen </w:t>
      </w:r>
      <w:r w:rsidRPr="008D30C5">
        <w:t xml:space="preserve"> thousand dollars ($1</w:t>
      </w:r>
      <w:r w:rsidRPr="008D30C5" w:rsidR="00251B3B">
        <w:t>5</w:t>
      </w:r>
      <w:r w:rsidRPr="008D30C5">
        <w:t xml:space="preserve">,000) for its apparent willful and repeated violations of </w:t>
      </w:r>
      <w:r w:rsidR="00CC5631">
        <w:t>section</w:t>
      </w:r>
      <w:r w:rsidRPr="008D30C5" w:rsidR="0059707B">
        <w:t xml:space="preserve">s 73.3526(e)(12) and 73.3526(b)(2) of </w:t>
      </w:r>
      <w:r w:rsidRPr="008D30C5">
        <w:t>the Rules.</w:t>
      </w:r>
    </w:p>
    <w:p w:rsidR="00B42501" w:rsidRPr="008D30C5" w:rsidP="002A13BA">
      <w:pPr>
        <w:pStyle w:val="ParaNum"/>
      </w:pPr>
      <w:r w:rsidRPr="008D30C5">
        <w:t xml:space="preserve">IT IS FURTHER ORDERED, pursuant to </w:t>
      </w:r>
      <w:r w:rsidR="00CC5631">
        <w:t>section</w:t>
      </w:r>
      <w:r w:rsidRPr="008D30C5">
        <w:t xml:space="preserve"> 1.80 of the </w:t>
      </w:r>
      <w:r w:rsidRPr="008D30C5" w:rsidR="007D601A">
        <w:t>FCC</w:t>
      </w:r>
      <w:r w:rsidRPr="008D30C5">
        <w:t xml:space="preserve">’s </w:t>
      </w:r>
      <w:r w:rsidRPr="008D30C5" w:rsidR="00F217F2">
        <w:t>r</w:t>
      </w:r>
      <w:r w:rsidRPr="008D30C5">
        <w:t xml:space="preserve">ules, that, within thirty (30) days of the release date of this </w:t>
      </w:r>
      <w:r w:rsidRPr="002A13BA">
        <w:rPr>
          <w:i/>
        </w:rPr>
        <w:t>NAL,</w:t>
      </w:r>
      <w:r w:rsidRPr="008D30C5">
        <w:t xml:space="preserve"> </w:t>
      </w:r>
      <w:r w:rsidRPr="008D30C5" w:rsidR="0059707B">
        <w:t xml:space="preserve">Hubbard’s Advertising Agency, Inc., </w:t>
      </w:r>
      <w:r w:rsidRPr="008D30C5">
        <w:t>SHALL PAY the full amount of the proposed forfeiture or SHALL FILE a written statement seeking reduction or cancellation of the proposed forfeiture.</w:t>
      </w:r>
    </w:p>
    <w:p w:rsidR="00673356" w:rsidRPr="008D30C5" w:rsidP="002A13BA">
      <w:pPr>
        <w:pStyle w:val="ParaNum"/>
      </w:pPr>
      <w:r w:rsidRPr="008D30C5">
        <w:t>Payment of the Civil Penalty must be made by credit card, ACH (Automated Clearing House) debit from a bank account using the Commission’s Fee Filer (the Commission’s online payment system),</w:t>
      </w:r>
      <w:r>
        <w:rPr>
          <w:rStyle w:val="FootnoteReference"/>
          <w:szCs w:val="22"/>
        </w:rPr>
        <w:footnoteReference w:id="39"/>
      </w:r>
      <w:r w:rsidRPr="008D30C5">
        <w:t xml:space="preserve"> or by wire transfer.  The Commission no longer accepts Civil Penalty payments by check or money order.  Below are instructions that payors should follow based on the form of payment selected:</w:t>
      </w:r>
      <w:r>
        <w:rPr>
          <w:vertAlign w:val="superscript"/>
        </w:rPr>
        <w:footnoteReference w:id="40"/>
      </w:r>
      <w:r w:rsidRPr="008D30C5">
        <w:t xml:space="preserve"> </w:t>
      </w:r>
    </w:p>
    <w:p w:rsidR="00673356" w:rsidRPr="008D30C5" w:rsidP="002A13BA">
      <w:pPr>
        <w:pStyle w:val="ParaNum"/>
        <w:numPr>
          <w:ilvl w:val="0"/>
          <w:numId w:val="15"/>
        </w:numPr>
        <w:ind w:left="1440"/>
      </w:pPr>
      <w:bookmarkStart w:id="9" w:name="_Hlk499800471"/>
      <w:r w:rsidRPr="008D30C5">
        <w:t xml:space="preserve">Payment by wire transfer must be made to ABA Number 021030004, receiving bank TREAS/NYC, and Account Number 27000001.  A completed Form 159 must be faxed to the Federal Communications Commission at 202-418-2843 or e-mailed to RROGWireFaxes@fcc.gov on the same business day the wire transfer is initiated.  Failure to provide all required information in Form 159 may result in payment not being </w:t>
      </w:r>
      <w:r w:rsidRPr="008D30C5">
        <w:t>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41"/>
      </w:r>
      <w:r w:rsidRPr="008D30C5">
        <w:t xml:space="preserve">  For additional detail and wire transfer instructions, go to https://www.fcc.gov/licensing-databases/fees/wire-transfer.  </w:t>
      </w:r>
    </w:p>
    <w:p w:rsidR="00673356" w:rsidRPr="008D30C5" w:rsidP="002A13BA">
      <w:pPr>
        <w:pStyle w:val="ParaNum"/>
        <w:numPr>
          <w:ilvl w:val="0"/>
          <w:numId w:val="15"/>
        </w:numPr>
        <w:ind w:left="1440"/>
      </w:pPr>
      <w:r w:rsidRPr="008D30C5">
        <w:t xml:space="preserve">Payment by credit card must be made by using the Commission’s Fee Filer website at https://apps.fcc.gov/FeeFiler/login.cfm.  To pay by credit card, log-in using the FRN captioned above.  If payment must be split across FRNs, complete this process for each FRN.  Next, select “Pay bills” on the Fee Filer </w:t>
      </w:r>
      <w:r w:rsidRPr="008D30C5">
        <w:t>Menu,  and</w:t>
      </w:r>
      <w:r w:rsidRPr="008D30C5">
        <w:t xml:space="preserve">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$24,999.99.</w:t>
      </w:r>
    </w:p>
    <w:p w:rsidR="00673356" w:rsidRPr="008D30C5" w:rsidP="002A13BA">
      <w:pPr>
        <w:pStyle w:val="ParaNum"/>
        <w:numPr>
          <w:ilvl w:val="0"/>
          <w:numId w:val="15"/>
        </w:numPr>
        <w:ind w:left="1440"/>
      </w:pPr>
      <w:r w:rsidRPr="008D30C5">
        <w:t xml:space="preserve">Payment by ACH must be made by using the Commission’s Fee Filer website at https://apps.fcc.gov/FeeFiler/login.cfm.  To pay by ACH, log in using the FRN captioned above.  If payment must be split across FRNs, complete this process for each FRN.  Next, select “Pay bills” on the Fee Filer Menu and then select the bill number associated to the NAL Account – the bill number is the NAL Account number with the first two digits excluded </w:t>
      </w:r>
      <w:r w:rsidRPr="008D30C5" w:rsidR="00FF274E">
        <w:t>–</w:t>
      </w:r>
      <w:r w:rsidRPr="008D30C5">
        <w:t xml:space="preserve"> and choose the “Pay from Bank Account” option.  Please contact the appropriate financial institution to confirm the correct Routing Number and the correct account number from which payment will be </w:t>
      </w:r>
      <w:r w:rsidRPr="008D30C5">
        <w:t>made, and</w:t>
      </w:r>
      <w:r w:rsidRPr="008D30C5">
        <w:t xml:space="preserve"> verify with that financial institution that the designated account has authorization to accept ACH transactions.</w:t>
      </w:r>
      <w:bookmarkEnd w:id="9"/>
    </w:p>
    <w:p w:rsidR="00C74691" w:rsidRPr="008D30C5" w:rsidP="002A13BA">
      <w:pPr>
        <w:pStyle w:val="ParaNum"/>
      </w:pPr>
      <w:r w:rsidRPr="008D30C5">
        <w:t>The response, if any, must be mailed to Office of the Secretary, Federal Communications Commission, 445 12</w:t>
      </w:r>
      <w:r w:rsidRPr="008D30C5">
        <w:rPr>
          <w:vertAlign w:val="superscript"/>
        </w:rPr>
        <w:t>th</w:t>
      </w:r>
      <w:r w:rsidRPr="008D30C5">
        <w:t xml:space="preserve"> Street, S.W., Washington DC 20554, ATTN:  </w:t>
      </w:r>
      <w:r w:rsidRPr="008D30C5" w:rsidR="00911F9F">
        <w:t>Albert Shuldiner</w:t>
      </w:r>
      <w:r w:rsidRPr="008D30C5">
        <w:t>, Chief, Audio Division, Media Bureau, and MUST INCLUDE the NAL/Acct. No. referenced above.</w:t>
      </w:r>
    </w:p>
    <w:p w:rsidR="00C74691" w:rsidRPr="008D30C5" w:rsidP="002A13BA">
      <w:pPr>
        <w:pStyle w:val="ParaNum"/>
      </w:pPr>
      <w:r w:rsidRPr="008D30C5">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p>
    <w:p w:rsidR="00C74691" w:rsidRPr="008D30C5" w:rsidP="002A13BA">
      <w:pPr>
        <w:pStyle w:val="ParaNum"/>
      </w:pPr>
      <w:r w:rsidRPr="008D30C5">
        <w:t xml:space="preserve">Requests for full payment of the forfeiture proposed in this </w:t>
      </w:r>
      <w:r w:rsidRPr="008D30C5">
        <w:rPr>
          <w:i/>
        </w:rPr>
        <w:t>NAL</w:t>
      </w:r>
      <w:r w:rsidRPr="008D30C5">
        <w:t xml:space="preserve"> under the installment plan should be sent to:  Associate Managing Director-Financial Operations, 445 12th Street, S.W., Room 1-A625, Washington, DC 20554.</w:t>
      </w:r>
      <w:r>
        <w:rPr>
          <w:rStyle w:val="FootnoteReference"/>
          <w:szCs w:val="22"/>
        </w:rPr>
        <w:footnoteReference w:id="42"/>
      </w:r>
      <w:r w:rsidRPr="008D30C5">
        <w:tab/>
      </w:r>
    </w:p>
    <w:p w:rsidR="00C74691" w:rsidRPr="008D30C5" w:rsidP="002A13BA">
      <w:pPr>
        <w:pStyle w:val="ParaNum"/>
      </w:pPr>
      <w:r w:rsidRPr="008D30C5">
        <w:t xml:space="preserve">IT IS FURTHER ORDERED that </w:t>
      </w:r>
      <w:r w:rsidRPr="008D30C5" w:rsidR="00911F9F">
        <w:t xml:space="preserve">a </w:t>
      </w:r>
      <w:r w:rsidRPr="008D30C5">
        <w:t>cop</w:t>
      </w:r>
      <w:r w:rsidRPr="008D30C5" w:rsidR="00911F9F">
        <w:t xml:space="preserve">y </w:t>
      </w:r>
      <w:r w:rsidRPr="008D30C5">
        <w:t xml:space="preserve">of this Order shall be sent, by First Class and Certified Mail, Return Receipt Requested, </w:t>
      </w:r>
      <w:r w:rsidRPr="008D30C5" w:rsidR="00911F9F">
        <w:t>t</w:t>
      </w:r>
      <w:r w:rsidRPr="008D30C5" w:rsidR="0014025A">
        <w:t>o Licensee’s counsel</w:t>
      </w:r>
      <w:r w:rsidRPr="008D30C5" w:rsidR="008E29F6">
        <w:t>,</w:t>
      </w:r>
      <w:r w:rsidRPr="008D30C5" w:rsidR="0014025A">
        <w:t xml:space="preserve"> </w:t>
      </w:r>
      <w:r w:rsidRPr="008D30C5" w:rsidR="00911F9F">
        <w:t>David Tillotson</w:t>
      </w:r>
      <w:r w:rsidRPr="008D30C5" w:rsidR="0014025A">
        <w:t xml:space="preserve">, Esq., </w:t>
      </w:r>
      <w:r w:rsidRPr="008D30C5" w:rsidR="00911F9F">
        <w:t>Law Office of David Tillotson</w:t>
      </w:r>
      <w:r w:rsidRPr="008D30C5" w:rsidR="0014025A">
        <w:t xml:space="preserve">, </w:t>
      </w:r>
      <w:r w:rsidRPr="008D30C5" w:rsidR="00911F9F">
        <w:t>4606 Charleston Terrace, N</w:t>
      </w:r>
      <w:r w:rsidR="00344E9B">
        <w:t>.</w:t>
      </w:r>
      <w:r w:rsidRPr="008D30C5" w:rsidR="00911F9F">
        <w:t>W</w:t>
      </w:r>
      <w:r w:rsidR="00344E9B">
        <w:t>.</w:t>
      </w:r>
      <w:r w:rsidRPr="008D30C5" w:rsidR="004315FF">
        <w:t>, Washington, DC 200</w:t>
      </w:r>
      <w:r w:rsidRPr="008D30C5" w:rsidR="00911F9F">
        <w:t>07</w:t>
      </w:r>
      <w:r w:rsidRPr="008D30C5">
        <w:t>.</w:t>
      </w:r>
    </w:p>
    <w:p w:rsidR="00C74691" w:rsidRPr="008D30C5" w:rsidP="002A13BA">
      <w:pPr>
        <w:suppressAutoHyphens/>
        <w:rPr>
          <w:szCs w:val="22"/>
        </w:rPr>
      </w:pPr>
      <w:r w:rsidRPr="008D30C5">
        <w:rPr>
          <w:szCs w:val="22"/>
        </w:rPr>
        <w:tab/>
      </w:r>
      <w:r w:rsidRPr="008D30C5">
        <w:rPr>
          <w:szCs w:val="22"/>
        </w:rPr>
        <w:tab/>
      </w:r>
      <w:r w:rsidRPr="008D30C5">
        <w:rPr>
          <w:szCs w:val="22"/>
        </w:rPr>
        <w:tab/>
      </w:r>
      <w:r w:rsidRPr="008D30C5">
        <w:rPr>
          <w:szCs w:val="22"/>
        </w:rPr>
        <w:tab/>
      </w:r>
      <w:r w:rsidRPr="008D30C5">
        <w:rPr>
          <w:szCs w:val="22"/>
        </w:rPr>
        <w:tab/>
      </w:r>
      <w:r w:rsidR="002A13BA">
        <w:rPr>
          <w:szCs w:val="22"/>
        </w:rPr>
        <w:tab/>
      </w:r>
      <w:r w:rsidRPr="008D30C5">
        <w:rPr>
          <w:szCs w:val="22"/>
        </w:rPr>
        <w:t>FEDERAL COMMUNICATIONS COMMISSION</w:t>
      </w:r>
    </w:p>
    <w:p w:rsidR="00C74691" w:rsidRPr="008D30C5">
      <w:pPr>
        <w:tabs>
          <w:tab w:val="left" w:pos="0"/>
        </w:tabs>
        <w:suppressAutoHyphens/>
        <w:rPr>
          <w:szCs w:val="22"/>
        </w:rPr>
      </w:pPr>
    </w:p>
    <w:p w:rsidR="0080603F">
      <w:pPr>
        <w:tabs>
          <w:tab w:val="left" w:pos="0"/>
        </w:tabs>
        <w:suppressAutoHyphens/>
        <w:rPr>
          <w:szCs w:val="22"/>
        </w:rPr>
      </w:pPr>
    </w:p>
    <w:p w:rsidR="002A13BA" w:rsidRPr="008D30C5">
      <w:pPr>
        <w:tabs>
          <w:tab w:val="left" w:pos="0"/>
        </w:tabs>
        <w:suppressAutoHyphens/>
        <w:rPr>
          <w:szCs w:val="22"/>
        </w:rPr>
      </w:pPr>
    </w:p>
    <w:p w:rsidR="00C74691" w:rsidRPr="008D30C5">
      <w:pPr>
        <w:tabs>
          <w:tab w:val="left" w:pos="0"/>
        </w:tabs>
        <w:suppressAutoHyphens/>
        <w:rPr>
          <w:szCs w:val="22"/>
        </w:rPr>
      </w:pPr>
      <w:r w:rsidRPr="008D30C5">
        <w:rPr>
          <w:szCs w:val="22"/>
        </w:rPr>
        <w:tab/>
      </w:r>
      <w:r w:rsidRPr="008D30C5">
        <w:rPr>
          <w:szCs w:val="22"/>
        </w:rPr>
        <w:tab/>
      </w:r>
      <w:r w:rsidRPr="008D30C5">
        <w:rPr>
          <w:szCs w:val="22"/>
        </w:rPr>
        <w:tab/>
      </w:r>
      <w:r w:rsidRPr="008D30C5">
        <w:rPr>
          <w:szCs w:val="22"/>
        </w:rPr>
        <w:tab/>
      </w:r>
      <w:r w:rsidRPr="008D30C5">
        <w:rPr>
          <w:szCs w:val="22"/>
        </w:rPr>
        <w:tab/>
      </w:r>
      <w:r w:rsidR="002A13BA">
        <w:rPr>
          <w:szCs w:val="22"/>
        </w:rPr>
        <w:tab/>
      </w:r>
      <w:r w:rsidRPr="008D30C5" w:rsidR="00911F9F">
        <w:rPr>
          <w:szCs w:val="22"/>
        </w:rPr>
        <w:t>Albert Shuldiner</w:t>
      </w:r>
    </w:p>
    <w:p w:rsidR="00C74691" w:rsidRPr="008D30C5">
      <w:pPr>
        <w:rPr>
          <w:szCs w:val="22"/>
        </w:rPr>
      </w:pPr>
      <w:r w:rsidRPr="008D30C5">
        <w:rPr>
          <w:szCs w:val="22"/>
        </w:rPr>
        <w:tab/>
      </w:r>
      <w:r w:rsidRPr="008D30C5">
        <w:rPr>
          <w:szCs w:val="22"/>
        </w:rPr>
        <w:tab/>
      </w:r>
      <w:r w:rsidRPr="008D30C5">
        <w:rPr>
          <w:szCs w:val="22"/>
        </w:rPr>
        <w:tab/>
      </w:r>
      <w:r w:rsidRPr="008D30C5">
        <w:rPr>
          <w:szCs w:val="22"/>
        </w:rPr>
        <w:tab/>
      </w:r>
      <w:r w:rsidR="002A13BA">
        <w:rPr>
          <w:szCs w:val="22"/>
        </w:rPr>
        <w:tab/>
      </w:r>
      <w:r w:rsidR="002A13BA">
        <w:rPr>
          <w:szCs w:val="22"/>
        </w:rPr>
        <w:tab/>
      </w:r>
      <w:r w:rsidRPr="008D30C5">
        <w:rPr>
          <w:szCs w:val="22"/>
        </w:rPr>
        <w:t>Chief, Audio Division</w:t>
      </w:r>
    </w:p>
    <w:p w:rsidR="00C74691" w:rsidRPr="008D30C5">
      <w:pPr>
        <w:rPr>
          <w:szCs w:val="22"/>
        </w:rPr>
      </w:pPr>
      <w:r w:rsidRPr="008D30C5">
        <w:rPr>
          <w:szCs w:val="22"/>
        </w:rPr>
        <w:tab/>
      </w:r>
      <w:r w:rsidRPr="008D30C5">
        <w:rPr>
          <w:szCs w:val="22"/>
        </w:rPr>
        <w:tab/>
      </w:r>
      <w:r w:rsidRPr="008D30C5">
        <w:rPr>
          <w:szCs w:val="22"/>
        </w:rPr>
        <w:tab/>
      </w:r>
      <w:r w:rsidRPr="008D30C5">
        <w:rPr>
          <w:szCs w:val="22"/>
        </w:rPr>
        <w:tab/>
      </w:r>
      <w:r w:rsidRPr="008D30C5">
        <w:rPr>
          <w:szCs w:val="22"/>
        </w:rPr>
        <w:tab/>
      </w:r>
      <w:r w:rsidR="002A13BA">
        <w:rPr>
          <w:szCs w:val="22"/>
        </w:rPr>
        <w:tab/>
      </w:r>
      <w:r w:rsidRPr="008D30C5">
        <w:rPr>
          <w:szCs w:val="22"/>
        </w:rPr>
        <w:t>Media Bureau</w:t>
      </w:r>
    </w:p>
    <w:sectPr>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46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746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4691" w:rsidRPr="008D4336" w:rsidP="00153134">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4691" w:rsidP="009862F3">
    <w:pPr>
      <w:pStyle w:val="Footer"/>
      <w:tabs>
        <w:tab w:val="clear" w:pos="4320"/>
        <w:tab w:val="center" w:pos="4680"/>
        <w:tab w:val="clear" w:pos="8640"/>
        <w:tab w:val="right" w:pos="9360"/>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048B">
      <w:r>
        <w:separator/>
      </w:r>
    </w:p>
  </w:footnote>
  <w:footnote w:type="continuationSeparator" w:id="1">
    <w:p w:rsidR="0007048B">
      <w:r>
        <w:continuationSeparator/>
      </w:r>
    </w:p>
    <w:p w:rsidR="0007048B">
      <w:pPr>
        <w:rPr>
          <w:sz w:val="20"/>
        </w:rPr>
      </w:pPr>
      <w:r>
        <w:rPr>
          <w:sz w:val="20"/>
        </w:rPr>
        <w:t>(Continued from previous page)</w:t>
      </w:r>
    </w:p>
  </w:footnote>
  <w:footnote w:type="continuationNotice" w:id="2">
    <w:p w:rsidR="0007048B">
      <w:pPr>
        <w:rPr>
          <w:sz w:val="20"/>
        </w:rPr>
      </w:pPr>
      <w:r>
        <w:rPr>
          <w:sz w:val="20"/>
        </w:rPr>
        <w:t>(continued . . .)</w:t>
      </w:r>
    </w:p>
  </w:footnote>
  <w:footnote w:id="3">
    <w:p w:rsidR="003F7938" w:rsidRPr="00A52908" w:rsidP="009E794A">
      <w:pPr>
        <w:pStyle w:val="FootnoteText"/>
      </w:pPr>
      <w:r w:rsidRPr="00A52908">
        <w:rPr>
          <w:rStyle w:val="FootnoteReference"/>
        </w:rPr>
        <w:footnoteRef/>
      </w:r>
      <w:r w:rsidRPr="00A52908">
        <w:t xml:space="preserve"> File No. </w:t>
      </w:r>
      <w:r w:rsidRPr="00A52908" w:rsidR="00820C29">
        <w:t>0000072723</w:t>
      </w:r>
      <w:r w:rsidRPr="00A52908">
        <w:t>, as amended on Ju</w:t>
      </w:r>
      <w:r w:rsidRPr="00A52908" w:rsidR="00820C29">
        <w:t xml:space="preserve">ne 14, </w:t>
      </w:r>
      <w:r w:rsidRPr="00A52908">
        <w:t>201</w:t>
      </w:r>
      <w:r w:rsidRPr="00A52908" w:rsidR="00820C29">
        <w:t>9</w:t>
      </w:r>
      <w:r w:rsidRPr="00A52908">
        <w:t xml:space="preserve">. </w:t>
      </w:r>
      <w:r w:rsidRPr="00A52908">
        <w:tab/>
        <w:t xml:space="preserve">  </w:t>
      </w:r>
    </w:p>
  </w:footnote>
  <w:footnote w:id="4">
    <w:p w:rsidR="00C74691" w:rsidRPr="00A52908" w:rsidP="009E794A">
      <w:pPr>
        <w:pStyle w:val="Footer"/>
        <w:spacing w:after="120"/>
        <w:rPr>
          <w:sz w:val="20"/>
        </w:rPr>
      </w:pPr>
      <w:r w:rsidRPr="00A52908">
        <w:rPr>
          <w:rStyle w:val="FootnoteReference"/>
        </w:rPr>
        <w:footnoteRef/>
      </w:r>
      <w:r w:rsidRPr="00A52908">
        <w:rPr>
          <w:sz w:val="20"/>
        </w:rPr>
        <w:t xml:space="preserve"> This </w:t>
      </w:r>
      <w:r w:rsidRPr="00A52908">
        <w:rPr>
          <w:i/>
          <w:sz w:val="20"/>
        </w:rPr>
        <w:t>NAL</w:t>
      </w:r>
      <w:r w:rsidRPr="00A52908">
        <w:rPr>
          <w:sz w:val="20"/>
        </w:rPr>
        <w:t xml:space="preserve"> is issued pursuant to Sections 309(k) and 503(b) of the Communications Act of 1934, as amended (Act), and Section 1.80 of the </w:t>
      </w:r>
      <w:r w:rsidRPr="00A52908" w:rsidR="0042788D">
        <w:rPr>
          <w:sz w:val="20"/>
        </w:rPr>
        <w:t>FCC’s rules</w:t>
      </w:r>
      <w:r w:rsidR="009E794A">
        <w:rPr>
          <w:sz w:val="20"/>
        </w:rPr>
        <w:t xml:space="preserve"> (Rules)</w:t>
      </w:r>
      <w:r w:rsidRPr="00A52908">
        <w:rPr>
          <w:sz w:val="20"/>
        </w:rPr>
        <w:t xml:space="preserve">.  </w:t>
      </w:r>
      <w:r w:rsidRPr="00A52908">
        <w:rPr>
          <w:i/>
          <w:sz w:val="20"/>
        </w:rPr>
        <w:t xml:space="preserve">See </w:t>
      </w:r>
      <w:r w:rsidRPr="00A52908">
        <w:rPr>
          <w:sz w:val="20"/>
        </w:rPr>
        <w:t xml:space="preserve">47 U.S.C. §§ 309(k), 503(b); 47 CFR § 1.80.  The Bureau has delegated authority to issue the </w:t>
      </w:r>
      <w:r w:rsidRPr="00A52908">
        <w:rPr>
          <w:i/>
          <w:sz w:val="20"/>
        </w:rPr>
        <w:t>NAL</w:t>
      </w:r>
      <w:r w:rsidRPr="00A52908">
        <w:rPr>
          <w:sz w:val="20"/>
        </w:rPr>
        <w:t xml:space="preserve"> under Section 0.283 of the </w:t>
      </w:r>
      <w:r w:rsidRPr="00A52908" w:rsidR="0042788D">
        <w:rPr>
          <w:sz w:val="20"/>
        </w:rPr>
        <w:t>FCC’s r</w:t>
      </w:r>
      <w:r w:rsidRPr="00A52908">
        <w:rPr>
          <w:sz w:val="20"/>
        </w:rPr>
        <w:t xml:space="preserve">ules.  </w:t>
      </w:r>
      <w:r w:rsidRPr="00A52908">
        <w:rPr>
          <w:i/>
          <w:sz w:val="20"/>
        </w:rPr>
        <w:t>See</w:t>
      </w:r>
      <w:r w:rsidRPr="00A52908">
        <w:rPr>
          <w:sz w:val="20"/>
        </w:rPr>
        <w:t xml:space="preserve"> 47 CFR § 0.283.  </w:t>
      </w:r>
    </w:p>
  </w:footnote>
  <w:footnote w:id="5">
    <w:p w:rsidR="00A066AB" w:rsidRPr="00A52908" w:rsidP="009E794A">
      <w:pPr>
        <w:pStyle w:val="Footer"/>
        <w:spacing w:after="120"/>
        <w:rPr>
          <w:sz w:val="20"/>
        </w:rPr>
      </w:pPr>
      <w:r w:rsidRPr="00A52908">
        <w:rPr>
          <w:rStyle w:val="FootnoteReference"/>
        </w:rPr>
        <w:footnoteRef/>
      </w:r>
      <w:r w:rsidRPr="00A52908">
        <w:rPr>
          <w:sz w:val="20"/>
        </w:rPr>
        <w:t xml:space="preserve"> </w:t>
      </w:r>
      <w:r w:rsidRPr="00A52908">
        <w:rPr>
          <w:i/>
          <w:sz w:val="20"/>
        </w:rPr>
        <w:t xml:space="preserve">See </w:t>
      </w:r>
      <w:r w:rsidRPr="00A52908">
        <w:rPr>
          <w:sz w:val="20"/>
        </w:rPr>
        <w:t>47 CFR § 73.3526</w:t>
      </w:r>
      <w:r w:rsidRPr="00A52908" w:rsidR="000E2586">
        <w:rPr>
          <w:sz w:val="20"/>
        </w:rPr>
        <w:t>(e)(12)</w:t>
      </w:r>
      <w:r w:rsidRPr="00A52908">
        <w:rPr>
          <w:sz w:val="20"/>
        </w:rPr>
        <w:t>.</w:t>
      </w:r>
    </w:p>
  </w:footnote>
  <w:footnote w:id="6">
    <w:p w:rsidR="000E2586" w:rsidRPr="00A52908" w:rsidP="000F7218">
      <w:pPr>
        <w:pStyle w:val="FootnoteText"/>
      </w:pPr>
      <w:r w:rsidRPr="00A52908">
        <w:rPr>
          <w:rStyle w:val="FootnoteReference"/>
        </w:rPr>
        <w:footnoteRef/>
      </w:r>
      <w:r w:rsidRPr="00A52908">
        <w:t xml:space="preserve"> </w:t>
      </w:r>
      <w:r w:rsidRPr="00A52908">
        <w:rPr>
          <w:i/>
        </w:rPr>
        <w:t xml:space="preserve">See </w:t>
      </w:r>
      <w:r w:rsidRPr="00A52908">
        <w:t>47 CFR § 73.3526(b)(2).</w:t>
      </w:r>
    </w:p>
  </w:footnote>
  <w:footnote w:id="7">
    <w:p w:rsidR="00CB18BF" w:rsidRPr="00A52908" w:rsidP="000F7218">
      <w:pPr>
        <w:pStyle w:val="FootnoteText"/>
      </w:pPr>
      <w:r>
        <w:rPr>
          <w:rStyle w:val="FootnoteReference"/>
        </w:rPr>
        <w:footnoteRef/>
      </w:r>
      <w:r>
        <w:t xml:space="preserve"> </w:t>
      </w:r>
      <w:r w:rsidRPr="00A52908">
        <w:rPr>
          <w:i/>
        </w:rPr>
        <w:t>See</w:t>
      </w:r>
      <w:r w:rsidRPr="00A52908">
        <w:t xml:space="preserve"> 47 CFR § 73.3526(e)(12).</w:t>
      </w:r>
    </w:p>
  </w:footnote>
  <w:footnote w:id="8">
    <w:p w:rsidR="00C74691" w:rsidRPr="00A52908" w:rsidP="009E794A">
      <w:pPr>
        <w:pStyle w:val="Footer"/>
        <w:spacing w:after="120"/>
        <w:rPr>
          <w:sz w:val="20"/>
        </w:rPr>
      </w:pPr>
      <w:r w:rsidRPr="00A52908">
        <w:rPr>
          <w:rStyle w:val="FootnoteReference"/>
        </w:rPr>
        <w:footnoteRef/>
      </w:r>
      <w:r w:rsidRPr="00A52908">
        <w:rPr>
          <w:sz w:val="20"/>
        </w:rPr>
        <w:t xml:space="preserve"> </w:t>
      </w:r>
      <w:r w:rsidRPr="00A52908" w:rsidR="00CB18BF">
        <w:rPr>
          <w:i/>
          <w:sz w:val="20"/>
        </w:rPr>
        <w:t>Id.</w:t>
      </w:r>
    </w:p>
  </w:footnote>
  <w:footnote w:id="9">
    <w:p w:rsidR="001B330F" w:rsidRPr="00A52908" w:rsidP="00471874">
      <w:pPr>
        <w:autoSpaceDE w:val="0"/>
        <w:autoSpaceDN w:val="0"/>
        <w:adjustRightInd w:val="0"/>
        <w:spacing w:after="120"/>
        <w:rPr>
          <w:i/>
          <w:iCs/>
          <w:color w:val="010101"/>
          <w:sz w:val="20"/>
        </w:rPr>
      </w:pPr>
      <w:r w:rsidRPr="00A52908">
        <w:rPr>
          <w:rStyle w:val="FootnoteReference"/>
        </w:rPr>
        <w:footnoteRef/>
      </w:r>
      <w:r w:rsidRPr="00A52908">
        <w:rPr>
          <w:sz w:val="20"/>
        </w:rPr>
        <w:t xml:space="preserve"> </w:t>
      </w:r>
      <w:r w:rsidRPr="00A52908">
        <w:rPr>
          <w:i/>
          <w:color w:val="010101"/>
          <w:sz w:val="20"/>
        </w:rPr>
        <w:t>See</w:t>
      </w:r>
      <w:r w:rsidRPr="00A52908">
        <w:rPr>
          <w:color w:val="010101"/>
          <w:sz w:val="20"/>
        </w:rPr>
        <w:t xml:space="preserve"> </w:t>
      </w:r>
      <w:r w:rsidRPr="00A52908">
        <w:rPr>
          <w:i/>
          <w:iCs/>
          <w:color w:val="010101"/>
          <w:sz w:val="20"/>
        </w:rPr>
        <w:t>Standardized and Enhanced Disclosure Requirements for Television Broadcast Licensee Public Interest Obligations</w:t>
      </w:r>
      <w:r w:rsidRPr="00A52908">
        <w:rPr>
          <w:color w:val="010101"/>
          <w:sz w:val="20"/>
        </w:rPr>
        <w:t>,</w:t>
      </w:r>
      <w:r w:rsidRPr="00A52908" w:rsidR="008E1D33">
        <w:rPr>
          <w:color w:val="010101"/>
          <w:sz w:val="20"/>
        </w:rPr>
        <w:t xml:space="preserve"> </w:t>
      </w:r>
      <w:r w:rsidRPr="00A52908">
        <w:rPr>
          <w:color w:val="010101"/>
          <w:sz w:val="20"/>
        </w:rPr>
        <w:t xml:space="preserve">Second Report and Order, 27 FCC </w:t>
      </w:r>
      <w:r w:rsidRPr="00A52908">
        <w:rPr>
          <w:color w:val="010101"/>
          <w:sz w:val="20"/>
        </w:rPr>
        <w:t>Rcd</w:t>
      </w:r>
      <w:r w:rsidRPr="00A52908">
        <w:rPr>
          <w:color w:val="010101"/>
          <w:sz w:val="20"/>
        </w:rPr>
        <w:t xml:space="preserve"> 4535 (2012) (</w:t>
      </w:r>
      <w:r w:rsidRPr="00A52908">
        <w:rPr>
          <w:i/>
          <w:color w:val="010101"/>
          <w:sz w:val="20"/>
        </w:rPr>
        <w:t>Second R&amp;O</w:t>
      </w:r>
      <w:r w:rsidRPr="00A52908">
        <w:rPr>
          <w:color w:val="010101"/>
          <w:sz w:val="20"/>
        </w:rPr>
        <w:t>)</w:t>
      </w:r>
      <w:r w:rsidRPr="00A52908" w:rsidR="008E1D33">
        <w:rPr>
          <w:color w:val="010101"/>
          <w:sz w:val="20"/>
        </w:rPr>
        <w:t>.</w:t>
      </w:r>
      <w:r w:rsidRPr="00A52908">
        <w:rPr>
          <w:color w:val="010101"/>
          <w:sz w:val="20"/>
        </w:rPr>
        <w:t xml:space="preserve"> </w:t>
      </w:r>
    </w:p>
  </w:footnote>
  <w:footnote w:id="10">
    <w:p w:rsidR="001B330F" w:rsidRPr="00A52908" w:rsidP="00FF274E">
      <w:pPr>
        <w:autoSpaceDE w:val="0"/>
        <w:autoSpaceDN w:val="0"/>
        <w:adjustRightInd w:val="0"/>
        <w:spacing w:after="120"/>
        <w:rPr>
          <w:i/>
          <w:iCs/>
          <w:color w:val="010101"/>
          <w:sz w:val="20"/>
        </w:rPr>
      </w:pPr>
      <w:r w:rsidRPr="00A52908">
        <w:rPr>
          <w:rStyle w:val="FootnoteReference"/>
        </w:rPr>
        <w:footnoteRef/>
      </w:r>
      <w:r w:rsidRPr="00A52908">
        <w:rPr>
          <w:sz w:val="20"/>
        </w:rPr>
        <w:t xml:space="preserve"> </w:t>
      </w:r>
      <w:r w:rsidR="009270C7">
        <w:rPr>
          <w:i/>
          <w:sz w:val="20"/>
        </w:rPr>
        <w:t>Id.</w:t>
      </w:r>
      <w:r w:rsidRPr="00A52908">
        <w:rPr>
          <w:sz w:val="20"/>
        </w:rPr>
        <w:t xml:space="preserve"> at </w:t>
      </w:r>
      <w:r w:rsidRPr="00A52908">
        <w:rPr>
          <w:color w:val="010101"/>
          <w:sz w:val="20"/>
        </w:rPr>
        <w:t>4536</w:t>
      </w:r>
      <w:r w:rsidR="009270C7">
        <w:rPr>
          <w:color w:val="010101"/>
          <w:sz w:val="20"/>
        </w:rPr>
        <w:t>,</w:t>
      </w:r>
      <w:r w:rsidRPr="00A52908" w:rsidR="00E174C0">
        <w:rPr>
          <w:color w:val="010101"/>
          <w:sz w:val="20"/>
        </w:rPr>
        <w:t xml:space="preserve"> para</w:t>
      </w:r>
      <w:r w:rsidR="009E794A">
        <w:rPr>
          <w:color w:val="010101"/>
          <w:sz w:val="20"/>
        </w:rPr>
        <w:t>.</w:t>
      </w:r>
      <w:r w:rsidRPr="00A52908" w:rsidR="00E174C0">
        <w:rPr>
          <w:color w:val="010101"/>
          <w:sz w:val="20"/>
        </w:rPr>
        <w:t xml:space="preserve"> 1</w:t>
      </w:r>
      <w:r w:rsidRPr="00A52908">
        <w:rPr>
          <w:color w:val="010101"/>
          <w:sz w:val="20"/>
        </w:rPr>
        <w:t xml:space="preserve">.  </w:t>
      </w:r>
    </w:p>
  </w:footnote>
  <w:footnote w:id="11">
    <w:p w:rsidR="00E174C0" w:rsidRPr="00A52908" w:rsidP="000F7218">
      <w:pPr>
        <w:pStyle w:val="FootnoteText"/>
      </w:pPr>
      <w:r w:rsidRPr="00A52908">
        <w:rPr>
          <w:rStyle w:val="FootnoteReference"/>
        </w:rPr>
        <w:footnoteRef/>
      </w:r>
      <w:r w:rsidRPr="00A52908">
        <w:t xml:space="preserve"> </w:t>
      </w:r>
      <w:hyperlink r:id="rId1" w:history="1">
        <w:r w:rsidRPr="00A52908">
          <w:rPr>
            <w:rStyle w:val="Hyperlink"/>
            <w:i/>
            <w:iCs/>
            <w:color w:val="auto"/>
            <w:u w:val="none"/>
          </w:rPr>
          <w:t>Expansion of Online Public File Obligations to Cable and Satellite TV Operators and Broadcast and Satellite Radio Licensees</w:t>
        </w:r>
        <w:r w:rsidRPr="00A52908">
          <w:rPr>
            <w:rStyle w:val="Hyperlink"/>
            <w:color w:val="auto"/>
            <w:u w:val="none"/>
          </w:rPr>
          <w:t xml:space="preserve">, Report and Order, 31 FCC </w:t>
        </w:r>
        <w:r w:rsidRPr="00A52908">
          <w:rPr>
            <w:rStyle w:val="Hyperlink"/>
            <w:color w:val="auto"/>
            <w:u w:val="none"/>
          </w:rPr>
          <w:t>Rcd</w:t>
        </w:r>
        <w:r w:rsidRPr="00A52908">
          <w:rPr>
            <w:rStyle w:val="Hyperlink"/>
            <w:color w:val="auto"/>
            <w:u w:val="none"/>
          </w:rPr>
          <w:t xml:space="preserve"> 526 (2016)</w:t>
        </w:r>
      </w:hyperlink>
      <w:r w:rsidRPr="00A52908">
        <w:t xml:space="preserve"> (</w:t>
      </w:r>
      <w:r w:rsidRPr="00A52908">
        <w:rPr>
          <w:i/>
          <w:iCs/>
        </w:rPr>
        <w:t xml:space="preserve">Expanded </w:t>
      </w:r>
      <w:r w:rsidRPr="00A52908" w:rsidR="003F51F5">
        <w:rPr>
          <w:i/>
          <w:iCs/>
        </w:rPr>
        <w:t>Online Public File Orde</w:t>
      </w:r>
      <w:r w:rsidRPr="00A52908" w:rsidR="0017783B">
        <w:rPr>
          <w:i/>
          <w:iCs/>
        </w:rPr>
        <w:t>r</w:t>
      </w:r>
      <w:r w:rsidRPr="00A52908">
        <w:t xml:space="preserve">). </w:t>
      </w:r>
    </w:p>
  </w:footnote>
  <w:footnote w:id="12">
    <w:p w:rsidR="00BD743B" w:rsidRPr="00A52908" w:rsidP="009E794A">
      <w:pPr>
        <w:pStyle w:val="FootnoteText"/>
      </w:pPr>
      <w:r w:rsidRPr="00A52908">
        <w:rPr>
          <w:rStyle w:val="FootnoteReference"/>
        </w:rPr>
        <w:footnoteRef/>
      </w:r>
      <w:r w:rsidRPr="00A52908">
        <w:t xml:space="preserve"> Between June 2016 and March 1, 2018, broadcast radio </w:t>
      </w:r>
      <w:r w:rsidRPr="00A52908">
        <w:t>licensee</w:t>
      </w:r>
      <w:r w:rsidRPr="00A52908" w:rsidR="00EC1B6D">
        <w:t>s</w:t>
      </w:r>
      <w:r w:rsidRPr="00A52908">
        <w:t xml:space="preserve"> were phased into compliance with the OPIF Rule. </w:t>
      </w:r>
      <w:r w:rsidR="009E794A">
        <w:t xml:space="preserve"> </w:t>
      </w:r>
      <w:r w:rsidRPr="00A52908" w:rsidR="0003203E">
        <w:t>A</w:t>
      </w:r>
      <w:r w:rsidRPr="00A52908">
        <w:rPr>
          <w:color w:val="000000"/>
        </w:rPr>
        <w:t>ll non-commercial educational radio broadcast stations, commercia</w:t>
      </w:r>
      <w:r w:rsidRPr="00A52908" w:rsidR="00CB18BF">
        <w:rPr>
          <w:color w:val="000000"/>
        </w:rPr>
        <w:t>l</w:t>
      </w:r>
      <w:r w:rsidRPr="00A52908">
        <w:rPr>
          <w:color w:val="000000"/>
        </w:rPr>
        <w:t xml:space="preserve"> radio broadcast stations in the top 50 markets with fewer than five fulltime employees, and all commercia</w:t>
      </w:r>
      <w:r w:rsidR="009270C7">
        <w:rPr>
          <w:color w:val="000000"/>
        </w:rPr>
        <w:t>l</w:t>
      </w:r>
      <w:r w:rsidRPr="00A52908">
        <w:rPr>
          <w:color w:val="000000"/>
        </w:rPr>
        <w:t xml:space="preserve"> radio broadcast stations in markets below the top 50 or outside all markets were required to place public file materials in the OPIF for any material created after March 1, 2018. </w:t>
      </w:r>
      <w:r w:rsidR="009E794A">
        <w:rPr>
          <w:color w:val="000000"/>
        </w:rPr>
        <w:t xml:space="preserve"> </w:t>
      </w:r>
      <w:r w:rsidRPr="00A52908">
        <w:rPr>
          <w:color w:val="000000"/>
        </w:rPr>
        <w:t xml:space="preserve">These stations may voluntarily upload political file material created before March 1, 2018 or retain them locally for the mandatory two-year retention period. </w:t>
      </w:r>
      <w:r w:rsidR="009E794A">
        <w:rPr>
          <w:color w:val="000000"/>
        </w:rPr>
        <w:t xml:space="preserve"> </w:t>
      </w:r>
      <w:r w:rsidRPr="00A52908">
        <w:rPr>
          <w:i/>
          <w:iCs/>
          <w:color w:val="000000"/>
        </w:rPr>
        <w:t>Id.</w:t>
      </w:r>
      <w:r w:rsidRPr="00A52908">
        <w:rPr>
          <w:color w:val="000000"/>
        </w:rPr>
        <w:t xml:space="preserve"> at 537-539. </w:t>
      </w:r>
      <w:r w:rsidRPr="00A52908" w:rsidR="00CB18BF">
        <w:rPr>
          <w:color w:val="000000"/>
        </w:rPr>
        <w:t xml:space="preserve"> </w:t>
      </w:r>
      <w:r w:rsidRPr="00A52908">
        <w:rPr>
          <w:color w:val="000000"/>
        </w:rPr>
        <w:t xml:space="preserve">All other stations were required to begin using the public file by June 24, 2016. </w:t>
      </w:r>
      <w:r w:rsidR="009E794A">
        <w:rPr>
          <w:color w:val="000000"/>
        </w:rPr>
        <w:t xml:space="preserve"> </w:t>
      </w:r>
      <w:r w:rsidRPr="00A52908">
        <w:rPr>
          <w:i/>
          <w:iCs/>
          <w:color w:val="000000"/>
        </w:rPr>
        <w:t xml:space="preserve">See </w:t>
      </w:r>
      <w:hyperlink r:id="rId2" w:history="1">
        <w:r w:rsidRPr="00A52908">
          <w:rPr>
            <w:rStyle w:val="Hyperlink"/>
            <w:i/>
            <w:iCs/>
            <w:color w:val="auto"/>
            <w:u w:val="none"/>
          </w:rPr>
          <w:t>Effective Date Announced for Expanded Online Public Inspection File Database</w:t>
        </w:r>
        <w:r w:rsidRPr="00A52908">
          <w:rPr>
            <w:rStyle w:val="Hyperlink"/>
            <w:color w:val="auto"/>
            <w:u w:val="none"/>
          </w:rPr>
          <w:t xml:space="preserve">, Public Notice, 31 FCC </w:t>
        </w:r>
        <w:r w:rsidRPr="00A52908">
          <w:rPr>
            <w:rStyle w:val="Hyperlink"/>
            <w:color w:val="auto"/>
            <w:u w:val="none"/>
          </w:rPr>
          <w:t>Rcd</w:t>
        </w:r>
        <w:r w:rsidRPr="00A52908">
          <w:rPr>
            <w:rStyle w:val="Hyperlink"/>
            <w:color w:val="auto"/>
            <w:u w:val="none"/>
          </w:rPr>
          <w:t xml:space="preserve"> 4699 (MB 2016)</w:t>
        </w:r>
      </w:hyperlink>
      <w:r w:rsidRPr="00A52908">
        <w:t xml:space="preserve">.  Because these </w:t>
      </w:r>
      <w:r w:rsidRPr="00A52908" w:rsidR="00D77805">
        <w:t xml:space="preserve">stations </w:t>
      </w:r>
      <w:r w:rsidRPr="00A52908">
        <w:t xml:space="preserve">have </w:t>
      </w:r>
      <w:r w:rsidRPr="00A52908" w:rsidR="00D77805">
        <w:t>been required to use the OPIF for more than three years, all political file material for these stations should now be in their OPIF.</w:t>
      </w:r>
    </w:p>
  </w:footnote>
  <w:footnote w:id="13">
    <w:p w:rsidR="00EC1B6D" w:rsidRPr="00A52908" w:rsidP="00471874">
      <w:pPr>
        <w:pStyle w:val="FootnoteText"/>
      </w:pPr>
      <w:r w:rsidRPr="00A52908">
        <w:rPr>
          <w:rStyle w:val="FootnoteReference"/>
        </w:rPr>
        <w:footnoteRef/>
      </w:r>
      <w:r w:rsidRPr="00A52908">
        <w:t xml:space="preserve"> </w:t>
      </w:r>
      <w:r w:rsidRPr="00A52908">
        <w:rPr>
          <w:i/>
          <w:iCs/>
          <w:color w:val="000000"/>
        </w:rPr>
        <w:t xml:space="preserve">See </w:t>
      </w:r>
      <w:r w:rsidRPr="00A52908" w:rsidR="00783DC2">
        <w:rPr>
          <w:i/>
          <w:iCs/>
          <w:color w:val="000000"/>
        </w:rPr>
        <w:t>e.g. Media Bureau Reminds Radio Broadcasters of Online Public File Requirements Media Bureau Will Activate All Remaining Accounts on November 15, 2018,</w:t>
      </w:r>
      <w:r w:rsidRPr="00A52908" w:rsidR="00783DC2">
        <w:rPr>
          <w:iCs/>
          <w:color w:val="000000"/>
        </w:rPr>
        <w:t xml:space="preserve"> Public Notice,</w:t>
      </w:r>
      <w:r w:rsidRPr="00A52908" w:rsidR="00445A3B">
        <w:rPr>
          <w:iCs/>
          <w:color w:val="000000"/>
        </w:rPr>
        <w:t xml:space="preserve"> 33 FCC </w:t>
      </w:r>
      <w:r w:rsidRPr="00A52908" w:rsidR="00445A3B">
        <w:rPr>
          <w:iCs/>
          <w:color w:val="000000"/>
        </w:rPr>
        <w:t>Rcd</w:t>
      </w:r>
      <w:r w:rsidRPr="00A52908" w:rsidR="00445A3B">
        <w:rPr>
          <w:iCs/>
          <w:color w:val="000000"/>
        </w:rPr>
        <w:t xml:space="preserve"> 11059 (MB 2018)</w:t>
      </w:r>
      <w:r w:rsidRPr="00A52908" w:rsidR="0003203E">
        <w:rPr>
          <w:iCs/>
          <w:color w:val="000000"/>
        </w:rPr>
        <w:t xml:space="preserve">; </w:t>
      </w:r>
      <w:r w:rsidRPr="00A52908" w:rsidR="0003203E">
        <w:rPr>
          <w:i/>
          <w:iCs/>
          <w:color w:val="000000"/>
        </w:rPr>
        <w:t xml:space="preserve">Media Bureau Reminds Broadcast Licensees of Upcoming Radio Station License Renewal Cycle, </w:t>
      </w:r>
      <w:r w:rsidRPr="00A52908" w:rsidR="0003203E">
        <w:rPr>
          <w:iCs/>
          <w:color w:val="000000"/>
        </w:rPr>
        <w:t xml:space="preserve">Public Notice, </w:t>
      </w:r>
      <w:r w:rsidR="009270C7">
        <w:rPr>
          <w:iCs/>
          <w:color w:val="000000"/>
        </w:rPr>
        <w:t xml:space="preserve">34 FCC </w:t>
      </w:r>
      <w:r w:rsidR="009270C7">
        <w:rPr>
          <w:iCs/>
          <w:color w:val="000000"/>
        </w:rPr>
        <w:t>Rcd</w:t>
      </w:r>
      <w:r w:rsidR="009270C7">
        <w:rPr>
          <w:iCs/>
          <w:color w:val="000000"/>
        </w:rPr>
        <w:t xml:space="preserve"> 1344 </w:t>
      </w:r>
      <w:r w:rsidRPr="00A52908" w:rsidR="0003203E">
        <w:rPr>
          <w:iCs/>
          <w:color w:val="000000"/>
        </w:rPr>
        <w:t>(MB 2019)</w:t>
      </w:r>
      <w:r w:rsidR="009E794A">
        <w:rPr>
          <w:iCs/>
          <w:color w:val="000000"/>
        </w:rPr>
        <w:t>,</w:t>
      </w:r>
      <w:r w:rsidR="009270C7">
        <w:rPr>
          <w:iCs/>
          <w:color w:val="000000"/>
        </w:rPr>
        <w:t xml:space="preserve"> </w:t>
      </w:r>
      <w:r w:rsidRPr="00A52908" w:rsidR="0003203E">
        <w:rPr>
          <w:iCs/>
          <w:color w:val="000000"/>
        </w:rPr>
        <w:t xml:space="preserve">and </w:t>
      </w:r>
      <w:r w:rsidRPr="00A52908" w:rsidR="0003203E">
        <w:rPr>
          <w:i/>
          <w:iCs/>
          <w:color w:val="000000"/>
        </w:rPr>
        <w:t>Media Bureau Announces Procedures for 2019-2022 Radio Renewal Cycle</w:t>
      </w:r>
      <w:r w:rsidRPr="00A52908" w:rsidR="0003203E">
        <w:rPr>
          <w:iCs/>
          <w:color w:val="000000"/>
        </w:rPr>
        <w:t xml:space="preserve">, Public Notice, </w:t>
      </w:r>
      <w:r w:rsidR="009270C7">
        <w:rPr>
          <w:iCs/>
          <w:color w:val="000000"/>
        </w:rPr>
        <w:t xml:space="preserve">34 FCC </w:t>
      </w:r>
      <w:r w:rsidR="009270C7">
        <w:rPr>
          <w:iCs/>
          <w:color w:val="000000"/>
        </w:rPr>
        <w:t>Rcd</w:t>
      </w:r>
      <w:r w:rsidR="009270C7">
        <w:rPr>
          <w:iCs/>
          <w:color w:val="000000"/>
        </w:rPr>
        <w:t xml:space="preserve"> 2304</w:t>
      </w:r>
      <w:r w:rsidRPr="00A52908" w:rsidR="006F7D37">
        <w:rPr>
          <w:iCs/>
          <w:color w:val="000000"/>
        </w:rPr>
        <w:t xml:space="preserve"> </w:t>
      </w:r>
      <w:r w:rsidRPr="00A52908" w:rsidR="0003203E">
        <w:rPr>
          <w:iCs/>
          <w:color w:val="000000"/>
        </w:rPr>
        <w:t>(MB 2019).</w:t>
      </w:r>
    </w:p>
  </w:footnote>
  <w:footnote w:id="14">
    <w:p w:rsidR="00D500A0" w:rsidRPr="006F7D37" w:rsidP="00471874">
      <w:pPr>
        <w:pStyle w:val="FootnoteText"/>
      </w:pPr>
      <w:r w:rsidRPr="009E229D">
        <w:rPr>
          <w:rStyle w:val="FootnoteReference"/>
        </w:rPr>
        <w:footnoteRef/>
      </w:r>
      <w:r w:rsidRPr="009E229D">
        <w:t xml:space="preserve"> </w:t>
      </w:r>
      <w:r w:rsidR="009E794A">
        <w:t xml:space="preserve">Application, </w:t>
      </w:r>
      <w:r w:rsidRPr="006F7D37" w:rsidR="003D16F2">
        <w:t xml:space="preserve">Exhibit to </w:t>
      </w:r>
      <w:r w:rsidRPr="006F7D37">
        <w:t>Section III, Question 1</w:t>
      </w:r>
      <w:r w:rsidRPr="006F7D37" w:rsidR="00145239">
        <w:t>,</w:t>
      </w:r>
      <w:r w:rsidRPr="006F7D37" w:rsidR="003D16F2">
        <w:t xml:space="preserve"> as amended on June 14, 2019.</w:t>
      </w:r>
    </w:p>
  </w:footnote>
  <w:footnote w:id="15">
    <w:p w:rsidR="00404002" w:rsidRPr="006F7D37" w:rsidP="00FF274E">
      <w:pPr>
        <w:pStyle w:val="Footer"/>
        <w:spacing w:after="120"/>
        <w:rPr>
          <w:sz w:val="20"/>
        </w:rPr>
      </w:pPr>
      <w:r w:rsidRPr="006F7D37">
        <w:rPr>
          <w:rStyle w:val="FootnoteReference"/>
        </w:rPr>
        <w:footnoteRef/>
      </w:r>
      <w:r w:rsidRPr="006F7D37">
        <w:rPr>
          <w:sz w:val="20"/>
        </w:rPr>
        <w:t xml:space="preserve"> </w:t>
      </w:r>
      <w:r w:rsidRPr="006F7D37">
        <w:rPr>
          <w:i/>
          <w:sz w:val="20"/>
        </w:rPr>
        <w:t xml:space="preserve">See </w:t>
      </w:r>
      <w:r w:rsidRPr="006F7D37">
        <w:rPr>
          <w:sz w:val="20"/>
        </w:rPr>
        <w:t>47 CFR §§ 73.3526(e)(12) and 73.3526(b)(2).</w:t>
      </w:r>
    </w:p>
  </w:footnote>
  <w:footnote w:id="16">
    <w:p w:rsidR="00C74691" w:rsidRPr="006F7D37" w:rsidP="008475ED">
      <w:pPr>
        <w:pStyle w:val="Footer"/>
        <w:spacing w:after="120"/>
        <w:rPr>
          <w:sz w:val="20"/>
        </w:rPr>
      </w:pPr>
      <w:r w:rsidRPr="006F7D37">
        <w:rPr>
          <w:rStyle w:val="FootnoteReference"/>
        </w:rPr>
        <w:footnoteRef/>
      </w:r>
      <w:r w:rsidRPr="006F7D37">
        <w:rPr>
          <w:sz w:val="20"/>
        </w:rPr>
        <w:t xml:space="preserve"> </w:t>
      </w:r>
      <w:r w:rsidRPr="006F7D37">
        <w:rPr>
          <w:i/>
          <w:sz w:val="20"/>
        </w:rPr>
        <w:t>See Padre Serra Comm</w:t>
      </w:r>
      <w:r w:rsidRPr="006F7D37" w:rsidR="005F474E">
        <w:rPr>
          <w:i/>
          <w:sz w:val="20"/>
        </w:rPr>
        <w:t>c’</w:t>
      </w:r>
      <w:r w:rsidRPr="006F7D37">
        <w:rPr>
          <w:i/>
          <w:sz w:val="20"/>
        </w:rPr>
        <w:t>ns, Inc.</w:t>
      </w:r>
      <w:r w:rsidRPr="006F7D37">
        <w:rPr>
          <w:sz w:val="20"/>
        </w:rPr>
        <w:t xml:space="preserve">, Letter, 14 FCC </w:t>
      </w:r>
      <w:r w:rsidRPr="006F7D37">
        <w:rPr>
          <w:sz w:val="20"/>
        </w:rPr>
        <w:t>Rcd</w:t>
      </w:r>
      <w:r w:rsidRPr="006F7D37">
        <w:rPr>
          <w:sz w:val="20"/>
        </w:rPr>
        <w:t xml:space="preserve"> 9709 (MMB 1999).</w:t>
      </w:r>
    </w:p>
  </w:footnote>
  <w:footnote w:id="17">
    <w:p w:rsidR="00C74691" w:rsidRPr="006F7D37" w:rsidP="008475ED">
      <w:pPr>
        <w:pStyle w:val="Footer"/>
        <w:spacing w:after="120"/>
        <w:rPr>
          <w:sz w:val="20"/>
        </w:rPr>
      </w:pPr>
      <w:r w:rsidRPr="006F7D37">
        <w:rPr>
          <w:rStyle w:val="FootnoteReference"/>
        </w:rPr>
        <w:footnoteRef/>
      </w:r>
      <w:r w:rsidRPr="006F7D37">
        <w:rPr>
          <w:sz w:val="20"/>
        </w:rPr>
        <w:t xml:space="preserve"> 47 U.S.C. § 503(b)(1)(B).  </w:t>
      </w:r>
      <w:r w:rsidRPr="006F7D37">
        <w:rPr>
          <w:i/>
          <w:sz w:val="20"/>
        </w:rPr>
        <w:t>S</w:t>
      </w:r>
      <w:r w:rsidRPr="006F7D37">
        <w:rPr>
          <w:i/>
          <w:iCs/>
          <w:sz w:val="20"/>
        </w:rPr>
        <w:t>ee also</w:t>
      </w:r>
      <w:r w:rsidRPr="006F7D37">
        <w:rPr>
          <w:sz w:val="20"/>
        </w:rPr>
        <w:t xml:space="preserve"> 47 CFR </w:t>
      </w:r>
      <w:r w:rsidRPr="006F7D37" w:rsidR="005F474E">
        <w:rPr>
          <w:sz w:val="20"/>
        </w:rPr>
        <w:t>§</w:t>
      </w:r>
      <w:r w:rsidRPr="006F7D37">
        <w:rPr>
          <w:sz w:val="20"/>
        </w:rPr>
        <w:t>1.80(a)(1).</w:t>
      </w:r>
    </w:p>
  </w:footnote>
  <w:footnote w:id="18">
    <w:p w:rsidR="00C74691" w:rsidRPr="006F7D37" w:rsidP="008475ED">
      <w:pPr>
        <w:pStyle w:val="Footer"/>
        <w:spacing w:after="120"/>
        <w:rPr>
          <w:sz w:val="20"/>
        </w:rPr>
      </w:pPr>
      <w:r w:rsidRPr="006F7D37">
        <w:rPr>
          <w:rStyle w:val="FootnoteReference"/>
        </w:rPr>
        <w:footnoteRef/>
      </w:r>
      <w:r w:rsidRPr="006F7D37">
        <w:rPr>
          <w:sz w:val="20"/>
        </w:rPr>
        <w:t xml:space="preserve"> 47 U.S.C. § 312(f)(1).</w:t>
      </w:r>
    </w:p>
  </w:footnote>
  <w:footnote w:id="19">
    <w:p w:rsidR="00C74691" w:rsidRPr="006F7D37" w:rsidP="000F7218">
      <w:pPr>
        <w:pStyle w:val="Footer"/>
        <w:spacing w:after="120"/>
        <w:rPr>
          <w:sz w:val="20"/>
        </w:rPr>
      </w:pPr>
      <w:r w:rsidRPr="006F7D37">
        <w:rPr>
          <w:rStyle w:val="FootnoteReference"/>
        </w:rPr>
        <w:footnoteRef/>
      </w:r>
      <w:r w:rsidRPr="006F7D37">
        <w:rPr>
          <w:i/>
          <w:sz w:val="20"/>
        </w:rPr>
        <w:t xml:space="preserve"> See</w:t>
      </w:r>
      <w:r w:rsidRPr="006F7D37">
        <w:rPr>
          <w:sz w:val="20"/>
        </w:rPr>
        <w:t xml:space="preserve"> H.R. Rep. No. 97-765, 97</w:t>
      </w:r>
      <w:r w:rsidRPr="006F7D37">
        <w:rPr>
          <w:sz w:val="20"/>
          <w:vertAlign w:val="superscript"/>
        </w:rPr>
        <w:t>th</w:t>
      </w:r>
      <w:r w:rsidRPr="006F7D37">
        <w:rPr>
          <w:sz w:val="20"/>
        </w:rPr>
        <w:t xml:space="preserve"> Cong. 2d Sess. 51 (1982).</w:t>
      </w:r>
    </w:p>
  </w:footnote>
  <w:footnote w:id="20">
    <w:p w:rsidR="00C74691" w:rsidRPr="006F7D37" w:rsidP="000F7218">
      <w:pPr>
        <w:pStyle w:val="Footer"/>
        <w:spacing w:after="120"/>
        <w:rPr>
          <w:sz w:val="20"/>
        </w:rPr>
      </w:pPr>
      <w:r w:rsidRPr="006F7D37">
        <w:rPr>
          <w:rStyle w:val="FootnoteReference"/>
        </w:rPr>
        <w:footnoteRef/>
      </w:r>
      <w:r w:rsidRPr="006F7D37">
        <w:rPr>
          <w:i/>
          <w:iCs/>
          <w:sz w:val="20"/>
        </w:rPr>
        <w:t xml:space="preserve"> See Southern California Broad</w:t>
      </w:r>
      <w:r w:rsidRPr="006F7D37" w:rsidR="007D601A">
        <w:rPr>
          <w:i/>
          <w:iCs/>
          <w:sz w:val="20"/>
        </w:rPr>
        <w:t xml:space="preserve">. </w:t>
      </w:r>
      <w:r w:rsidRPr="006F7D37">
        <w:rPr>
          <w:i/>
          <w:iCs/>
          <w:sz w:val="20"/>
        </w:rPr>
        <w:t>Co.</w:t>
      </w:r>
      <w:r w:rsidRPr="006F7D37">
        <w:rPr>
          <w:sz w:val="20"/>
        </w:rPr>
        <w:t xml:space="preserve">, Memorandum Opinion and Order, 6 FCC </w:t>
      </w:r>
      <w:r w:rsidRPr="006F7D37">
        <w:rPr>
          <w:sz w:val="20"/>
        </w:rPr>
        <w:t>Rcd</w:t>
      </w:r>
      <w:r w:rsidRPr="006F7D37">
        <w:rPr>
          <w:sz w:val="20"/>
        </w:rPr>
        <w:t xml:space="preserve"> 4387, 4388</w:t>
      </w:r>
      <w:r w:rsidRPr="006F7D37" w:rsidR="00987E78">
        <w:rPr>
          <w:sz w:val="20"/>
        </w:rPr>
        <w:t>, para</w:t>
      </w:r>
      <w:r w:rsidR="009E794A">
        <w:rPr>
          <w:sz w:val="20"/>
        </w:rPr>
        <w:t>.</w:t>
      </w:r>
      <w:r w:rsidRPr="006F7D37" w:rsidR="00987E78">
        <w:rPr>
          <w:sz w:val="20"/>
        </w:rPr>
        <w:t>5</w:t>
      </w:r>
      <w:r w:rsidRPr="006F7D37">
        <w:rPr>
          <w:sz w:val="20"/>
        </w:rPr>
        <w:t xml:space="preserve"> (1991).</w:t>
      </w:r>
    </w:p>
  </w:footnote>
  <w:footnote w:id="21">
    <w:p w:rsidR="00C74691" w:rsidRPr="006F7D37" w:rsidP="000F7218">
      <w:pPr>
        <w:pStyle w:val="Footer"/>
        <w:spacing w:after="120"/>
        <w:rPr>
          <w:sz w:val="20"/>
        </w:rPr>
      </w:pPr>
      <w:r w:rsidRPr="006F7D37">
        <w:rPr>
          <w:rStyle w:val="FootnoteReference"/>
        </w:rPr>
        <w:footnoteRef/>
      </w:r>
      <w:r w:rsidRPr="006F7D37">
        <w:rPr>
          <w:sz w:val="20"/>
        </w:rPr>
        <w:t xml:space="preserve"> 47 U.S.C. § 312(f)(2). </w:t>
      </w:r>
    </w:p>
  </w:footnote>
  <w:footnote w:id="22">
    <w:p w:rsidR="00404002" w:rsidRPr="006F7D37" w:rsidP="000F7218">
      <w:pPr>
        <w:pStyle w:val="FootnoteText"/>
        <w:widowControl w:val="0"/>
      </w:pPr>
      <w:r w:rsidRPr="006F7D37">
        <w:rPr>
          <w:rStyle w:val="FootnoteReference"/>
        </w:rPr>
        <w:footnoteRef/>
      </w:r>
      <w:r w:rsidRPr="006F7D37">
        <w:t xml:space="preserve"> </w:t>
      </w:r>
      <w:r w:rsidRPr="006F7D37">
        <w:rPr>
          <w:i/>
        </w:rPr>
        <w:t>See Forfeiture Policy Statement and Amendment of Section 1.80(b) of the Rules to Incorporate the Forfeiture Guidelines</w:t>
      </w:r>
      <w:r w:rsidRPr="006F7D37">
        <w:t xml:space="preserve">, Report and Order, 12 FCC </w:t>
      </w:r>
      <w:r w:rsidRPr="006F7D37">
        <w:t>Rcd</w:t>
      </w:r>
      <w:r w:rsidRPr="006F7D37">
        <w:t xml:space="preserve"> 17087, 17113-15 (1997) </w:t>
      </w:r>
      <w:r w:rsidRPr="006F7D37">
        <w:rPr>
          <w:i/>
        </w:rPr>
        <w:t>(Forfeiture Policy Statement),</w:t>
      </w:r>
      <w:r w:rsidRPr="006F7D37">
        <w:t xml:space="preserve"> </w:t>
      </w:r>
      <w:r w:rsidRPr="006F7D37">
        <w:rPr>
          <w:i/>
        </w:rPr>
        <w:t>recon. denied</w:t>
      </w:r>
      <w:r w:rsidRPr="006F7D37">
        <w:t xml:space="preserve">, 15 FCC </w:t>
      </w:r>
      <w:r w:rsidRPr="006F7D37">
        <w:t>Rcd</w:t>
      </w:r>
      <w:r w:rsidRPr="006F7D37">
        <w:t xml:space="preserve"> 303 (1999); 47 CFR § 1.80(b)(8), note to paragraph (b)(8), Section I.</w:t>
      </w:r>
    </w:p>
  </w:footnote>
  <w:footnote w:id="23">
    <w:p w:rsidR="00C74691" w:rsidRPr="006F7D37" w:rsidP="009E794A">
      <w:pPr>
        <w:pStyle w:val="Footer"/>
        <w:spacing w:after="120"/>
        <w:rPr>
          <w:sz w:val="20"/>
        </w:rPr>
      </w:pPr>
      <w:r w:rsidRPr="006F7D37">
        <w:rPr>
          <w:rStyle w:val="FootnoteReference"/>
        </w:rPr>
        <w:footnoteRef/>
      </w:r>
      <w:r w:rsidRPr="006F7D37">
        <w:rPr>
          <w:sz w:val="20"/>
        </w:rPr>
        <w:t xml:space="preserve"> 47 U.S.C. § 503(b)(2)(D); </w:t>
      </w:r>
      <w:r w:rsidRPr="006F7D37">
        <w:rPr>
          <w:i/>
          <w:sz w:val="20"/>
        </w:rPr>
        <w:t xml:space="preserve">see also Forfeiture Policy Statement, </w:t>
      </w:r>
      <w:r w:rsidRPr="006F7D37">
        <w:rPr>
          <w:sz w:val="20"/>
        </w:rPr>
        <w:t xml:space="preserve">12 FCC </w:t>
      </w:r>
      <w:r w:rsidRPr="006F7D37">
        <w:rPr>
          <w:sz w:val="20"/>
        </w:rPr>
        <w:t>Rcd</w:t>
      </w:r>
      <w:r w:rsidRPr="006F7D37">
        <w:rPr>
          <w:sz w:val="20"/>
        </w:rPr>
        <w:t xml:space="preserve"> at 17100</w:t>
      </w:r>
      <w:r w:rsidRPr="006F7D37" w:rsidR="00F73D7D">
        <w:rPr>
          <w:sz w:val="20"/>
        </w:rPr>
        <w:t>-17101</w:t>
      </w:r>
      <w:r w:rsidRPr="006F7D37" w:rsidR="00E6083F">
        <w:rPr>
          <w:sz w:val="20"/>
        </w:rPr>
        <w:t>, para</w:t>
      </w:r>
      <w:r w:rsidRPr="006F7D37" w:rsidR="00F73D7D">
        <w:rPr>
          <w:sz w:val="20"/>
        </w:rPr>
        <w:t>. 27</w:t>
      </w:r>
      <w:r w:rsidRPr="006F7D37">
        <w:rPr>
          <w:sz w:val="20"/>
        </w:rPr>
        <w:t>; 47 CFR § 1.80(b)(4).</w:t>
      </w:r>
    </w:p>
  </w:footnote>
  <w:footnote w:id="24">
    <w:p w:rsidR="0021150F" w:rsidRPr="006F7D37" w:rsidP="009E794A">
      <w:pPr>
        <w:pStyle w:val="FootnoteText"/>
      </w:pPr>
      <w:r w:rsidRPr="006F7D37">
        <w:rPr>
          <w:rStyle w:val="FootnoteReference"/>
        </w:rPr>
        <w:footnoteRef/>
      </w:r>
      <w:r w:rsidRPr="006F7D37">
        <w:t xml:space="preserve"> </w:t>
      </w:r>
      <w:r w:rsidRPr="006F7D37">
        <w:rPr>
          <w:i/>
        </w:rPr>
        <w:t xml:space="preserve">See, e.g., Cumulus Licensing, LLC, </w:t>
      </w:r>
      <w:r w:rsidRPr="006F7D37">
        <w:t xml:space="preserve">Memorandum Opinion and Order and Notice of Apparent Liability, 33 FCC </w:t>
      </w:r>
      <w:r w:rsidRPr="006F7D37">
        <w:t>Rcd</w:t>
      </w:r>
      <w:r w:rsidRPr="006F7D37">
        <w:t xml:space="preserve"> 1201 (MB 2018) ($12,000 forfeiture proposed for failure to prepare 22 issues and programs lists).</w:t>
      </w:r>
    </w:p>
  </w:footnote>
  <w:footnote w:id="25">
    <w:p w:rsidR="00DC3633" w:rsidRPr="001A69A4" w:rsidP="009A1ACD">
      <w:pPr>
        <w:pStyle w:val="FootnoteText"/>
      </w:pPr>
      <w:r>
        <w:rPr>
          <w:rStyle w:val="FootnoteReference"/>
        </w:rPr>
        <w:footnoteRef/>
      </w:r>
      <w:r>
        <w:t xml:space="preserve"> </w:t>
      </w:r>
      <w:r w:rsidRPr="001A69A4">
        <w:rPr>
          <w:i/>
        </w:rPr>
        <w:t>See</w:t>
      </w:r>
      <w:r w:rsidRPr="001A69A4">
        <w:t xml:space="preserve"> WLLL(AM), Lynchburg, Virginia, Notice of Apparent Liability for Forfeiture, 25 FCC </w:t>
      </w:r>
      <w:r w:rsidRPr="001A69A4">
        <w:t>Rcd</w:t>
      </w:r>
      <w:r w:rsidRPr="001A69A4">
        <w:t xml:space="preserve"> 4753, 4754 para 9 (EB 2010) </w:t>
      </w:r>
      <w:r w:rsidRPr="001A69A4">
        <w:t>( “</w:t>
      </w:r>
      <w:r w:rsidRPr="003B24B5">
        <w:rPr>
          <w:shd w:val="clear" w:color="auto" w:fill="FFFFFF"/>
        </w:rPr>
        <w:t xml:space="preserve">Hubbard's owner admitted that he had never maintained a public inspection </w:t>
      </w:r>
      <w:r w:rsidRPr="003B24B5" w:rsidR="003B24B5">
        <w:rPr>
          <w:shd w:val="clear" w:color="auto" w:fill="FFFFFF"/>
        </w:rPr>
        <w:t>file,</w:t>
      </w:r>
      <w:r w:rsidRPr="003B24B5">
        <w:rPr>
          <w:shd w:val="clear" w:color="auto" w:fill="FFFFFF"/>
        </w:rPr>
        <w:t xml:space="preserve"> nor did he know what documents were required to be in the file.”).</w:t>
      </w:r>
    </w:p>
  </w:footnote>
  <w:footnote w:id="26">
    <w:p w:rsidR="00A27376" w:rsidRPr="001A69A4" w:rsidP="000F7218">
      <w:pPr>
        <w:pStyle w:val="FootnoteText"/>
      </w:pPr>
      <w:r w:rsidRPr="001A69A4">
        <w:rPr>
          <w:rStyle w:val="FootnoteReference"/>
        </w:rPr>
        <w:footnoteRef/>
      </w:r>
      <w:r w:rsidRPr="001A69A4">
        <w:t xml:space="preserve"> </w:t>
      </w:r>
      <w:r w:rsidRPr="001A69A4">
        <w:rPr>
          <w:i/>
        </w:rPr>
        <w:t xml:space="preserve">See </w:t>
      </w:r>
      <w:r w:rsidRPr="001A69A4">
        <w:t>47 CFR § 73.3526(b)(2).</w:t>
      </w:r>
    </w:p>
  </w:footnote>
  <w:footnote w:id="27">
    <w:p w:rsidR="0059707B" w:rsidRPr="006F7D37" w:rsidP="009E794A">
      <w:pPr>
        <w:pStyle w:val="FootnoteText"/>
      </w:pPr>
      <w:r w:rsidRPr="001A69A4">
        <w:rPr>
          <w:rStyle w:val="FootnoteReference"/>
        </w:rPr>
        <w:footnoteRef/>
      </w:r>
      <w:r w:rsidRPr="001A69A4">
        <w:t xml:space="preserve"> </w:t>
      </w:r>
      <w:r w:rsidRPr="001A69A4">
        <w:rPr>
          <w:i/>
        </w:rPr>
        <w:t>See, e.g., Pollack/</w:t>
      </w:r>
      <w:r w:rsidRPr="001A69A4">
        <w:rPr>
          <w:i/>
        </w:rPr>
        <w:t>Belz</w:t>
      </w:r>
      <w:r w:rsidRPr="001A69A4">
        <w:rPr>
          <w:i/>
        </w:rPr>
        <w:t xml:space="preserve"> </w:t>
      </w:r>
      <w:r w:rsidRPr="006F7D37">
        <w:rPr>
          <w:i/>
        </w:rPr>
        <w:t>Broad</w:t>
      </w:r>
      <w:r w:rsidR="0021150F">
        <w:rPr>
          <w:i/>
        </w:rPr>
        <w:t>.</w:t>
      </w:r>
      <w:r w:rsidRPr="006F7D37">
        <w:rPr>
          <w:i/>
        </w:rPr>
        <w:t xml:space="preserve"> Co</w:t>
      </w:r>
      <w:r w:rsidR="0021150F">
        <w:rPr>
          <w:i/>
        </w:rPr>
        <w:t>.</w:t>
      </w:r>
      <w:r w:rsidRPr="006F7D37">
        <w:rPr>
          <w:i/>
        </w:rPr>
        <w:t xml:space="preserve">, </w:t>
      </w:r>
      <w:r w:rsidRPr="006F7D37">
        <w:t xml:space="preserve">Memorandum Opinion and Order and Notice of Apparent Liability, 32 FCC </w:t>
      </w:r>
      <w:r w:rsidRPr="006F7D37">
        <w:t>Rcd</w:t>
      </w:r>
      <w:r w:rsidRPr="006F7D37">
        <w:t xml:space="preserve"> 4105 (MB 2017) ($3,000 forfeiture proposed for failure to upload required public file documents into Station’s OPIF).</w:t>
      </w:r>
    </w:p>
  </w:footnote>
  <w:footnote w:id="28">
    <w:p w:rsidR="00C74691" w:rsidRPr="006F7D37" w:rsidP="009E794A">
      <w:pPr>
        <w:pStyle w:val="FootnoteText"/>
      </w:pPr>
      <w:r w:rsidRPr="006F7D37">
        <w:rPr>
          <w:rStyle w:val="FootnoteReference"/>
        </w:rPr>
        <w:footnoteRef/>
      </w:r>
      <w:r w:rsidRPr="006F7D37">
        <w:t xml:space="preserve"> </w:t>
      </w:r>
      <w:hyperlink r:id="rId3" w:tgtFrame="_top" w:history="1">
        <w:r w:rsidRPr="006F7D37">
          <w:rPr>
            <w:rStyle w:val="Hyperlink"/>
            <w:color w:val="auto"/>
            <w:u w:val="none"/>
          </w:rPr>
          <w:t>47 U.S.C. § 309(k)</w:t>
        </w:r>
      </w:hyperlink>
      <w:r w:rsidRPr="006F7D37">
        <w:t xml:space="preserve">. </w:t>
      </w:r>
    </w:p>
  </w:footnote>
  <w:footnote w:id="29">
    <w:p w:rsidR="00C74691" w:rsidRPr="006F7D37" w:rsidP="009E794A">
      <w:pPr>
        <w:pStyle w:val="FootnoteText"/>
      </w:pPr>
      <w:r w:rsidRPr="006F7D37">
        <w:rPr>
          <w:rStyle w:val="FootnoteReference"/>
        </w:rPr>
        <w:footnoteRef/>
      </w:r>
      <w:r w:rsidRPr="006F7D37">
        <w:t xml:space="preserve"> </w:t>
      </w:r>
      <w:hyperlink r:id="rId4" w:tgtFrame="_top" w:history="1">
        <w:r w:rsidRPr="006F7D37">
          <w:rPr>
            <w:rStyle w:val="Hyperlink"/>
            <w:color w:val="auto"/>
            <w:u w:val="none"/>
          </w:rPr>
          <w:t>47 U.S.C. § 309(k)(1)</w:t>
        </w:r>
      </w:hyperlink>
      <w:r w:rsidRPr="006F7D37">
        <w:t>.</w:t>
      </w:r>
    </w:p>
  </w:footnote>
  <w:footnote w:id="30">
    <w:p w:rsidR="00C74691" w:rsidRPr="006F7D37" w:rsidP="009E794A">
      <w:pPr>
        <w:pStyle w:val="FootnoteText"/>
      </w:pPr>
      <w:r w:rsidRPr="006F7D37">
        <w:rPr>
          <w:rStyle w:val="FootnoteReference"/>
        </w:rPr>
        <w:footnoteRef/>
      </w:r>
      <w:r w:rsidRPr="006F7D37">
        <w:t xml:space="preserve"> </w:t>
      </w:r>
      <w:hyperlink r:id="rId5" w:tgtFrame="_top" w:history="1">
        <w:r w:rsidRPr="006F7D37">
          <w:rPr>
            <w:rStyle w:val="Hyperlink"/>
            <w:color w:val="auto"/>
            <w:u w:val="none"/>
          </w:rPr>
          <w:t>47 U.S.C. §§ 309(k)(2)</w:t>
        </w:r>
      </w:hyperlink>
      <w:r w:rsidRPr="006F7D37">
        <w:t xml:space="preserve">, </w:t>
      </w:r>
      <w:hyperlink r:id="rId6" w:tgtFrame="_top" w:history="1">
        <w:r w:rsidRPr="006F7D37">
          <w:rPr>
            <w:rStyle w:val="Hyperlink"/>
            <w:color w:val="auto"/>
            <w:u w:val="none"/>
          </w:rPr>
          <w:t>309(k)(3)</w:t>
        </w:r>
      </w:hyperlink>
      <w:r w:rsidRPr="006F7D37">
        <w:t xml:space="preserve">. </w:t>
      </w:r>
    </w:p>
  </w:footnote>
  <w:footnote w:id="31">
    <w:p w:rsidR="00C74691" w:rsidRPr="006F7D37" w:rsidP="009E794A">
      <w:pPr>
        <w:pStyle w:val="Footer"/>
        <w:spacing w:after="120"/>
        <w:rPr>
          <w:sz w:val="20"/>
        </w:rPr>
      </w:pPr>
      <w:r w:rsidRPr="006F7D37">
        <w:rPr>
          <w:rStyle w:val="FootnoteReference"/>
        </w:rPr>
        <w:footnoteRef/>
      </w:r>
      <w:r w:rsidRPr="006F7D37">
        <w:rPr>
          <w:sz w:val="20"/>
        </w:rPr>
        <w:t xml:space="preserve"> </w:t>
      </w:r>
      <w:r w:rsidRPr="006F7D37">
        <w:rPr>
          <w:i/>
          <w:sz w:val="20"/>
        </w:rPr>
        <w:t xml:space="preserve">See Formulation of Policies and Rules to Broadcast Renewal Applicants, </w:t>
      </w:r>
      <w:r w:rsidRPr="006F7D37">
        <w:rPr>
          <w:sz w:val="20"/>
        </w:rPr>
        <w:t xml:space="preserve">Third Further Notice of Inquiry and Notice of Proposed Rule Making, </w:t>
      </w:r>
      <w:hyperlink r:id="rId7" w:history="1">
        <w:r w:rsidRPr="006F7D37">
          <w:rPr>
            <w:sz w:val="20"/>
          </w:rPr>
          <w:t xml:space="preserve">4 FCC </w:t>
        </w:r>
        <w:r w:rsidRPr="006F7D37">
          <w:rPr>
            <w:sz w:val="20"/>
          </w:rPr>
          <w:t>Rcd</w:t>
        </w:r>
        <w:r w:rsidRPr="006F7D37">
          <w:rPr>
            <w:sz w:val="20"/>
          </w:rPr>
          <w:t xml:space="preserve"> 6363, 6365</w:t>
        </w:r>
        <w:r w:rsidRPr="006F7D37" w:rsidR="00C11307">
          <w:rPr>
            <w:sz w:val="20"/>
          </w:rPr>
          <w:t>, para. 17</w:t>
        </w:r>
        <w:r w:rsidRPr="006F7D37">
          <w:rPr>
            <w:sz w:val="20"/>
          </w:rPr>
          <w:t xml:space="preserve"> (1989)</w:t>
        </w:r>
      </w:hyperlink>
      <w:r w:rsidRPr="006F7D37">
        <w:rPr>
          <w:sz w:val="20"/>
        </w:rPr>
        <w:t>.</w:t>
      </w:r>
    </w:p>
  </w:footnote>
  <w:footnote w:id="32">
    <w:p w:rsidR="00C74691" w:rsidRPr="006F7D37" w:rsidP="009E794A">
      <w:pPr>
        <w:pStyle w:val="Footer"/>
        <w:spacing w:after="120"/>
        <w:rPr>
          <w:sz w:val="20"/>
        </w:rPr>
      </w:pPr>
      <w:r w:rsidRPr="006F7D37">
        <w:rPr>
          <w:rStyle w:val="FootnoteReference"/>
        </w:rPr>
        <w:footnoteRef/>
      </w:r>
      <w:r w:rsidRPr="006F7D37">
        <w:rPr>
          <w:sz w:val="20"/>
        </w:rPr>
        <w:t xml:space="preserve"> </w:t>
      </w:r>
      <w:r w:rsidRPr="006F7D37">
        <w:rPr>
          <w:i/>
          <w:sz w:val="20"/>
        </w:rPr>
        <w:t>See</w:t>
      </w:r>
      <w:r w:rsidRPr="006F7D37">
        <w:rPr>
          <w:sz w:val="20"/>
        </w:rPr>
        <w:t xml:space="preserve"> </w:t>
      </w:r>
      <w:r w:rsidRPr="006F7D37">
        <w:rPr>
          <w:i/>
          <w:sz w:val="20"/>
        </w:rPr>
        <w:t>Forfeiture Policy Statement</w:t>
      </w:r>
      <w:r w:rsidRPr="006F7D37">
        <w:rPr>
          <w:sz w:val="20"/>
        </w:rPr>
        <w:t xml:space="preserve">, 12 FCC </w:t>
      </w:r>
      <w:r w:rsidRPr="006F7D37">
        <w:rPr>
          <w:sz w:val="20"/>
        </w:rPr>
        <w:t>Rcd</w:t>
      </w:r>
      <w:r w:rsidRPr="006F7D37">
        <w:rPr>
          <w:sz w:val="20"/>
        </w:rPr>
        <w:t xml:space="preserve"> at 17104-05</w:t>
      </w:r>
      <w:r w:rsidRPr="006F7D37" w:rsidR="007D601A">
        <w:rPr>
          <w:sz w:val="20"/>
        </w:rPr>
        <w:t>, para.</w:t>
      </w:r>
      <w:r w:rsidR="0021150F">
        <w:rPr>
          <w:sz w:val="20"/>
        </w:rPr>
        <w:t xml:space="preserve"> </w:t>
      </w:r>
      <w:r w:rsidRPr="006F7D37">
        <w:rPr>
          <w:sz w:val="20"/>
        </w:rPr>
        <w:t>39.</w:t>
      </w:r>
    </w:p>
  </w:footnote>
  <w:footnote w:id="33">
    <w:p w:rsidR="00251B3B" w:rsidRPr="000E2586" w:rsidP="000F7218">
      <w:pPr>
        <w:pStyle w:val="FootnoteText"/>
      </w:pPr>
      <w:r w:rsidRPr="000E2586">
        <w:rPr>
          <w:rStyle w:val="FootnoteReference"/>
        </w:rPr>
        <w:footnoteRef/>
      </w:r>
      <w:r w:rsidRPr="000E2586">
        <w:t xml:space="preserve"> </w:t>
      </w:r>
      <w:r w:rsidRPr="000E2586">
        <w:rPr>
          <w:i/>
        </w:rPr>
        <w:t xml:space="preserve">See </w:t>
      </w:r>
      <w:r w:rsidRPr="000E2586">
        <w:t>47 CFR § 73.3526(b)(2)</w:t>
      </w:r>
      <w:r>
        <w:t>.</w:t>
      </w:r>
    </w:p>
  </w:footnote>
  <w:footnote w:id="34">
    <w:p w:rsidR="00C74691" w:rsidRPr="001C2556" w:rsidP="009E794A">
      <w:pPr>
        <w:pStyle w:val="Footer"/>
        <w:spacing w:after="120"/>
        <w:rPr>
          <w:sz w:val="20"/>
        </w:rPr>
      </w:pPr>
      <w:r w:rsidRPr="001C2556">
        <w:rPr>
          <w:rStyle w:val="FootnoteReference"/>
        </w:rPr>
        <w:footnoteRef/>
      </w:r>
      <w:r w:rsidRPr="001C2556">
        <w:rPr>
          <w:sz w:val="20"/>
        </w:rPr>
        <w:t xml:space="preserve"> </w:t>
      </w:r>
      <w:r w:rsidRPr="001C2556">
        <w:rPr>
          <w:i/>
          <w:sz w:val="20"/>
        </w:rPr>
        <w:t xml:space="preserve">See </w:t>
      </w:r>
      <w:r w:rsidRPr="001C2556">
        <w:rPr>
          <w:sz w:val="20"/>
        </w:rPr>
        <w:t>47 U.S.C. § 309(k)(1)(b).</w:t>
      </w:r>
    </w:p>
  </w:footnote>
  <w:footnote w:id="35">
    <w:p w:rsidR="00C74691" w:rsidRPr="001C2556" w:rsidP="00471874">
      <w:pPr>
        <w:pStyle w:val="Footer"/>
        <w:spacing w:after="120"/>
        <w:rPr>
          <w:sz w:val="20"/>
        </w:rPr>
      </w:pPr>
      <w:r w:rsidRPr="001C2556">
        <w:rPr>
          <w:rStyle w:val="FootnoteReference"/>
        </w:rPr>
        <w:footnoteRef/>
      </w:r>
      <w:r w:rsidRPr="001C2556">
        <w:rPr>
          <w:sz w:val="20"/>
        </w:rPr>
        <w:t xml:space="preserve"> </w:t>
      </w:r>
      <w:r w:rsidRPr="001C2556">
        <w:rPr>
          <w:i/>
          <w:sz w:val="20"/>
        </w:rPr>
        <w:t>See</w:t>
      </w:r>
      <w:r w:rsidRPr="001C2556">
        <w:rPr>
          <w:sz w:val="20"/>
        </w:rPr>
        <w:t xml:space="preserve"> 47 U.S.C. § 309(k)(1)(c).</w:t>
      </w:r>
    </w:p>
  </w:footnote>
  <w:footnote w:id="36">
    <w:p w:rsidR="00C74691" w:rsidRPr="001C2556" w:rsidP="00FF274E">
      <w:pPr>
        <w:pStyle w:val="Footer"/>
        <w:spacing w:after="120"/>
        <w:rPr>
          <w:sz w:val="20"/>
        </w:rPr>
      </w:pPr>
      <w:r w:rsidRPr="001C2556">
        <w:rPr>
          <w:rStyle w:val="FootnoteReference"/>
        </w:rPr>
        <w:footnoteRef/>
      </w:r>
      <w:r w:rsidRPr="001C2556" w:rsidR="005F0E87">
        <w:rPr>
          <w:sz w:val="20"/>
        </w:rPr>
        <w:t xml:space="preserve"> </w:t>
      </w:r>
      <w:r w:rsidR="008E29F6">
        <w:rPr>
          <w:sz w:val="20"/>
        </w:rPr>
        <w:t>W</w:t>
      </w:r>
      <w:r w:rsidRPr="001C2556">
        <w:rPr>
          <w:sz w:val="20"/>
        </w:rPr>
        <w:t xml:space="preserve">e do not find that Licensee’s operation of the Station “was conducted in an exceedingly careless, inept and negligent manner and that Licensee is either incapable of correcting or unwilling to correct the operating deficiencies.”  </w:t>
      </w:r>
      <w:r w:rsidRPr="001C2556">
        <w:rPr>
          <w:i/>
          <w:sz w:val="20"/>
        </w:rPr>
        <w:t xml:space="preserve">Heart of the Black Hills Stations, </w:t>
      </w:r>
      <w:r w:rsidRPr="001C2556">
        <w:rPr>
          <w:sz w:val="20"/>
        </w:rPr>
        <w:t>Decision, 32 FCC 2d 196, 198</w:t>
      </w:r>
      <w:r w:rsidR="00987E78">
        <w:rPr>
          <w:sz w:val="20"/>
        </w:rPr>
        <w:t>, para</w:t>
      </w:r>
      <w:r w:rsidR="00344E9B">
        <w:rPr>
          <w:sz w:val="20"/>
        </w:rPr>
        <w:t>.</w:t>
      </w:r>
      <w:r w:rsidR="00987E78">
        <w:rPr>
          <w:sz w:val="20"/>
        </w:rPr>
        <w:t xml:space="preserve"> 6</w:t>
      </w:r>
      <w:r w:rsidRPr="001C2556">
        <w:rPr>
          <w:sz w:val="20"/>
        </w:rPr>
        <w:t xml:space="preserve"> (1971).  Nor do we find on the record here that “the number, nature and extent” of the violations indicate that “the licensee cannot be relied upon to operate [the station] in the future in accordance with the requirements of its licenses and the Commission’s Rules.”  </w:t>
      </w:r>
      <w:r w:rsidRPr="001C2556">
        <w:rPr>
          <w:i/>
          <w:sz w:val="20"/>
        </w:rPr>
        <w:t xml:space="preserve">Id. </w:t>
      </w:r>
      <w:r w:rsidRPr="001C2556">
        <w:rPr>
          <w:sz w:val="20"/>
        </w:rPr>
        <w:t>at 200</w:t>
      </w:r>
      <w:r w:rsidR="00987E78">
        <w:rPr>
          <w:sz w:val="20"/>
        </w:rPr>
        <w:t>, para. 10</w:t>
      </w:r>
      <w:r w:rsidRPr="001C2556">
        <w:rPr>
          <w:sz w:val="20"/>
        </w:rPr>
        <w:t>.</w:t>
      </w:r>
    </w:p>
  </w:footnote>
  <w:footnote w:id="37">
    <w:p w:rsidR="009B6ACD" w:rsidRPr="001C2556" w:rsidP="000F7218">
      <w:pPr>
        <w:pStyle w:val="FootnoteText"/>
      </w:pPr>
      <w:r w:rsidRPr="001C2556">
        <w:rPr>
          <w:rStyle w:val="FootnoteReference"/>
        </w:rPr>
        <w:footnoteRef/>
      </w:r>
      <w:r w:rsidRPr="001C2556">
        <w:t xml:space="preserve"> </w:t>
      </w:r>
      <w:r w:rsidRPr="001C2556">
        <w:rPr>
          <w:i/>
        </w:rPr>
        <w:t>See</w:t>
      </w:r>
      <w:r w:rsidRPr="001C2556">
        <w:t xml:space="preserve"> 47 U.S.C. § 309(k)(2).</w:t>
      </w:r>
    </w:p>
  </w:footnote>
  <w:footnote w:id="38">
    <w:p w:rsidR="009B6ACD" w:rsidRPr="001C2556" w:rsidP="009E794A">
      <w:pPr>
        <w:pStyle w:val="Footer"/>
        <w:spacing w:after="120"/>
        <w:rPr>
          <w:sz w:val="20"/>
        </w:rPr>
      </w:pPr>
      <w:r w:rsidRPr="001C2556">
        <w:rPr>
          <w:rStyle w:val="FootnoteReference"/>
        </w:rPr>
        <w:footnoteRef/>
      </w:r>
      <w:r w:rsidRPr="001C2556">
        <w:rPr>
          <w:sz w:val="20"/>
        </w:rPr>
        <w:t xml:space="preserve"> </w:t>
      </w:r>
      <w:r w:rsidRPr="001C2556">
        <w:rPr>
          <w:i/>
          <w:sz w:val="20"/>
        </w:rPr>
        <w:t xml:space="preserve">See, e.g., </w:t>
      </w:r>
      <w:r w:rsidR="00102DDA">
        <w:rPr>
          <w:i/>
          <w:sz w:val="20"/>
        </w:rPr>
        <w:t>Rama Commc’ns,</w:t>
      </w:r>
      <w:r w:rsidR="009D5DE0">
        <w:rPr>
          <w:i/>
          <w:sz w:val="20"/>
        </w:rPr>
        <w:t xml:space="preserve"> Inc., </w:t>
      </w:r>
      <w:r w:rsidRPr="001C2556">
        <w:rPr>
          <w:sz w:val="20"/>
        </w:rPr>
        <w:t>Memorandum Opinion and Order and Notice of Apparent Liability,</w:t>
      </w:r>
      <w:r w:rsidRPr="001C2556" w:rsidR="0090432A">
        <w:rPr>
          <w:sz w:val="20"/>
        </w:rPr>
        <w:t xml:space="preserve"> </w:t>
      </w:r>
      <w:r w:rsidR="00DD5B53">
        <w:rPr>
          <w:sz w:val="20"/>
        </w:rPr>
        <w:t>31</w:t>
      </w:r>
      <w:r w:rsidRPr="001C2556" w:rsidR="0090432A">
        <w:rPr>
          <w:sz w:val="20"/>
        </w:rPr>
        <w:t xml:space="preserve"> FCC </w:t>
      </w:r>
      <w:r w:rsidRPr="001C2556" w:rsidR="0090432A">
        <w:rPr>
          <w:sz w:val="20"/>
        </w:rPr>
        <w:t>Rcd</w:t>
      </w:r>
      <w:r w:rsidRPr="001C2556" w:rsidR="0090432A">
        <w:rPr>
          <w:sz w:val="20"/>
        </w:rPr>
        <w:t xml:space="preserve"> </w:t>
      </w:r>
      <w:r w:rsidR="00DD5B53">
        <w:rPr>
          <w:sz w:val="20"/>
        </w:rPr>
        <w:t>6939</w:t>
      </w:r>
      <w:r w:rsidRPr="001C2556" w:rsidR="0090432A">
        <w:rPr>
          <w:sz w:val="20"/>
        </w:rPr>
        <w:t xml:space="preserve"> (MB 201</w:t>
      </w:r>
      <w:r w:rsidR="00DD5B53">
        <w:rPr>
          <w:sz w:val="20"/>
        </w:rPr>
        <w:t>6</w:t>
      </w:r>
      <w:r w:rsidRPr="001C2556" w:rsidR="0090432A">
        <w:rPr>
          <w:sz w:val="20"/>
        </w:rPr>
        <w:t>) (</w:t>
      </w:r>
      <w:r w:rsidR="00102DDA">
        <w:rPr>
          <w:sz w:val="20"/>
        </w:rPr>
        <w:t>two</w:t>
      </w:r>
      <w:r w:rsidRPr="001C2556" w:rsidR="0090432A">
        <w:rPr>
          <w:sz w:val="20"/>
        </w:rPr>
        <w:t xml:space="preserve">-year renewal granted for failing to </w:t>
      </w:r>
      <w:r w:rsidRPr="001C2556" w:rsidR="0090432A">
        <w:rPr>
          <w:sz w:val="20"/>
        </w:rPr>
        <w:t>prepare  issues</w:t>
      </w:r>
      <w:r w:rsidR="00C14823">
        <w:rPr>
          <w:sz w:val="20"/>
        </w:rPr>
        <w:t xml:space="preserve"> and p</w:t>
      </w:r>
      <w:r w:rsidRPr="001C2556" w:rsidR="0090432A">
        <w:rPr>
          <w:sz w:val="20"/>
        </w:rPr>
        <w:t>rograms lists during the license term)</w:t>
      </w:r>
      <w:r w:rsidRPr="001C2556" w:rsidR="00C871E4">
        <w:rPr>
          <w:sz w:val="20"/>
        </w:rPr>
        <w:t>.</w:t>
      </w:r>
    </w:p>
  </w:footnote>
  <w:footnote w:id="39">
    <w:p w:rsidR="00673356" w:rsidRPr="00AB0947" w:rsidP="00344E9B">
      <w:pPr>
        <w:pStyle w:val="FootnoteText"/>
        <w:rPr>
          <w:rFonts w:eastAsia="Calibri"/>
        </w:rPr>
      </w:pPr>
      <w:r>
        <w:rPr>
          <w:rStyle w:val="FootnoteReference"/>
        </w:rPr>
        <w:footnoteRef/>
      </w:r>
      <w:r>
        <w:t xml:space="preserve"> </w:t>
      </w:r>
      <w:r w:rsidRPr="00AB0947">
        <w:t>Payments made using the Commission’s Fee Filer system do not require the submission of an FCC Form 159.</w:t>
      </w:r>
    </w:p>
  </w:footnote>
  <w:footnote w:id="40">
    <w:p w:rsidR="00673356" w:rsidRPr="00AB0947" w:rsidP="00344E9B">
      <w:pPr>
        <w:pStyle w:val="FootnoteText"/>
      </w:pPr>
      <w:r w:rsidRPr="00AB0947">
        <w:rPr>
          <w:rStyle w:val="FootnoteReference"/>
        </w:rPr>
        <w:footnoteRef/>
      </w:r>
      <w:r w:rsidRPr="00AB0947">
        <w:t xml:space="preserve"> For questions regarding payment procedures, please contact the Financial Operations Group Help Desk by phone at 1-877-480-3201 (option #6), or by e</w:t>
      </w:r>
      <w:r w:rsidR="00FF274E">
        <w:t>-</w:t>
      </w:r>
      <w:r w:rsidRPr="00AB0947">
        <w:t>mail at ARINQUIRIES@fcc.gov.</w:t>
      </w:r>
    </w:p>
  </w:footnote>
  <w:footnote w:id="41">
    <w:p w:rsidR="00673356" w:rsidRPr="00AB0947" w:rsidP="00471874">
      <w:pPr>
        <w:pStyle w:val="FootnoteText"/>
        <w:rPr>
          <w:rFonts w:ascii="Calibri" w:hAnsi="Calibri"/>
        </w:rPr>
      </w:pPr>
      <w:r w:rsidRPr="00AB0947">
        <w:rPr>
          <w:rStyle w:val="FootnoteReference"/>
        </w:rPr>
        <w:footnoteRef/>
      </w:r>
      <w:r w:rsidRPr="00AB0947">
        <w:t xml:space="preserve"> Instructions for completing the form may be obtained at http://www.fcc.gov/Forms/Form159/159.pdf. </w:t>
      </w:r>
    </w:p>
  </w:footnote>
  <w:footnote w:id="42">
    <w:p w:rsidR="00C74691" w:rsidP="00FF274E">
      <w:pPr>
        <w:pStyle w:val="Footer"/>
        <w:spacing w:after="120"/>
        <w:rPr>
          <w:sz w:val="20"/>
        </w:rPr>
      </w:pPr>
      <w:r w:rsidRPr="001C2556">
        <w:rPr>
          <w:rStyle w:val="FootnoteReference"/>
        </w:rPr>
        <w:footnoteRef/>
      </w:r>
      <w:r w:rsidRPr="001C2556">
        <w:rPr>
          <w:sz w:val="20"/>
        </w:rPr>
        <w:t xml:space="preserve"> </w:t>
      </w:r>
      <w:r w:rsidRPr="001C2556">
        <w:rPr>
          <w:i/>
          <w:sz w:val="20"/>
        </w:rPr>
        <w:t>See</w:t>
      </w:r>
      <w:r w:rsidRPr="001C2556">
        <w:rPr>
          <w:sz w:val="20"/>
        </w:rPr>
        <w:t xml:space="preserve"> 47 CF</w:t>
      </w:r>
      <w:r>
        <w:rPr>
          <w:sz w:val="20"/>
        </w:rPr>
        <w:t>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4691" w:rsidP="008D4336">
    <w:pPr>
      <w:pStyle w:val="Header"/>
    </w:pPr>
    <w:r>
      <w:tab/>
      <w:t>Federal Communications Commission</w:t>
    </w:r>
    <w:r>
      <w:tab/>
      <w:t>DA 1</w:t>
    </w:r>
    <w:r w:rsidR="00911F9F">
      <w:t>9</w:t>
    </w:r>
    <w:r>
      <w:t>-</w:t>
    </w:r>
    <w:r w:rsidR="00C3265B">
      <w:t>933</w:t>
    </w:r>
  </w:p>
  <w:p w:rsidR="00C74691" w:rsidP="008D4336">
    <w:pPr>
      <w:pStyle w:val="Header"/>
    </w:pPr>
    <w:r>
      <w:rPr>
        <w:noProof/>
      </w:rPr>
      <w:pict>
        <v:line id="_x0000_s2049" style="position:absolute;z-index:251659264" from="0,1.75pt" to="468pt,1.75pt" o:allowincell="f" strokeweight="1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4691" w:rsidRPr="008D4336" w:rsidP="008D4336">
    <w:pPr>
      <w:pStyle w:val="Header"/>
    </w:pPr>
    <w:r w:rsidRPr="008D4336">
      <w:tab/>
      <w:t>Federal Communications Commission</w:t>
    </w:r>
    <w:r w:rsidRPr="008D4336">
      <w:tab/>
      <w:t>DA 1</w:t>
    </w:r>
    <w:r w:rsidRPr="008D4336" w:rsidR="00901E8B">
      <w:t>9</w:t>
    </w:r>
    <w:r w:rsidRPr="008D4336">
      <w:t>-</w:t>
    </w:r>
    <w:r w:rsidRPr="008D4336" w:rsidR="00C3265B">
      <w:t>933</w:t>
    </w:r>
  </w:p>
  <w:p w:rsidR="00C74691" w:rsidP="008D4336">
    <w:pPr>
      <w:pStyle w:val="Header"/>
    </w:pPr>
    <w:r>
      <w:rPr>
        <w:noProof/>
      </w:rPr>
      <w:pict>
        <v:line id="_x0000_s2050" style="position:absolute;z-index:251658240" from="0,1.75pt" to="468pt,1.75pt" o:allowincell="f" strokeweight="1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034A11"/>
    <w:multiLevelType w:val="hybridMultilevel"/>
    <w:tmpl w:val="205E0BCE"/>
    <w:lvl w:ilvl="0">
      <w:start w:val="2"/>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1C9124E9"/>
    <w:multiLevelType w:val="hybridMultilevel"/>
    <w:tmpl w:val="670A836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ED13C4A"/>
    <w:multiLevelType w:val="hybridMultilevel"/>
    <w:tmpl w:val="D49AA188"/>
    <w:lvl w:ilvl="0">
      <w:start w:val="3"/>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D0F1B3D"/>
    <w:multiLevelType w:val="singleLevel"/>
    <w:tmpl w:val="054C89A8"/>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color w:val="auto"/>
        <w:sz w:val="22"/>
        <w:szCs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609764D"/>
    <w:multiLevelType w:val="hybridMultilevel"/>
    <w:tmpl w:val="4FC4973A"/>
    <w:lvl w:ilvl="0">
      <w:start w:val="8"/>
      <w:numFmt w:val="decimal"/>
      <w:lvlText w:val="%1."/>
      <w:lvlJc w:val="left"/>
      <w:pPr>
        <w:tabs>
          <w:tab w:val="num" w:pos="2160"/>
        </w:tabs>
        <w:ind w:left="2160" w:hanging="144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8"/>
  </w:num>
  <w:num w:numId="2">
    <w:abstractNumId w:val="0"/>
  </w:num>
  <w:num w:numId="3">
    <w:abstractNumId w:val="7"/>
  </w:num>
  <w:num w:numId="4">
    <w:abstractNumId w:val="11"/>
  </w:num>
  <w:num w:numId="5">
    <w:abstractNumId w:val="8"/>
  </w:num>
  <w:num w:numId="6">
    <w:abstractNumId w:val="8"/>
  </w:num>
  <w:num w:numId="7">
    <w:abstractNumId w:val="10"/>
    <w:lvlOverride w:ilvl="0">
      <w:startOverride w:val="1"/>
    </w:lvlOverride>
  </w:num>
  <w:num w:numId="8">
    <w:abstractNumId w:val="2"/>
  </w:num>
  <w:num w:numId="9">
    <w:abstractNumId w:val="4"/>
  </w:num>
  <w:num w:numId="10">
    <w:abstractNumId w:val="10"/>
  </w:num>
  <w:num w:numId="11">
    <w:abstractNumId w:val="6"/>
  </w:num>
  <w:num w:numId="12">
    <w:abstractNumId w:val="9"/>
  </w:num>
  <w:num w:numId="13">
    <w:abstractNumId w:val="5"/>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3D"/>
    <w:rsid w:val="00001FD9"/>
    <w:rsid w:val="00022037"/>
    <w:rsid w:val="0003203E"/>
    <w:rsid w:val="00044970"/>
    <w:rsid w:val="000455B0"/>
    <w:rsid w:val="00045707"/>
    <w:rsid w:val="000472BA"/>
    <w:rsid w:val="000530CA"/>
    <w:rsid w:val="00060802"/>
    <w:rsid w:val="0007048B"/>
    <w:rsid w:val="000750D2"/>
    <w:rsid w:val="000A18EB"/>
    <w:rsid w:val="000A2439"/>
    <w:rsid w:val="000A77CD"/>
    <w:rsid w:val="000C7245"/>
    <w:rsid w:val="000E2586"/>
    <w:rsid w:val="000F7218"/>
    <w:rsid w:val="00102DDA"/>
    <w:rsid w:val="001255DC"/>
    <w:rsid w:val="0013318E"/>
    <w:rsid w:val="00135482"/>
    <w:rsid w:val="0014025A"/>
    <w:rsid w:val="001418FF"/>
    <w:rsid w:val="00145239"/>
    <w:rsid w:val="001461B2"/>
    <w:rsid w:val="00147050"/>
    <w:rsid w:val="00153134"/>
    <w:rsid w:val="00171FC8"/>
    <w:rsid w:val="0017783B"/>
    <w:rsid w:val="001A24E7"/>
    <w:rsid w:val="001A4967"/>
    <w:rsid w:val="001A69A4"/>
    <w:rsid w:val="001B330F"/>
    <w:rsid w:val="001B42FD"/>
    <w:rsid w:val="001B5124"/>
    <w:rsid w:val="001C15EB"/>
    <w:rsid w:val="001C1EB4"/>
    <w:rsid w:val="001C2556"/>
    <w:rsid w:val="001D291C"/>
    <w:rsid w:val="001E7420"/>
    <w:rsid w:val="002005C2"/>
    <w:rsid w:val="0021150F"/>
    <w:rsid w:val="002138D5"/>
    <w:rsid w:val="00222EF9"/>
    <w:rsid w:val="002268DE"/>
    <w:rsid w:val="00240E25"/>
    <w:rsid w:val="00251B3B"/>
    <w:rsid w:val="00251D9F"/>
    <w:rsid w:val="00266E2B"/>
    <w:rsid w:val="0027189C"/>
    <w:rsid w:val="00273998"/>
    <w:rsid w:val="002A13BA"/>
    <w:rsid w:val="002A3656"/>
    <w:rsid w:val="002D5221"/>
    <w:rsid w:val="002D7FB2"/>
    <w:rsid w:val="002E2D8D"/>
    <w:rsid w:val="00302E6F"/>
    <w:rsid w:val="00310AEE"/>
    <w:rsid w:val="003333DC"/>
    <w:rsid w:val="00344185"/>
    <w:rsid w:val="00344E9B"/>
    <w:rsid w:val="0038668C"/>
    <w:rsid w:val="00387CC9"/>
    <w:rsid w:val="0039235F"/>
    <w:rsid w:val="003B24B5"/>
    <w:rsid w:val="003C3AF9"/>
    <w:rsid w:val="003D16F2"/>
    <w:rsid w:val="003E0AD5"/>
    <w:rsid w:val="003F51F5"/>
    <w:rsid w:val="003F7938"/>
    <w:rsid w:val="00404002"/>
    <w:rsid w:val="00413C68"/>
    <w:rsid w:val="0042788D"/>
    <w:rsid w:val="004315FF"/>
    <w:rsid w:val="00431BF3"/>
    <w:rsid w:val="00434972"/>
    <w:rsid w:val="00440F74"/>
    <w:rsid w:val="00445A3B"/>
    <w:rsid w:val="00451A98"/>
    <w:rsid w:val="0046140A"/>
    <w:rsid w:val="00462365"/>
    <w:rsid w:val="00463374"/>
    <w:rsid w:val="00464F5D"/>
    <w:rsid w:val="00471874"/>
    <w:rsid w:val="0048100A"/>
    <w:rsid w:val="00484BF3"/>
    <w:rsid w:val="0049583B"/>
    <w:rsid w:val="004C64B6"/>
    <w:rsid w:val="004C799A"/>
    <w:rsid w:val="004D0D46"/>
    <w:rsid w:val="004F7817"/>
    <w:rsid w:val="0051134F"/>
    <w:rsid w:val="0052283C"/>
    <w:rsid w:val="00523461"/>
    <w:rsid w:val="0055017D"/>
    <w:rsid w:val="0055422F"/>
    <w:rsid w:val="00565DF2"/>
    <w:rsid w:val="005754A9"/>
    <w:rsid w:val="005864D1"/>
    <w:rsid w:val="0059483D"/>
    <w:rsid w:val="00596163"/>
    <w:rsid w:val="0059707B"/>
    <w:rsid w:val="005D6031"/>
    <w:rsid w:val="005E0E39"/>
    <w:rsid w:val="005E1A95"/>
    <w:rsid w:val="005E2E27"/>
    <w:rsid w:val="005F0E87"/>
    <w:rsid w:val="005F474E"/>
    <w:rsid w:val="00602040"/>
    <w:rsid w:val="006103F2"/>
    <w:rsid w:val="006675B6"/>
    <w:rsid w:val="006700E5"/>
    <w:rsid w:val="00673356"/>
    <w:rsid w:val="006956EF"/>
    <w:rsid w:val="00695D98"/>
    <w:rsid w:val="00695FBD"/>
    <w:rsid w:val="006967BC"/>
    <w:rsid w:val="006B246E"/>
    <w:rsid w:val="006B3921"/>
    <w:rsid w:val="006B3D28"/>
    <w:rsid w:val="006D020E"/>
    <w:rsid w:val="006D65D4"/>
    <w:rsid w:val="006F5EAE"/>
    <w:rsid w:val="006F7D37"/>
    <w:rsid w:val="007062D3"/>
    <w:rsid w:val="007138E2"/>
    <w:rsid w:val="0072537F"/>
    <w:rsid w:val="0073095E"/>
    <w:rsid w:val="007320C0"/>
    <w:rsid w:val="0074425C"/>
    <w:rsid w:val="00783DC2"/>
    <w:rsid w:val="0079268D"/>
    <w:rsid w:val="007B41D8"/>
    <w:rsid w:val="007C4D3A"/>
    <w:rsid w:val="007D601A"/>
    <w:rsid w:val="007E4E54"/>
    <w:rsid w:val="007E64CF"/>
    <w:rsid w:val="0080603F"/>
    <w:rsid w:val="00814CB5"/>
    <w:rsid w:val="00820C29"/>
    <w:rsid w:val="0084168C"/>
    <w:rsid w:val="008416DA"/>
    <w:rsid w:val="0084488C"/>
    <w:rsid w:val="008475ED"/>
    <w:rsid w:val="00850348"/>
    <w:rsid w:val="008570A5"/>
    <w:rsid w:val="00890156"/>
    <w:rsid w:val="00891A84"/>
    <w:rsid w:val="008945C8"/>
    <w:rsid w:val="008C3CA8"/>
    <w:rsid w:val="008C746D"/>
    <w:rsid w:val="008D30C5"/>
    <w:rsid w:val="008D4336"/>
    <w:rsid w:val="008E1D33"/>
    <w:rsid w:val="008E29F6"/>
    <w:rsid w:val="00901E8B"/>
    <w:rsid w:val="0090432A"/>
    <w:rsid w:val="00911F9F"/>
    <w:rsid w:val="009216E8"/>
    <w:rsid w:val="009270C7"/>
    <w:rsid w:val="0093051E"/>
    <w:rsid w:val="0095017E"/>
    <w:rsid w:val="00966218"/>
    <w:rsid w:val="009804ED"/>
    <w:rsid w:val="0098609D"/>
    <w:rsid w:val="009862F3"/>
    <w:rsid w:val="00987E78"/>
    <w:rsid w:val="00990771"/>
    <w:rsid w:val="0099180E"/>
    <w:rsid w:val="009A1ACD"/>
    <w:rsid w:val="009B6ACD"/>
    <w:rsid w:val="009C01F7"/>
    <w:rsid w:val="009D5DE0"/>
    <w:rsid w:val="009E229D"/>
    <w:rsid w:val="009E794A"/>
    <w:rsid w:val="00A022C5"/>
    <w:rsid w:val="00A066AB"/>
    <w:rsid w:val="00A20504"/>
    <w:rsid w:val="00A27376"/>
    <w:rsid w:val="00A453AA"/>
    <w:rsid w:val="00A52908"/>
    <w:rsid w:val="00AA2835"/>
    <w:rsid w:val="00AB0947"/>
    <w:rsid w:val="00AB4424"/>
    <w:rsid w:val="00AF1173"/>
    <w:rsid w:val="00B259F0"/>
    <w:rsid w:val="00B25AEC"/>
    <w:rsid w:val="00B42501"/>
    <w:rsid w:val="00B5397F"/>
    <w:rsid w:val="00B53B13"/>
    <w:rsid w:val="00B96045"/>
    <w:rsid w:val="00BB11DE"/>
    <w:rsid w:val="00BC1576"/>
    <w:rsid w:val="00BC41FF"/>
    <w:rsid w:val="00BD47EB"/>
    <w:rsid w:val="00BD743B"/>
    <w:rsid w:val="00BE5684"/>
    <w:rsid w:val="00C11307"/>
    <w:rsid w:val="00C14823"/>
    <w:rsid w:val="00C3265B"/>
    <w:rsid w:val="00C34FDC"/>
    <w:rsid w:val="00C42371"/>
    <w:rsid w:val="00C503A3"/>
    <w:rsid w:val="00C57DC7"/>
    <w:rsid w:val="00C65DD3"/>
    <w:rsid w:val="00C66030"/>
    <w:rsid w:val="00C731DD"/>
    <w:rsid w:val="00C74691"/>
    <w:rsid w:val="00C871E4"/>
    <w:rsid w:val="00CB18BF"/>
    <w:rsid w:val="00CB3E9E"/>
    <w:rsid w:val="00CB5D24"/>
    <w:rsid w:val="00CC06AA"/>
    <w:rsid w:val="00CC5631"/>
    <w:rsid w:val="00D004F2"/>
    <w:rsid w:val="00D11C1D"/>
    <w:rsid w:val="00D21B9F"/>
    <w:rsid w:val="00D3565D"/>
    <w:rsid w:val="00D46B77"/>
    <w:rsid w:val="00D500A0"/>
    <w:rsid w:val="00D67B4F"/>
    <w:rsid w:val="00D7494D"/>
    <w:rsid w:val="00D77805"/>
    <w:rsid w:val="00D92FA0"/>
    <w:rsid w:val="00DA0CC6"/>
    <w:rsid w:val="00DB2804"/>
    <w:rsid w:val="00DC0822"/>
    <w:rsid w:val="00DC3633"/>
    <w:rsid w:val="00DD4F55"/>
    <w:rsid w:val="00DD5B53"/>
    <w:rsid w:val="00DE4321"/>
    <w:rsid w:val="00E07AE8"/>
    <w:rsid w:val="00E174C0"/>
    <w:rsid w:val="00E308F3"/>
    <w:rsid w:val="00E42C85"/>
    <w:rsid w:val="00E43CB5"/>
    <w:rsid w:val="00E5030D"/>
    <w:rsid w:val="00E52533"/>
    <w:rsid w:val="00E6083F"/>
    <w:rsid w:val="00E63F09"/>
    <w:rsid w:val="00E90059"/>
    <w:rsid w:val="00E943F4"/>
    <w:rsid w:val="00EA0841"/>
    <w:rsid w:val="00EB1EC8"/>
    <w:rsid w:val="00EC1A39"/>
    <w:rsid w:val="00EC1B6D"/>
    <w:rsid w:val="00EC2068"/>
    <w:rsid w:val="00ED2B76"/>
    <w:rsid w:val="00F16213"/>
    <w:rsid w:val="00F217F2"/>
    <w:rsid w:val="00F23E25"/>
    <w:rsid w:val="00F24C91"/>
    <w:rsid w:val="00F55DF7"/>
    <w:rsid w:val="00F57CED"/>
    <w:rsid w:val="00F67EE6"/>
    <w:rsid w:val="00F73D7D"/>
    <w:rsid w:val="00F823CC"/>
    <w:rsid w:val="00F965D9"/>
    <w:rsid w:val="00FA4A29"/>
    <w:rsid w:val="00FC1F37"/>
    <w:rsid w:val="00FC2710"/>
    <w:rsid w:val="00FE4288"/>
    <w:rsid w:val="00FF27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4E712E9-98E2-4EB5-B54E-878BF3F6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F0"/>
    <w:pPr>
      <w:widowControl w:val="0"/>
    </w:pPr>
    <w:rPr>
      <w:snapToGrid w:val="0"/>
      <w:kern w:val="28"/>
      <w:sz w:val="22"/>
    </w:rPr>
  </w:style>
  <w:style w:type="paragraph" w:styleId="Heading1">
    <w:name w:val="heading 1"/>
    <w:basedOn w:val="Normal"/>
    <w:next w:val="ParaNum"/>
    <w:link w:val="Heading1Char"/>
    <w:qFormat/>
    <w:rsid w:val="00B259F0"/>
    <w:pPr>
      <w:keepNext/>
      <w:numPr>
        <w:numId w:val="1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259F0"/>
    <w:pPr>
      <w:keepNext/>
      <w:numPr>
        <w:ilvl w:val="1"/>
        <w:numId w:val="11"/>
      </w:numPr>
      <w:spacing w:after="120"/>
      <w:outlineLvl w:val="1"/>
    </w:pPr>
    <w:rPr>
      <w:b/>
    </w:rPr>
  </w:style>
  <w:style w:type="paragraph" w:styleId="Heading3">
    <w:name w:val="heading 3"/>
    <w:basedOn w:val="Normal"/>
    <w:next w:val="ParaNum"/>
    <w:link w:val="Heading3Char"/>
    <w:qFormat/>
    <w:rsid w:val="00B259F0"/>
    <w:pPr>
      <w:keepNext/>
      <w:numPr>
        <w:ilvl w:val="2"/>
        <w:numId w:val="11"/>
      </w:numPr>
      <w:tabs>
        <w:tab w:val="left" w:pos="2160"/>
      </w:tabs>
      <w:spacing w:after="120"/>
      <w:outlineLvl w:val="2"/>
    </w:pPr>
    <w:rPr>
      <w:b/>
    </w:rPr>
  </w:style>
  <w:style w:type="paragraph" w:styleId="Heading4">
    <w:name w:val="heading 4"/>
    <w:basedOn w:val="Normal"/>
    <w:next w:val="ParaNum"/>
    <w:link w:val="Heading4Char"/>
    <w:qFormat/>
    <w:rsid w:val="00B259F0"/>
    <w:pPr>
      <w:keepNext/>
      <w:numPr>
        <w:ilvl w:val="3"/>
        <w:numId w:val="11"/>
      </w:numPr>
      <w:tabs>
        <w:tab w:val="left" w:pos="2880"/>
      </w:tabs>
      <w:spacing w:after="120"/>
      <w:outlineLvl w:val="3"/>
    </w:pPr>
    <w:rPr>
      <w:b/>
    </w:rPr>
  </w:style>
  <w:style w:type="paragraph" w:styleId="Heading5">
    <w:name w:val="heading 5"/>
    <w:basedOn w:val="Normal"/>
    <w:next w:val="ParaNum"/>
    <w:link w:val="Heading5Char"/>
    <w:qFormat/>
    <w:rsid w:val="00B259F0"/>
    <w:pPr>
      <w:keepNext/>
      <w:numPr>
        <w:ilvl w:val="4"/>
        <w:numId w:val="11"/>
      </w:numPr>
      <w:tabs>
        <w:tab w:val="left" w:pos="3600"/>
      </w:tabs>
      <w:suppressAutoHyphens/>
      <w:spacing w:after="120"/>
      <w:outlineLvl w:val="4"/>
    </w:pPr>
    <w:rPr>
      <w:b/>
    </w:rPr>
  </w:style>
  <w:style w:type="paragraph" w:styleId="Heading6">
    <w:name w:val="heading 6"/>
    <w:basedOn w:val="Normal"/>
    <w:next w:val="ParaNum"/>
    <w:link w:val="Heading6Char"/>
    <w:qFormat/>
    <w:rsid w:val="00B259F0"/>
    <w:pPr>
      <w:numPr>
        <w:ilvl w:val="5"/>
        <w:numId w:val="11"/>
      </w:numPr>
      <w:tabs>
        <w:tab w:val="left" w:pos="4320"/>
      </w:tabs>
      <w:spacing w:after="120"/>
      <w:outlineLvl w:val="5"/>
    </w:pPr>
    <w:rPr>
      <w:b/>
    </w:rPr>
  </w:style>
  <w:style w:type="paragraph" w:styleId="Heading7">
    <w:name w:val="heading 7"/>
    <w:basedOn w:val="Normal"/>
    <w:next w:val="ParaNum"/>
    <w:link w:val="Heading7Char"/>
    <w:qFormat/>
    <w:rsid w:val="00B259F0"/>
    <w:pPr>
      <w:numPr>
        <w:ilvl w:val="6"/>
        <w:numId w:val="11"/>
      </w:numPr>
      <w:tabs>
        <w:tab w:val="left" w:pos="5040"/>
      </w:tabs>
      <w:spacing w:after="120"/>
      <w:ind w:left="5040" w:hanging="720"/>
      <w:outlineLvl w:val="6"/>
    </w:pPr>
    <w:rPr>
      <w:b/>
    </w:rPr>
  </w:style>
  <w:style w:type="paragraph" w:styleId="Heading8">
    <w:name w:val="heading 8"/>
    <w:basedOn w:val="Normal"/>
    <w:next w:val="ParaNum"/>
    <w:link w:val="Heading8Char"/>
    <w:qFormat/>
    <w:rsid w:val="00B259F0"/>
    <w:pPr>
      <w:numPr>
        <w:ilvl w:val="7"/>
        <w:numId w:val="11"/>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259F0"/>
    <w:pPr>
      <w:numPr>
        <w:ilvl w:val="8"/>
        <w:numId w:val="1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259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59F0"/>
  </w:style>
  <w:style w:type="paragraph" w:customStyle="1" w:styleId="ParaNum">
    <w:name w:val="ParaNum"/>
    <w:basedOn w:val="Normal"/>
    <w:link w:val="ParaNumChar"/>
    <w:rsid w:val="00B259F0"/>
    <w:pPr>
      <w:numPr>
        <w:numId w:val="10"/>
      </w:numPr>
      <w:tabs>
        <w:tab w:val="clear" w:pos="1080"/>
        <w:tab w:val="num" w:pos="1440"/>
      </w:tabs>
      <w:spacing w:after="120"/>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f,fn,rrfootnote"/>
    <w:link w:val="FootnoteTextChar2"/>
    <w:rsid w:val="00B259F0"/>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B259F0"/>
    <w:rPr>
      <w:rFonts w:ascii="Times New Roman" w:hAnsi="Times New Roman"/>
      <w:dstrike w:val="0"/>
      <w:color w:val="auto"/>
      <w:sz w:val="20"/>
      <w:vertAlign w:val="superscript"/>
    </w:rPr>
  </w:style>
  <w:style w:type="paragraph" w:styleId="Header">
    <w:name w:val="header"/>
    <w:basedOn w:val="Normal"/>
    <w:autoRedefine/>
    <w:rsid w:val="00B259F0"/>
    <w:pPr>
      <w:tabs>
        <w:tab w:val="center" w:pos="4680"/>
        <w:tab w:val="right" w:pos="9360"/>
      </w:tabs>
    </w:pPr>
    <w:rPr>
      <w:b/>
    </w:rPr>
  </w:style>
  <w:style w:type="paragraph" w:styleId="Footer">
    <w:name w:val="footer"/>
    <w:basedOn w:val="Normal"/>
    <w:link w:val="FooterChar"/>
    <w:uiPriority w:val="99"/>
    <w:rsid w:val="00B259F0"/>
    <w:pPr>
      <w:tabs>
        <w:tab w:val="center" w:pos="4320"/>
        <w:tab w:val="right" w:pos="8640"/>
      </w:tabs>
    </w:pPr>
  </w:style>
  <w:style w:type="character" w:styleId="PageNumber">
    <w:name w:val="page number"/>
    <w:basedOn w:val="DefaultParagraphFont"/>
    <w:rsid w:val="00B259F0"/>
  </w:style>
  <w:style w:type="character" w:customStyle="1" w:styleId="FootnoteTextChar2">
    <w:name w:val="Footnote Text Char2"/>
    <w:aliases w:val="Footnote Text Char Char Char4 Char Char,Footnote Text Char Char1,Footnote Text Char1 Char,Footnote Text Char4 Char1 Char Char,Footnote Text Char4 Char1 Char Char Char Char Char,Footnote Text Char7 Char Char,f Char,fn Char"/>
    <w:link w:val="FootnoteText"/>
  </w:style>
  <w:style w:type="character" w:customStyle="1" w:styleId="FootnoteTextCharChar">
    <w:name w:val="Footnote Text Char Char"/>
    <w:aliases w:val="Footnote Text Char Char Char4 Char Char Char,Footnote Text Char1 Char Char,Footnote Text Char1 Char1,Footnote Text Char4 Char1 Char Char Char,Footnote Text Char7 Char Char Char"/>
    <w:rPr>
      <w:lang w:val="en-US" w:eastAsia="en-US" w:bidi="ar-SA"/>
    </w:rPr>
  </w:style>
  <w:style w:type="paragraph" w:styleId="BalloonText">
    <w:name w:val="Balloon Text"/>
    <w:basedOn w:val="Normal"/>
    <w:semiHidden/>
    <w:rPr>
      <w:rFonts w:ascii="Tahoma" w:hAnsi="Tahoma" w:cs="Tahoma"/>
      <w:sz w:val="16"/>
      <w:szCs w:val="16"/>
    </w:rPr>
  </w:style>
  <w:style w:type="character" w:styleId="Hyperlink">
    <w:name w:val="Hyperlink"/>
    <w:rsid w:val="00B259F0"/>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apple-converted-space">
    <w:name w:val="apple-converted-space"/>
    <w:basedOn w:val="DefaultParagraphFont"/>
    <w:rsid w:val="00440F74"/>
  </w:style>
  <w:style w:type="character" w:customStyle="1" w:styleId="searchterm">
    <w:name w:val="searchterm"/>
    <w:basedOn w:val="DefaultParagraphFont"/>
    <w:rsid w:val="00440F74"/>
  </w:style>
  <w:style w:type="character" w:customStyle="1" w:styleId="ParaNumChar">
    <w:name w:val="ParaNum Char"/>
    <w:link w:val="ParaNum"/>
    <w:locked/>
    <w:rsid w:val="001B330F"/>
    <w:rPr>
      <w:snapToGrid w:val="0"/>
      <w:kern w:val="28"/>
      <w:sz w:val="22"/>
    </w:rPr>
  </w:style>
  <w:style w:type="character" w:customStyle="1" w:styleId="FooterChar">
    <w:name w:val="Footer Char"/>
    <w:link w:val="Footer"/>
    <w:uiPriority w:val="99"/>
    <w:rsid w:val="00B259F0"/>
    <w:rPr>
      <w:snapToGrid w:val="0"/>
      <w:kern w:val="28"/>
      <w:sz w:val="22"/>
    </w:rPr>
  </w:style>
  <w:style w:type="character" w:customStyle="1" w:styleId="Heading1Char">
    <w:name w:val="Heading 1 Char"/>
    <w:link w:val="Heading1"/>
    <w:rsid w:val="008D4336"/>
    <w:rPr>
      <w:rFonts w:ascii="Times New Roman Bold" w:hAnsi="Times New Roman Bold"/>
      <w:b/>
      <w:caps/>
      <w:snapToGrid w:val="0"/>
      <w:kern w:val="28"/>
      <w:sz w:val="22"/>
    </w:rPr>
  </w:style>
  <w:style w:type="character" w:customStyle="1" w:styleId="Heading2Char">
    <w:name w:val="Heading 2 Char"/>
    <w:link w:val="Heading2"/>
    <w:rsid w:val="008D4336"/>
    <w:rPr>
      <w:b/>
      <w:snapToGrid w:val="0"/>
      <w:kern w:val="28"/>
      <w:sz w:val="22"/>
    </w:rPr>
  </w:style>
  <w:style w:type="character" w:customStyle="1" w:styleId="Heading3Char">
    <w:name w:val="Heading 3 Char"/>
    <w:link w:val="Heading3"/>
    <w:rsid w:val="008D4336"/>
    <w:rPr>
      <w:b/>
      <w:snapToGrid w:val="0"/>
      <w:kern w:val="28"/>
      <w:sz w:val="22"/>
    </w:rPr>
  </w:style>
  <w:style w:type="character" w:customStyle="1" w:styleId="Heading4Char">
    <w:name w:val="Heading 4 Char"/>
    <w:link w:val="Heading4"/>
    <w:rsid w:val="008D4336"/>
    <w:rPr>
      <w:b/>
      <w:snapToGrid w:val="0"/>
      <w:kern w:val="28"/>
      <w:sz w:val="22"/>
    </w:rPr>
  </w:style>
  <w:style w:type="character" w:customStyle="1" w:styleId="Heading5Char">
    <w:name w:val="Heading 5 Char"/>
    <w:link w:val="Heading5"/>
    <w:rsid w:val="008D4336"/>
    <w:rPr>
      <w:b/>
      <w:snapToGrid w:val="0"/>
      <w:kern w:val="28"/>
      <w:sz w:val="22"/>
    </w:rPr>
  </w:style>
  <w:style w:type="character" w:customStyle="1" w:styleId="Heading6Char">
    <w:name w:val="Heading 6 Char"/>
    <w:link w:val="Heading6"/>
    <w:rsid w:val="008D4336"/>
    <w:rPr>
      <w:b/>
      <w:snapToGrid w:val="0"/>
      <w:kern w:val="28"/>
      <w:sz w:val="22"/>
    </w:rPr>
  </w:style>
  <w:style w:type="character" w:customStyle="1" w:styleId="Heading7Char">
    <w:name w:val="Heading 7 Char"/>
    <w:link w:val="Heading7"/>
    <w:rsid w:val="008D4336"/>
    <w:rPr>
      <w:b/>
      <w:snapToGrid w:val="0"/>
      <w:kern w:val="28"/>
      <w:sz w:val="22"/>
    </w:rPr>
  </w:style>
  <w:style w:type="character" w:customStyle="1" w:styleId="Heading8Char">
    <w:name w:val="Heading 8 Char"/>
    <w:link w:val="Heading8"/>
    <w:rsid w:val="008D4336"/>
    <w:rPr>
      <w:b/>
      <w:snapToGrid w:val="0"/>
      <w:kern w:val="28"/>
      <w:sz w:val="22"/>
    </w:rPr>
  </w:style>
  <w:style w:type="character" w:customStyle="1" w:styleId="Heading9Char">
    <w:name w:val="Heading 9 Char"/>
    <w:link w:val="Heading9"/>
    <w:rsid w:val="008D4336"/>
    <w:rPr>
      <w:b/>
      <w:snapToGrid w:val="0"/>
      <w:kern w:val="28"/>
      <w:sz w:val="22"/>
    </w:rPr>
  </w:style>
  <w:style w:type="paragraph" w:styleId="EndnoteText">
    <w:name w:val="endnote text"/>
    <w:basedOn w:val="Normal"/>
    <w:link w:val="EndnoteTextChar"/>
    <w:rsid w:val="00B259F0"/>
    <w:rPr>
      <w:sz w:val="20"/>
    </w:rPr>
  </w:style>
  <w:style w:type="character" w:customStyle="1" w:styleId="EndnoteTextChar">
    <w:name w:val="Endnote Text Char"/>
    <w:link w:val="EndnoteText"/>
    <w:rsid w:val="008D4336"/>
    <w:rPr>
      <w:snapToGrid w:val="0"/>
      <w:kern w:val="28"/>
    </w:rPr>
  </w:style>
  <w:style w:type="character" w:styleId="EndnoteReference">
    <w:name w:val="endnote reference"/>
    <w:rsid w:val="00B259F0"/>
    <w:rPr>
      <w:vertAlign w:val="superscript"/>
    </w:rPr>
  </w:style>
  <w:style w:type="paragraph" w:styleId="TOC1">
    <w:name w:val="toc 1"/>
    <w:basedOn w:val="Normal"/>
    <w:next w:val="Normal"/>
    <w:rsid w:val="00B259F0"/>
    <w:pPr>
      <w:tabs>
        <w:tab w:val="left" w:pos="360"/>
        <w:tab w:val="right" w:leader="dot" w:pos="9360"/>
      </w:tabs>
      <w:suppressAutoHyphens/>
      <w:ind w:left="360" w:right="720" w:hanging="360"/>
    </w:pPr>
    <w:rPr>
      <w:caps/>
      <w:noProof/>
    </w:rPr>
  </w:style>
  <w:style w:type="paragraph" w:styleId="TOC2">
    <w:name w:val="toc 2"/>
    <w:basedOn w:val="Normal"/>
    <w:next w:val="Normal"/>
    <w:rsid w:val="00B259F0"/>
    <w:pPr>
      <w:tabs>
        <w:tab w:val="left" w:pos="720"/>
        <w:tab w:val="right" w:leader="dot" w:pos="9360"/>
      </w:tabs>
      <w:suppressAutoHyphens/>
      <w:ind w:left="720" w:right="720" w:hanging="360"/>
    </w:pPr>
    <w:rPr>
      <w:noProof/>
    </w:rPr>
  </w:style>
  <w:style w:type="paragraph" w:styleId="TOC3">
    <w:name w:val="toc 3"/>
    <w:basedOn w:val="Normal"/>
    <w:next w:val="Normal"/>
    <w:rsid w:val="00B259F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259F0"/>
    <w:pPr>
      <w:tabs>
        <w:tab w:val="left" w:pos="1440"/>
        <w:tab w:val="right" w:leader="dot" w:pos="9360"/>
      </w:tabs>
      <w:suppressAutoHyphens/>
      <w:ind w:left="1440" w:right="720" w:hanging="360"/>
    </w:pPr>
    <w:rPr>
      <w:noProof/>
    </w:rPr>
  </w:style>
  <w:style w:type="paragraph" w:styleId="TOC5">
    <w:name w:val="toc 5"/>
    <w:basedOn w:val="Normal"/>
    <w:next w:val="Normal"/>
    <w:autoRedefine/>
    <w:rsid w:val="00B259F0"/>
    <w:pPr>
      <w:tabs>
        <w:tab w:val="left" w:pos="1800"/>
        <w:tab w:val="right" w:leader="dot" w:pos="9360"/>
      </w:tabs>
      <w:suppressAutoHyphens/>
      <w:ind w:left="1800" w:right="720" w:hanging="360"/>
    </w:pPr>
    <w:rPr>
      <w:noProof/>
    </w:rPr>
  </w:style>
  <w:style w:type="paragraph" w:styleId="TOC6">
    <w:name w:val="toc 6"/>
    <w:basedOn w:val="Normal"/>
    <w:next w:val="Normal"/>
    <w:autoRedefine/>
    <w:rsid w:val="00B259F0"/>
    <w:pPr>
      <w:tabs>
        <w:tab w:val="left" w:pos="2160"/>
        <w:tab w:val="right" w:leader="dot" w:pos="9360"/>
      </w:tabs>
      <w:suppressAutoHyphens/>
      <w:ind w:left="2160" w:hanging="360"/>
    </w:pPr>
    <w:rPr>
      <w:noProof/>
    </w:rPr>
  </w:style>
  <w:style w:type="paragraph" w:styleId="TOC7">
    <w:name w:val="toc 7"/>
    <w:basedOn w:val="Normal"/>
    <w:next w:val="Normal"/>
    <w:autoRedefine/>
    <w:rsid w:val="00B259F0"/>
    <w:pPr>
      <w:tabs>
        <w:tab w:val="left" w:pos="2520"/>
        <w:tab w:val="right" w:leader="dot" w:pos="9360"/>
      </w:tabs>
      <w:suppressAutoHyphens/>
      <w:ind w:left="2520" w:hanging="360"/>
    </w:pPr>
    <w:rPr>
      <w:noProof/>
    </w:rPr>
  </w:style>
  <w:style w:type="paragraph" w:styleId="TOC8">
    <w:name w:val="toc 8"/>
    <w:basedOn w:val="Normal"/>
    <w:next w:val="Normal"/>
    <w:autoRedefine/>
    <w:rsid w:val="00B259F0"/>
    <w:pPr>
      <w:tabs>
        <w:tab w:val="left" w:pos="2880"/>
        <w:tab w:val="right" w:leader="dot" w:pos="9360"/>
      </w:tabs>
      <w:suppressAutoHyphens/>
      <w:ind w:left="2880" w:hanging="360"/>
    </w:pPr>
    <w:rPr>
      <w:noProof/>
    </w:rPr>
  </w:style>
  <w:style w:type="paragraph" w:styleId="TOC9">
    <w:name w:val="toc 9"/>
    <w:basedOn w:val="Normal"/>
    <w:next w:val="Normal"/>
    <w:autoRedefine/>
    <w:rsid w:val="00B259F0"/>
    <w:pPr>
      <w:tabs>
        <w:tab w:val="left" w:pos="3240"/>
        <w:tab w:val="right" w:leader="dot" w:pos="9360"/>
      </w:tabs>
      <w:suppressAutoHyphens/>
      <w:ind w:left="3240" w:hanging="360"/>
    </w:pPr>
    <w:rPr>
      <w:noProof/>
    </w:rPr>
  </w:style>
  <w:style w:type="paragraph" w:styleId="TOAHeading">
    <w:name w:val="toa heading"/>
    <w:basedOn w:val="Normal"/>
    <w:next w:val="Normal"/>
    <w:rsid w:val="00B259F0"/>
    <w:pPr>
      <w:tabs>
        <w:tab w:val="right" w:pos="9360"/>
      </w:tabs>
      <w:suppressAutoHyphens/>
    </w:pPr>
  </w:style>
  <w:style w:type="character" w:customStyle="1" w:styleId="EquationCaption">
    <w:name w:val="_Equation Caption"/>
    <w:rsid w:val="00B259F0"/>
  </w:style>
  <w:style w:type="paragraph" w:styleId="BlockText">
    <w:name w:val="Block Text"/>
    <w:basedOn w:val="Normal"/>
    <w:rsid w:val="00B259F0"/>
    <w:pPr>
      <w:spacing w:after="240"/>
      <w:ind w:left="1440" w:right="1440"/>
    </w:pPr>
  </w:style>
  <w:style w:type="paragraph" w:customStyle="1" w:styleId="Paratitle">
    <w:name w:val="Para title"/>
    <w:basedOn w:val="Normal"/>
    <w:rsid w:val="00B259F0"/>
    <w:pPr>
      <w:tabs>
        <w:tab w:val="center" w:pos="9270"/>
      </w:tabs>
      <w:spacing w:after="240"/>
    </w:pPr>
    <w:rPr>
      <w:spacing w:val="-2"/>
    </w:rPr>
  </w:style>
  <w:style w:type="paragraph" w:customStyle="1" w:styleId="Bullet">
    <w:name w:val="Bullet"/>
    <w:basedOn w:val="Normal"/>
    <w:rsid w:val="00B259F0"/>
    <w:pPr>
      <w:tabs>
        <w:tab w:val="left" w:pos="2160"/>
      </w:tabs>
      <w:spacing w:after="220"/>
      <w:ind w:left="2160" w:hanging="720"/>
    </w:pPr>
  </w:style>
  <w:style w:type="paragraph" w:customStyle="1" w:styleId="TableFormat">
    <w:name w:val="TableFormat"/>
    <w:basedOn w:val="Bullet"/>
    <w:rsid w:val="00B259F0"/>
    <w:pPr>
      <w:tabs>
        <w:tab w:val="clear" w:pos="2160"/>
        <w:tab w:val="left" w:pos="5040"/>
      </w:tabs>
      <w:ind w:left="5040" w:hanging="3600"/>
    </w:pPr>
  </w:style>
  <w:style w:type="paragraph" w:customStyle="1" w:styleId="TOCTitle">
    <w:name w:val="TOC Title"/>
    <w:basedOn w:val="Normal"/>
    <w:rsid w:val="00B259F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259F0"/>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westlaw.com/Link/Document/FullText?findType=Y&amp;serNum=2038205831&amp;pubNum=0004493&amp;originatingDoc=I044ba17ce2ea11e8bbbcd57aa014637b&amp;refType=CA&amp;originationContext=document&amp;vr=3.0&amp;rs=cblt1.0&amp;transitionType=DocumentItem&amp;contextData=(sc.Search)" TargetMode="External" /><Relationship Id="rId2" Type="http://schemas.openxmlformats.org/officeDocument/2006/relationships/hyperlink" Target="http://www.westlaw.com/Link/Document/FullText?findType=Y&amp;serNum=2038846830&amp;pubNum=0004493&amp;originatingDoc=I044ba17ce2ea11e8bbbcd57aa014637b&amp;refType=CA&amp;originationContext=document&amp;vr=3.0&amp;rs=cblt1.0&amp;transitionType=DocumentItem&amp;contextData=(sc.Search)" TargetMode="External" /><Relationship Id="rId3" Type="http://schemas.openxmlformats.org/officeDocument/2006/relationships/hyperlink" Target="http://web2.westlaw.com/find/default.wl?mt=Westlaw&amp;db=1000546&amp;docname=47USCAS309&amp;rp=%2ffind%2fdefault.wl&amp;findtype=L&amp;ordoc=2027483449&amp;tc=-1&amp;vr=2.0&amp;fn=_top&amp;sv=Split&amp;tf=-1&amp;referencepositiontype=T&amp;pbc=C72E4A26&amp;referenceposition=SP%3b340a00009b6f3&amp;rs=WLW13.07" TargetMode="External" /><Relationship Id="rId4" Type="http://schemas.openxmlformats.org/officeDocument/2006/relationships/hyperlink" Target="http://web2.westlaw.com/find/default.wl?mt=Westlaw&amp;db=1000546&amp;docname=47USCAS309&amp;rp=%2ffind%2fdefault.wl&amp;findtype=L&amp;ordoc=2027483449&amp;tc=-1&amp;vr=2.0&amp;fn=_top&amp;sv=Split&amp;tf=-1&amp;referencepositiontype=T&amp;pbc=C72E4A26&amp;referenceposition=SP%3b24c8000086311&amp;rs=WLW13.07" TargetMode="External" /><Relationship Id="rId5" Type="http://schemas.openxmlformats.org/officeDocument/2006/relationships/hyperlink" Target="http://web2.westlaw.com/find/default.wl?mt=Westlaw&amp;db=1000546&amp;docname=47USCAS309&amp;rp=%2ffind%2fdefault.wl&amp;findtype=L&amp;ordoc=2027483449&amp;tc=-1&amp;vr=2.0&amp;fn=_top&amp;sv=Split&amp;tf=-1&amp;referencepositiontype=T&amp;pbc=C72E4A26&amp;referenceposition=SP%3b5d640000e1eb7&amp;rs=WLW13.07" TargetMode="External" /><Relationship Id="rId6" Type="http://schemas.openxmlformats.org/officeDocument/2006/relationships/hyperlink" Target="http://web2.westlaw.com/find/default.wl?mt=Westlaw&amp;db=1000546&amp;docname=47USCAS309&amp;rp=%2ffind%2fdefault.wl&amp;findtype=L&amp;ordoc=2027483449&amp;tc=-1&amp;vr=2.0&amp;fn=_top&amp;sv=Split&amp;tf=-1&amp;referencepositiontype=T&amp;pbc=C72E4A26&amp;referenceposition=SP%3b014300009b763&amp;rs=WLW13.07" TargetMode="External" /><Relationship Id="rId7" Type="http://schemas.openxmlformats.org/officeDocument/2006/relationships/hyperlink" Target="http://www.westlaw.com/Find/Default.wl?rs=dfa1.0&amp;vr=2.0&amp;DB=4493&amp;FindType=Y&amp;ReferencePositionType=S&amp;SerialNum=1989192022&amp;ReferencePosition=6365"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