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51555" w:rsidRPr="00475A38" w:rsidP="00475A38">
      <w:pPr>
        <w:suppressAutoHyphens/>
        <w:ind w:left="7920"/>
        <w:jc w:val="right"/>
        <w:rPr>
          <w:b/>
        </w:rPr>
      </w:pPr>
      <w:r w:rsidRPr="00475A38">
        <w:rPr>
          <w:b/>
        </w:rPr>
        <w:t xml:space="preserve">DA </w:t>
      </w:r>
      <w:r w:rsidRPr="00475A38" w:rsidR="00FB1209">
        <w:rPr>
          <w:b/>
        </w:rPr>
        <w:t>19-</w:t>
      </w:r>
      <w:r w:rsidRPr="00475A38" w:rsidR="008A27B6">
        <w:rPr>
          <w:b/>
        </w:rPr>
        <w:t>938</w:t>
      </w:r>
    </w:p>
    <w:p w:rsidR="00051555" w:rsidP="00475A38">
      <w:pPr>
        <w:jc w:val="right"/>
        <w:rPr>
          <w:b/>
        </w:rPr>
      </w:pPr>
      <w:r>
        <w:rPr>
          <w:b/>
        </w:rPr>
        <w:t xml:space="preserve">Released: </w:t>
      </w:r>
      <w:r w:rsidRPr="00475A38" w:rsidR="00FB1209">
        <w:rPr>
          <w:b/>
        </w:rPr>
        <w:t xml:space="preserve">September </w:t>
      </w:r>
      <w:r w:rsidRPr="00475A38" w:rsidR="008A27B6">
        <w:rPr>
          <w:b/>
        </w:rPr>
        <w:t>23</w:t>
      </w:r>
      <w:r w:rsidRPr="00475A38" w:rsidR="00FB1209">
        <w:rPr>
          <w:b/>
        </w:rPr>
        <w:t>, 2019</w:t>
      </w:r>
    </w:p>
    <w:p w:rsidR="00475A38" w:rsidRPr="00475A38" w:rsidP="00475A38">
      <w:pPr>
        <w:jc w:val="center"/>
        <w:rPr>
          <w:b/>
        </w:rPr>
      </w:pPr>
    </w:p>
    <w:p w:rsidR="00051555" w:rsidP="00192A5A">
      <w:pPr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RADIO LICE</w:t>
      </w:r>
      <w:bookmarkStart w:id="0" w:name="_GoBack"/>
      <w:bookmarkEnd w:id="0"/>
      <w:r>
        <w:rPr>
          <w:rFonts w:eastAsia="Calibri"/>
          <w:b/>
          <w:szCs w:val="22"/>
        </w:rPr>
        <w:t>NSE EXPIRATIONS</w:t>
      </w:r>
    </w:p>
    <w:p w:rsidR="00051555" w:rsidP="00475A38">
      <w:pPr>
        <w:spacing w:after="120"/>
        <w:rPr>
          <w:rFonts w:eastAsia="Calibri"/>
          <w:szCs w:val="22"/>
        </w:rPr>
      </w:pPr>
    </w:p>
    <w:p w:rsidR="00051555" w:rsidP="00475A38">
      <w:pPr>
        <w:pStyle w:val="ParaNum"/>
        <w:numPr>
          <w:ilvl w:val="0"/>
          <w:numId w:val="0"/>
        </w:numPr>
        <w:ind w:firstLine="720"/>
        <w:rPr>
          <w:rFonts w:eastAsia="Calibri"/>
        </w:rPr>
      </w:pPr>
      <w:r>
        <w:rPr>
          <w:rFonts w:eastAsia="Calibri"/>
        </w:rPr>
        <w:t xml:space="preserve">On </w:t>
      </w:r>
      <w:r w:rsidR="00FB1209">
        <w:rPr>
          <w:rFonts w:eastAsia="Calibri"/>
        </w:rPr>
        <w:t>June 3, 2019</w:t>
      </w:r>
      <w:r>
        <w:rPr>
          <w:rFonts w:eastAsia="Calibri"/>
        </w:rPr>
        <w:t>, radio stations located in</w:t>
      </w:r>
      <w:r w:rsidR="00FB1209">
        <w:rPr>
          <w:rFonts w:eastAsia="Calibri"/>
        </w:rPr>
        <w:t xml:space="preserve"> </w:t>
      </w:r>
      <w:r w:rsidR="00FB1209">
        <w:t>D.C., Maryland, Virginia and West Virginia</w:t>
      </w:r>
      <w:r>
        <w:rPr>
          <w:rFonts w:eastAsia="Calibri"/>
        </w:rPr>
        <w:t xml:space="preserve"> were required to file applications for license renewal for terms expiring on </w:t>
      </w:r>
      <w:r w:rsidR="00FB1209">
        <w:rPr>
          <w:rFonts w:eastAsia="Calibri"/>
        </w:rPr>
        <w:t>October 1, 2019</w:t>
      </w:r>
      <w:r>
        <w:rPr>
          <w:rFonts w:eastAsia="Calibri"/>
        </w:rPr>
        <w:t xml:space="preserve">.  The following stations failed to file license renewal applications and their licenses will expire as of </w:t>
      </w:r>
      <w:r w:rsidR="00FB1209">
        <w:rPr>
          <w:rFonts w:eastAsia="Calibri"/>
        </w:rPr>
        <w:t>October 1, 2019</w:t>
      </w:r>
      <w:r w:rsidR="00697DA8">
        <w:rPr>
          <w:rFonts w:eastAsia="Calibri"/>
        </w:rPr>
        <w:t>, provided no renewal application is received by midnight on the date of expiration</w:t>
      </w:r>
      <w:r>
        <w:rPr>
          <w:rFonts w:eastAsia="Calibri"/>
        </w:rPr>
        <w:t>:</w:t>
      </w:r>
    </w:p>
    <w:p w:rsidR="00475A38" w:rsidP="00475A38">
      <w:pPr>
        <w:pStyle w:val="ParaNum"/>
        <w:numPr>
          <w:ilvl w:val="0"/>
          <w:numId w:val="0"/>
        </w:num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"/>
        <w:gridCol w:w="2604"/>
        <w:gridCol w:w="1259"/>
        <w:gridCol w:w="4238"/>
      </w:tblGrid>
      <w:tr w:rsidTr="0081398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75" w:type="dxa"/>
            <w:shd w:val="clear" w:color="auto" w:fill="auto"/>
          </w:tcPr>
          <w:p w:rsidR="00051555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Call sign</w:t>
            </w:r>
          </w:p>
        </w:tc>
        <w:tc>
          <w:tcPr>
            <w:tcW w:w="2604" w:type="dxa"/>
            <w:shd w:val="clear" w:color="auto" w:fill="auto"/>
          </w:tcPr>
          <w:p w:rsidR="00051555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Community of License</w:t>
            </w:r>
          </w:p>
        </w:tc>
        <w:tc>
          <w:tcPr>
            <w:tcW w:w="1259" w:type="dxa"/>
            <w:shd w:val="clear" w:color="auto" w:fill="auto"/>
          </w:tcPr>
          <w:p w:rsidR="00051555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Facility ID</w:t>
            </w:r>
          </w:p>
        </w:tc>
        <w:tc>
          <w:tcPr>
            <w:tcW w:w="4238" w:type="dxa"/>
            <w:shd w:val="clear" w:color="auto" w:fill="auto"/>
          </w:tcPr>
          <w:p w:rsidR="00051555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Licensee</w:t>
            </w:r>
          </w:p>
          <w:p w:rsidR="00051555">
            <w:pPr>
              <w:rPr>
                <w:rFonts w:eastAsia="Calibri"/>
                <w:b/>
                <w:szCs w:val="22"/>
              </w:rPr>
            </w:pPr>
          </w:p>
        </w:tc>
      </w:tr>
      <w:tr w:rsidTr="0081398F">
        <w:tblPrEx>
          <w:tblW w:w="0" w:type="auto"/>
          <w:tblLook w:val="04A0"/>
        </w:tblPrEx>
        <w:tc>
          <w:tcPr>
            <w:tcW w:w="1475" w:type="dxa"/>
            <w:shd w:val="clear" w:color="auto" w:fill="auto"/>
          </w:tcPr>
          <w:p w:rsidR="00051555">
            <w:pPr>
              <w:rPr>
                <w:rFonts w:eastAsia="Calibri"/>
                <w:szCs w:val="22"/>
                <w:u w:val="single"/>
              </w:rPr>
            </w:pPr>
            <w:r w:rsidRPr="00FB1209">
              <w:rPr>
                <w:rFonts w:eastAsia="Calibri"/>
                <w:szCs w:val="22"/>
              </w:rPr>
              <w:t>WAMM</w:t>
            </w:r>
            <w:r>
              <w:rPr>
                <w:rFonts w:eastAsia="Calibri"/>
                <w:szCs w:val="22"/>
              </w:rPr>
              <w:t>(AM)</w:t>
            </w:r>
          </w:p>
        </w:tc>
        <w:tc>
          <w:tcPr>
            <w:tcW w:w="2604" w:type="dxa"/>
            <w:shd w:val="clear" w:color="auto" w:fill="auto"/>
          </w:tcPr>
          <w:p w:rsidR="00051555" w:rsidRPr="00FB120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Woodstock, VA</w:t>
            </w:r>
          </w:p>
        </w:tc>
        <w:tc>
          <w:tcPr>
            <w:tcW w:w="1259" w:type="dxa"/>
            <w:shd w:val="clear" w:color="auto" w:fill="auto"/>
          </w:tcPr>
          <w:p w:rsidR="00051555">
            <w:pPr>
              <w:rPr>
                <w:rFonts w:eastAsia="Calibri"/>
                <w:szCs w:val="22"/>
              </w:rPr>
            </w:pPr>
            <w:r w:rsidRPr="00FB1209">
              <w:rPr>
                <w:rFonts w:eastAsia="Calibri"/>
                <w:szCs w:val="22"/>
              </w:rPr>
              <w:t>16000</w:t>
            </w:r>
          </w:p>
        </w:tc>
        <w:tc>
          <w:tcPr>
            <w:tcW w:w="4238" w:type="dxa"/>
            <w:shd w:val="clear" w:color="auto" w:fill="auto"/>
          </w:tcPr>
          <w:p w:rsidR="00051555">
            <w:pPr>
              <w:rPr>
                <w:rFonts w:eastAsia="Calibri"/>
                <w:szCs w:val="22"/>
                <w:u w:val="single"/>
              </w:rPr>
            </w:pPr>
            <w:r w:rsidRPr="003552BE">
              <w:rPr>
                <w:rFonts w:eastAsia="Calibri"/>
                <w:szCs w:val="22"/>
              </w:rPr>
              <w:t>S</w:t>
            </w:r>
            <w:r>
              <w:rPr>
                <w:rFonts w:eastAsia="Calibri"/>
                <w:szCs w:val="22"/>
              </w:rPr>
              <w:t xml:space="preserve">henandoah Valley Group, Inc. </w:t>
            </w:r>
          </w:p>
        </w:tc>
      </w:tr>
      <w:tr w:rsidTr="0081398F">
        <w:tblPrEx>
          <w:tblW w:w="0" w:type="auto"/>
          <w:tblLook w:val="04A0"/>
        </w:tblPrEx>
        <w:tc>
          <w:tcPr>
            <w:tcW w:w="1475" w:type="dxa"/>
            <w:shd w:val="clear" w:color="auto" w:fill="auto"/>
          </w:tcPr>
          <w:p w:rsidR="00051555">
            <w:pPr>
              <w:rPr>
                <w:rFonts w:eastAsia="Calibri"/>
                <w:szCs w:val="22"/>
                <w:u w:val="single"/>
              </w:rPr>
            </w:pPr>
            <w:r w:rsidRPr="003552BE">
              <w:rPr>
                <w:rFonts w:eastAsia="Calibri"/>
                <w:szCs w:val="22"/>
              </w:rPr>
              <w:t>WTOY</w:t>
            </w:r>
            <w:r>
              <w:rPr>
                <w:rFonts w:eastAsia="Calibri"/>
                <w:szCs w:val="22"/>
              </w:rPr>
              <w:t>(AM)</w:t>
            </w:r>
          </w:p>
        </w:tc>
        <w:tc>
          <w:tcPr>
            <w:tcW w:w="2604" w:type="dxa"/>
            <w:shd w:val="clear" w:color="auto" w:fill="auto"/>
          </w:tcPr>
          <w:p w:rsidR="00051555">
            <w:pPr>
              <w:rPr>
                <w:rFonts w:eastAsia="Calibri"/>
                <w:szCs w:val="22"/>
                <w:u w:val="single"/>
              </w:rPr>
            </w:pPr>
            <w:r>
              <w:rPr>
                <w:rFonts w:eastAsia="Calibri"/>
                <w:szCs w:val="22"/>
                <w:u w:val="single"/>
              </w:rPr>
              <w:t>Salem, VA</w:t>
            </w:r>
          </w:p>
        </w:tc>
        <w:tc>
          <w:tcPr>
            <w:tcW w:w="1259" w:type="dxa"/>
            <w:shd w:val="clear" w:color="auto" w:fill="auto"/>
          </w:tcPr>
          <w:p w:rsidR="00051555">
            <w:pPr>
              <w:rPr>
                <w:rFonts w:eastAsia="Calibri"/>
                <w:szCs w:val="22"/>
              </w:rPr>
            </w:pPr>
            <w:r w:rsidRPr="003552BE">
              <w:rPr>
                <w:rFonts w:eastAsia="Calibri"/>
                <w:szCs w:val="22"/>
              </w:rPr>
              <w:t>29210</w:t>
            </w:r>
          </w:p>
        </w:tc>
        <w:tc>
          <w:tcPr>
            <w:tcW w:w="4238" w:type="dxa"/>
            <w:shd w:val="clear" w:color="auto" w:fill="auto"/>
          </w:tcPr>
          <w:p w:rsidR="00051555">
            <w:pPr>
              <w:rPr>
                <w:rFonts w:eastAsia="Calibri"/>
                <w:szCs w:val="22"/>
                <w:u w:val="single"/>
              </w:rPr>
            </w:pPr>
            <w:r>
              <w:rPr>
                <w:rFonts w:eastAsia="Calibri"/>
                <w:szCs w:val="22"/>
                <w:u w:val="single"/>
              </w:rPr>
              <w:t>Ward Broadcasting Corporation</w:t>
            </w:r>
          </w:p>
        </w:tc>
      </w:tr>
      <w:tr w:rsidTr="0081398F">
        <w:tblPrEx>
          <w:tblW w:w="0" w:type="auto"/>
          <w:tblLook w:val="04A0"/>
        </w:tblPrEx>
        <w:tc>
          <w:tcPr>
            <w:tcW w:w="1475" w:type="dxa"/>
            <w:shd w:val="clear" w:color="auto" w:fill="auto"/>
          </w:tcPr>
          <w:p w:rsidR="00051555" w:rsidRPr="008210C2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WGAT(AM)</w:t>
            </w:r>
          </w:p>
        </w:tc>
        <w:tc>
          <w:tcPr>
            <w:tcW w:w="2604" w:type="dxa"/>
            <w:shd w:val="clear" w:color="auto" w:fill="auto"/>
          </w:tcPr>
          <w:p w:rsidR="00051555" w:rsidRPr="008210C2">
            <w:pPr>
              <w:rPr>
                <w:rFonts w:eastAsia="Calibri"/>
                <w:szCs w:val="22"/>
              </w:rPr>
            </w:pPr>
            <w:r w:rsidRPr="008210C2">
              <w:rPr>
                <w:rFonts w:eastAsia="Calibri"/>
                <w:szCs w:val="22"/>
              </w:rPr>
              <w:t>Gate City, VA</w:t>
            </w:r>
          </w:p>
        </w:tc>
        <w:tc>
          <w:tcPr>
            <w:tcW w:w="1259" w:type="dxa"/>
            <w:shd w:val="clear" w:color="auto" w:fill="auto"/>
          </w:tcPr>
          <w:p w:rsidR="00051555">
            <w:pPr>
              <w:rPr>
                <w:rFonts w:eastAsia="Calibri"/>
                <w:szCs w:val="22"/>
              </w:rPr>
            </w:pPr>
            <w:r w:rsidRPr="008210C2">
              <w:rPr>
                <w:rFonts w:eastAsia="Calibri"/>
                <w:szCs w:val="22"/>
              </w:rPr>
              <w:t>67667</w:t>
            </w:r>
          </w:p>
        </w:tc>
        <w:tc>
          <w:tcPr>
            <w:tcW w:w="4238" w:type="dxa"/>
            <w:shd w:val="clear" w:color="auto" w:fill="auto"/>
          </w:tcPr>
          <w:p w:rsidR="00051555" w:rsidRPr="008210C2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Tri-Cities Broadcasting Corporation</w:t>
            </w:r>
          </w:p>
        </w:tc>
      </w:tr>
      <w:tr w:rsidTr="0081398F">
        <w:tblPrEx>
          <w:tblW w:w="0" w:type="auto"/>
          <w:tblLook w:val="04A0"/>
        </w:tblPrEx>
        <w:trPr>
          <w:trHeight w:val="70"/>
        </w:trPr>
        <w:tc>
          <w:tcPr>
            <w:tcW w:w="1475" w:type="dxa"/>
            <w:shd w:val="clear" w:color="auto" w:fill="auto"/>
          </w:tcPr>
          <w:p w:rsidR="00051555">
            <w:pPr>
              <w:rPr>
                <w:rFonts w:eastAsia="Calibri"/>
                <w:szCs w:val="22"/>
                <w:u w:val="single"/>
              </w:rPr>
            </w:pPr>
            <w:r w:rsidRPr="008210C2">
              <w:rPr>
                <w:rFonts w:eastAsia="Calibri"/>
                <w:szCs w:val="22"/>
              </w:rPr>
              <w:t>WRYR-LP</w:t>
            </w:r>
          </w:p>
        </w:tc>
        <w:tc>
          <w:tcPr>
            <w:tcW w:w="2604" w:type="dxa"/>
            <w:shd w:val="clear" w:color="auto" w:fill="auto"/>
          </w:tcPr>
          <w:p w:rsidR="00051555">
            <w:pPr>
              <w:rPr>
                <w:rFonts w:eastAsia="Calibri"/>
                <w:szCs w:val="22"/>
                <w:u w:val="single"/>
              </w:rPr>
            </w:pPr>
            <w:r>
              <w:rPr>
                <w:rFonts w:eastAsia="Calibri"/>
                <w:szCs w:val="22"/>
                <w:u w:val="single"/>
              </w:rPr>
              <w:t>Sherwood, MD</w:t>
            </w:r>
          </w:p>
        </w:tc>
        <w:tc>
          <w:tcPr>
            <w:tcW w:w="1259" w:type="dxa"/>
            <w:shd w:val="clear" w:color="auto" w:fill="auto"/>
          </w:tcPr>
          <w:p w:rsidR="00051555">
            <w:pPr>
              <w:rPr>
                <w:rFonts w:eastAsia="Calibri"/>
                <w:szCs w:val="22"/>
              </w:rPr>
            </w:pPr>
            <w:r w:rsidRPr="008210C2">
              <w:rPr>
                <w:rFonts w:eastAsia="Calibri"/>
                <w:szCs w:val="22"/>
              </w:rPr>
              <w:t>124341</w:t>
            </w:r>
          </w:p>
        </w:tc>
        <w:tc>
          <w:tcPr>
            <w:tcW w:w="4238" w:type="dxa"/>
            <w:shd w:val="clear" w:color="auto" w:fill="auto"/>
          </w:tcPr>
          <w:p w:rsidR="00051555">
            <w:pPr>
              <w:rPr>
                <w:rFonts w:eastAsia="Calibri"/>
                <w:szCs w:val="22"/>
                <w:u w:val="single"/>
              </w:rPr>
            </w:pPr>
            <w:r w:rsidRPr="008210C2">
              <w:rPr>
                <w:rFonts w:eastAsia="Calibri"/>
                <w:szCs w:val="22"/>
                <w:u w:val="single"/>
              </w:rPr>
              <w:t xml:space="preserve">WRYR </w:t>
            </w:r>
            <w:r>
              <w:rPr>
                <w:rFonts w:eastAsia="Calibri"/>
                <w:szCs w:val="22"/>
                <w:u w:val="single"/>
              </w:rPr>
              <w:t>Community Radio Inc.</w:t>
            </w:r>
          </w:p>
        </w:tc>
      </w:tr>
      <w:tr w:rsidTr="0081398F">
        <w:tblPrEx>
          <w:tblW w:w="0" w:type="auto"/>
          <w:tblLook w:val="04A0"/>
        </w:tblPrEx>
        <w:tc>
          <w:tcPr>
            <w:tcW w:w="1475" w:type="dxa"/>
            <w:shd w:val="clear" w:color="auto" w:fill="auto"/>
          </w:tcPr>
          <w:p w:rsidR="00051555">
            <w:pPr>
              <w:rPr>
                <w:rFonts w:eastAsia="Calibri"/>
                <w:szCs w:val="22"/>
                <w:u w:val="single"/>
              </w:rPr>
            </w:pPr>
            <w:r w:rsidRPr="008210C2">
              <w:rPr>
                <w:rFonts w:eastAsia="Calibri"/>
                <w:szCs w:val="22"/>
              </w:rPr>
              <w:t>WKJV-LP</w:t>
            </w:r>
          </w:p>
        </w:tc>
        <w:tc>
          <w:tcPr>
            <w:tcW w:w="2604" w:type="dxa"/>
            <w:shd w:val="clear" w:color="auto" w:fill="auto"/>
          </w:tcPr>
          <w:p w:rsidR="00051555" w:rsidRPr="008210C2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Bristol, VA</w:t>
            </w:r>
          </w:p>
        </w:tc>
        <w:tc>
          <w:tcPr>
            <w:tcW w:w="1259" w:type="dxa"/>
            <w:shd w:val="clear" w:color="auto" w:fill="auto"/>
          </w:tcPr>
          <w:p w:rsidR="00051555">
            <w:pPr>
              <w:rPr>
                <w:rFonts w:eastAsia="Calibri"/>
                <w:szCs w:val="22"/>
              </w:rPr>
            </w:pPr>
            <w:r w:rsidRPr="008210C2">
              <w:rPr>
                <w:rFonts w:eastAsia="Calibri"/>
                <w:szCs w:val="22"/>
              </w:rPr>
              <w:t>126574</w:t>
            </w:r>
          </w:p>
        </w:tc>
        <w:tc>
          <w:tcPr>
            <w:tcW w:w="4238" w:type="dxa"/>
            <w:shd w:val="clear" w:color="auto" w:fill="auto"/>
          </w:tcPr>
          <w:p w:rsidR="00051555">
            <w:pPr>
              <w:rPr>
                <w:rFonts w:eastAsia="Calibri"/>
                <w:szCs w:val="22"/>
                <w:u w:val="single"/>
              </w:rPr>
            </w:pPr>
            <w:r>
              <w:rPr>
                <w:rFonts w:eastAsia="Calibri"/>
                <w:szCs w:val="22"/>
              </w:rPr>
              <w:t>Belle Meadows Baptist Church</w:t>
            </w:r>
          </w:p>
        </w:tc>
      </w:tr>
      <w:tr w:rsidTr="0081398F">
        <w:tblPrEx>
          <w:tblW w:w="0" w:type="auto"/>
          <w:tblLook w:val="04A0"/>
        </w:tblPrEx>
        <w:tc>
          <w:tcPr>
            <w:tcW w:w="1475" w:type="dxa"/>
            <w:shd w:val="clear" w:color="auto" w:fill="auto"/>
          </w:tcPr>
          <w:p w:rsidR="003552BE">
            <w:pPr>
              <w:rPr>
                <w:rFonts w:eastAsia="Calibri"/>
                <w:szCs w:val="22"/>
              </w:rPr>
            </w:pPr>
            <w:r w:rsidRPr="008210C2">
              <w:rPr>
                <w:rFonts w:eastAsia="Calibri"/>
                <w:szCs w:val="22"/>
              </w:rPr>
              <w:t>WSPW-LP</w:t>
            </w:r>
          </w:p>
        </w:tc>
        <w:tc>
          <w:tcPr>
            <w:tcW w:w="2604" w:type="dxa"/>
            <w:shd w:val="clear" w:color="auto" w:fill="auto"/>
          </w:tcPr>
          <w:p w:rsidR="003552B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Parkersburg, WV</w:t>
            </w:r>
          </w:p>
        </w:tc>
        <w:tc>
          <w:tcPr>
            <w:tcW w:w="1259" w:type="dxa"/>
            <w:shd w:val="clear" w:color="auto" w:fill="auto"/>
          </w:tcPr>
          <w:p w:rsidR="003552BE">
            <w:pPr>
              <w:rPr>
                <w:rFonts w:eastAsia="Calibri"/>
                <w:szCs w:val="22"/>
              </w:rPr>
            </w:pPr>
            <w:r w:rsidRPr="008210C2">
              <w:rPr>
                <w:rFonts w:eastAsia="Calibri"/>
                <w:szCs w:val="22"/>
              </w:rPr>
              <w:t>134785</w:t>
            </w:r>
          </w:p>
        </w:tc>
        <w:tc>
          <w:tcPr>
            <w:tcW w:w="4238" w:type="dxa"/>
            <w:shd w:val="clear" w:color="auto" w:fill="auto"/>
          </w:tcPr>
          <w:p w:rsidR="003552B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Wood County Board of Education</w:t>
            </w:r>
          </w:p>
        </w:tc>
      </w:tr>
      <w:tr w:rsidTr="0081398F">
        <w:tblPrEx>
          <w:tblW w:w="0" w:type="auto"/>
          <w:tblLook w:val="04A0"/>
        </w:tblPrEx>
        <w:tc>
          <w:tcPr>
            <w:tcW w:w="1475" w:type="dxa"/>
            <w:shd w:val="clear" w:color="auto" w:fill="auto"/>
          </w:tcPr>
          <w:p w:rsidR="003552BE">
            <w:pPr>
              <w:rPr>
                <w:rFonts w:eastAsia="Calibri"/>
                <w:szCs w:val="22"/>
              </w:rPr>
            </w:pPr>
            <w:r w:rsidRPr="008210C2">
              <w:rPr>
                <w:rFonts w:eastAsia="Calibri"/>
                <w:szCs w:val="22"/>
              </w:rPr>
              <w:t>WVPV-LP</w:t>
            </w:r>
          </w:p>
        </w:tc>
        <w:tc>
          <w:tcPr>
            <w:tcW w:w="2604" w:type="dxa"/>
            <w:shd w:val="clear" w:color="auto" w:fill="auto"/>
          </w:tcPr>
          <w:p w:rsidR="003552B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Cairo, WV</w:t>
            </w:r>
          </w:p>
        </w:tc>
        <w:tc>
          <w:tcPr>
            <w:tcW w:w="1259" w:type="dxa"/>
            <w:shd w:val="clear" w:color="auto" w:fill="auto"/>
          </w:tcPr>
          <w:p w:rsidR="003552BE">
            <w:pPr>
              <w:rPr>
                <w:rFonts w:eastAsia="Calibri"/>
                <w:szCs w:val="22"/>
              </w:rPr>
            </w:pPr>
            <w:r w:rsidRPr="00733F63">
              <w:rPr>
                <w:rFonts w:eastAsia="Calibri"/>
                <w:szCs w:val="22"/>
              </w:rPr>
              <w:t>191934</w:t>
            </w:r>
          </w:p>
        </w:tc>
        <w:tc>
          <w:tcPr>
            <w:tcW w:w="4238" w:type="dxa"/>
            <w:shd w:val="clear" w:color="auto" w:fill="auto"/>
          </w:tcPr>
          <w:p w:rsidR="003552B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Town of Cairo</w:t>
            </w:r>
          </w:p>
        </w:tc>
      </w:tr>
    </w:tbl>
    <w:p w:rsidR="00051555"/>
    <w:p w:rsidR="00475A38"/>
    <w:p w:rsidR="00051555" w:rsidP="00475A38">
      <w:pPr>
        <w:keepNext/>
        <w:jc w:val="center"/>
        <w:rPr>
          <w:b/>
        </w:rPr>
      </w:pPr>
      <w:r>
        <w:rPr>
          <w:b/>
        </w:rPr>
        <w:t>- FCC -</w:t>
      </w:r>
    </w:p>
    <w:sectPr w:rsidSect="00192A5A">
      <w:footerReference w:type="even" r:id="rId4"/>
      <w:footerReference w:type="default" r:id="rId5"/>
      <w:headerReference w:type="first" r:id="rId6"/>
      <w:footerReference w:type="first" r:id="rId7"/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15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51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15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51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2A5A" w:rsidP="00192A5A">
    <w:pPr>
      <w:pStyle w:val="Footer"/>
      <w:tabs>
        <w:tab w:val="clear" w:pos="4320"/>
        <w:tab w:val="center" w:pos="4680"/>
        <w:tab w:val="clear" w:pos="8640"/>
        <w:tab w:val="right" w:pos="936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1555" w:rsidP="00192A5A">
    <w:pPr>
      <w:pStyle w:val="Header"/>
      <w:ind w:firstLine="0"/>
    </w:pPr>
    <w:r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1.75pt;height:41.75pt;margin-top:9.2pt;margin-left:-46.7pt;position:absolute;z-index:251661312" o:allowincell="f">
          <v:imagedata r:id="rId1" o:title="fcc_logo"/>
          <w10:wrap type="topAndBottom"/>
        </v:shape>
      </w:pict>
    </w:r>
    <w:r w:rsidRPr="00475A38">
      <w:t>PUBLIC NOTICE</w:t>
    </w:r>
  </w:p>
  <w:p w:rsidR="00475A38" w:rsidRPr="00475A38" w:rsidP="00192A5A">
    <w:pPr>
      <w:pStyle w:val="Header"/>
      <w:ind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207.95pt;height:37.2pt;margin-top:11.5pt;margin-left:267.55pt;position:absolute;z-index:251660288" o:allowincell="f" stroked="f">
          <v:textbox inset=",0,,0">
            <w:txbxContent>
              <w:p w:rsidR="00051555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051555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1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051555" w:rsidRPr="00475A38" w:rsidP="00475A38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  <w:r>
      <w:rPr>
        <w:noProof/>
      </w:rPr>
      <w:pict>
        <v:line id="_x0000_s2051" style="position:absolute;z-index:251659264" from="0,54.7pt" to="468pt,54.7pt" o:allowincell="f"/>
      </w:pict>
    </w:r>
    <w:r>
      <w:rPr>
        <w:noProof/>
      </w:rPr>
      <w:pict>
        <v:shape id="_x0000_s2052" type="#_x0000_t202" style="width:244.8pt;height:50.4pt;margin-top:4.3pt;margin-left:-4.95pt;position:absolute;z-index:251658240" o:allowincell="f" stroked="f">
          <v:textbox>
            <w:txbxContent>
              <w:p w:rsidR="00051555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051555">
                <w:pPr>
                  <w:rPr>
                    <w:rFonts w:ascii="Arial" w:hAnsi="Arial"/>
                    <w:b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smartTag>
                </w:smartTag>
              </w:p>
              <w:p w:rsidR="00051555">
                <w:pPr>
                  <w:rPr>
                    <w:rFonts w:ascii="Arial" w:hAnsi="Arial"/>
                    <w:sz w:val="24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Arial" w:hAnsi="Arial"/>
                        <w:b/>
                      </w:rPr>
                      <w:t>Washington</w:t>
                    </w:r>
                  </w:smartTag>
                  <w:r>
                    <w:rPr>
                      <w:rFonts w:ascii="Arial" w:hAnsi="Arial"/>
                      <w:b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Arial" w:hAnsi="Arial"/>
                        <w:b/>
                      </w:rPr>
                      <w:t>D.C.</w:t>
                    </w:r>
                  </w:smartTag>
                  <w:r>
                    <w:rPr>
                      <w:rFonts w:ascii="Arial" w:hAnsi="Arial"/>
                      <w:b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Arial" w:hAnsi="Arial"/>
                        <w:b/>
                      </w:rPr>
                      <w:t>20554</w:t>
                    </w:r>
                  </w:smartTag>
                </w:smartTag>
              </w:p>
            </w:txbxContent>
          </v:textbox>
        </v:shape>
      </w:pict>
    </w:r>
  </w:p>
  <w:p w:rsidR="00051555" w:rsidP="00192A5A">
    <w:pPr>
      <w:pStyle w:val="Header"/>
      <w:ind w:firstLine="0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6C7E38"/>
    <w:multiLevelType w:val="hybridMultilevel"/>
    <w:tmpl w:val="EA10FC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7E"/>
    <w:rsid w:val="00051555"/>
    <w:rsid w:val="001354E2"/>
    <w:rsid w:val="00192A5A"/>
    <w:rsid w:val="00267D08"/>
    <w:rsid w:val="002B147E"/>
    <w:rsid w:val="003552BE"/>
    <w:rsid w:val="00452C6E"/>
    <w:rsid w:val="00475A38"/>
    <w:rsid w:val="005C662E"/>
    <w:rsid w:val="00697DA8"/>
    <w:rsid w:val="00733F63"/>
    <w:rsid w:val="0081398F"/>
    <w:rsid w:val="008210C2"/>
    <w:rsid w:val="00834E8E"/>
    <w:rsid w:val="008A27B6"/>
    <w:rsid w:val="009F1231"/>
    <w:rsid w:val="00AD6077"/>
    <w:rsid w:val="00B53D16"/>
    <w:rsid w:val="00BA013C"/>
    <w:rsid w:val="00CB2F1C"/>
    <w:rsid w:val="00D82DDB"/>
    <w:rsid w:val="00FB120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A5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link w:val="Heading1Char"/>
    <w:qFormat/>
    <w:rsid w:val="00192A5A"/>
    <w:pPr>
      <w:keepNext/>
      <w:numPr>
        <w:numId w:val="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192A5A"/>
    <w:pPr>
      <w:keepNext/>
      <w:numPr>
        <w:ilvl w:val="1"/>
        <w:numId w:val="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192A5A"/>
    <w:pPr>
      <w:keepNext/>
      <w:numPr>
        <w:ilvl w:val="2"/>
        <w:numId w:val="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192A5A"/>
    <w:pPr>
      <w:keepNext/>
      <w:numPr>
        <w:ilvl w:val="3"/>
        <w:numId w:val="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192A5A"/>
    <w:pPr>
      <w:keepNext/>
      <w:numPr>
        <w:ilvl w:val="4"/>
        <w:numId w:val="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192A5A"/>
    <w:pPr>
      <w:numPr>
        <w:ilvl w:val="5"/>
        <w:numId w:val="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192A5A"/>
    <w:pPr>
      <w:numPr>
        <w:ilvl w:val="6"/>
        <w:numId w:val="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192A5A"/>
    <w:pPr>
      <w:numPr>
        <w:ilvl w:val="7"/>
        <w:numId w:val="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192A5A"/>
    <w:pPr>
      <w:numPr>
        <w:ilvl w:val="8"/>
        <w:numId w:val="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192A5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92A5A"/>
  </w:style>
  <w:style w:type="paragraph" w:styleId="Header">
    <w:name w:val="header"/>
    <w:basedOn w:val="Normal"/>
    <w:autoRedefine/>
    <w:rsid w:val="00192A5A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192A5A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192A5A"/>
    <w:rPr>
      <w:rFonts w:ascii="Times New Roman" w:hAnsi="Times New Roman"/>
      <w:dstrike w:val="0"/>
      <w:color w:val="auto"/>
      <w:sz w:val="22"/>
      <w:vertAlign w:val="superscript"/>
    </w:rPr>
  </w:style>
  <w:style w:type="paragraph" w:styleId="FootnoteText">
    <w:name w:val="footnote text"/>
    <w:semiHidden/>
    <w:rsid w:val="00192A5A"/>
    <w:pPr>
      <w:spacing w:after="120"/>
    </w:pPr>
  </w:style>
  <w:style w:type="character" w:styleId="PageNumber">
    <w:name w:val="page number"/>
    <w:basedOn w:val="DefaultParagraphFont"/>
    <w:rsid w:val="00192A5A"/>
  </w:style>
  <w:style w:type="character" w:customStyle="1" w:styleId="groupheading5">
    <w:name w:val="groupheading5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rPr>
      <w:rFonts w:ascii="Verdana" w:hAnsi="Verdana" w:hint="default"/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192A5A"/>
    <w:rPr>
      <w:color w:val="0000FF"/>
      <w:u w:val="single"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75A38"/>
    <w:rPr>
      <w:rFonts w:ascii="Times New Roman Bold" w:hAnsi="Times New Roman Bold"/>
      <w:b/>
      <w:caps/>
      <w:snapToGrid w:val="0"/>
      <w:kern w:val="28"/>
      <w:sz w:val="22"/>
    </w:rPr>
  </w:style>
  <w:style w:type="character" w:customStyle="1" w:styleId="Heading2Char">
    <w:name w:val="Heading 2 Char"/>
    <w:link w:val="Heading2"/>
    <w:rsid w:val="00475A38"/>
    <w:rPr>
      <w:b/>
      <w:snapToGrid w:val="0"/>
      <w:kern w:val="28"/>
      <w:sz w:val="22"/>
    </w:rPr>
  </w:style>
  <w:style w:type="character" w:customStyle="1" w:styleId="Heading3Char">
    <w:name w:val="Heading 3 Char"/>
    <w:link w:val="Heading3"/>
    <w:rsid w:val="00475A38"/>
    <w:rPr>
      <w:b/>
      <w:snapToGrid w:val="0"/>
      <w:kern w:val="28"/>
      <w:sz w:val="22"/>
    </w:rPr>
  </w:style>
  <w:style w:type="character" w:customStyle="1" w:styleId="Heading4Char">
    <w:name w:val="Heading 4 Char"/>
    <w:link w:val="Heading4"/>
    <w:rsid w:val="00475A38"/>
    <w:rPr>
      <w:b/>
      <w:snapToGrid w:val="0"/>
      <w:kern w:val="28"/>
      <w:sz w:val="22"/>
    </w:rPr>
  </w:style>
  <w:style w:type="character" w:customStyle="1" w:styleId="Heading5Char">
    <w:name w:val="Heading 5 Char"/>
    <w:link w:val="Heading5"/>
    <w:rsid w:val="00475A38"/>
    <w:rPr>
      <w:b/>
      <w:snapToGrid w:val="0"/>
      <w:kern w:val="28"/>
      <w:sz w:val="22"/>
    </w:rPr>
  </w:style>
  <w:style w:type="character" w:customStyle="1" w:styleId="Heading6Char">
    <w:name w:val="Heading 6 Char"/>
    <w:link w:val="Heading6"/>
    <w:rsid w:val="00475A38"/>
    <w:rPr>
      <w:b/>
      <w:snapToGrid w:val="0"/>
      <w:kern w:val="28"/>
      <w:sz w:val="22"/>
    </w:rPr>
  </w:style>
  <w:style w:type="character" w:customStyle="1" w:styleId="Heading7Char">
    <w:name w:val="Heading 7 Char"/>
    <w:link w:val="Heading7"/>
    <w:rsid w:val="00475A38"/>
    <w:rPr>
      <w:b/>
      <w:snapToGrid w:val="0"/>
      <w:kern w:val="28"/>
      <w:sz w:val="22"/>
    </w:rPr>
  </w:style>
  <w:style w:type="character" w:customStyle="1" w:styleId="Heading8Char">
    <w:name w:val="Heading 8 Char"/>
    <w:link w:val="Heading8"/>
    <w:rsid w:val="00475A38"/>
    <w:rPr>
      <w:b/>
      <w:snapToGrid w:val="0"/>
      <w:kern w:val="28"/>
      <w:sz w:val="22"/>
    </w:rPr>
  </w:style>
  <w:style w:type="character" w:customStyle="1" w:styleId="Heading9Char">
    <w:name w:val="Heading 9 Char"/>
    <w:link w:val="Heading9"/>
    <w:rsid w:val="00475A38"/>
    <w:rPr>
      <w:b/>
      <w:snapToGrid w:val="0"/>
      <w:kern w:val="28"/>
      <w:sz w:val="22"/>
    </w:rPr>
  </w:style>
  <w:style w:type="paragraph" w:customStyle="1" w:styleId="ParaNum">
    <w:name w:val="ParaNum"/>
    <w:basedOn w:val="Normal"/>
    <w:rsid w:val="00192A5A"/>
    <w:pPr>
      <w:numPr>
        <w:numId w:val="3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rsid w:val="00192A5A"/>
    <w:rPr>
      <w:sz w:val="20"/>
    </w:rPr>
  </w:style>
  <w:style w:type="character" w:customStyle="1" w:styleId="EndnoteTextChar">
    <w:name w:val="Endnote Text Char"/>
    <w:link w:val="EndnoteText"/>
    <w:rsid w:val="00475A38"/>
    <w:rPr>
      <w:snapToGrid w:val="0"/>
      <w:kern w:val="28"/>
    </w:rPr>
  </w:style>
  <w:style w:type="character" w:styleId="EndnoteReference">
    <w:name w:val="endnote reference"/>
    <w:rsid w:val="00192A5A"/>
    <w:rPr>
      <w:vertAlign w:val="superscript"/>
    </w:rPr>
  </w:style>
  <w:style w:type="paragraph" w:styleId="TOC1">
    <w:name w:val="toc 1"/>
    <w:basedOn w:val="Normal"/>
    <w:next w:val="Normal"/>
    <w:uiPriority w:val="39"/>
    <w:rsid w:val="00192A5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rsid w:val="00192A5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rsid w:val="00192A5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rsid w:val="00192A5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rsid w:val="00192A5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rsid w:val="00192A5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rsid w:val="00192A5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rsid w:val="00192A5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rsid w:val="00192A5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rsid w:val="00192A5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92A5A"/>
  </w:style>
  <w:style w:type="paragraph" w:styleId="BlockText">
    <w:name w:val="Block Text"/>
    <w:basedOn w:val="Normal"/>
    <w:rsid w:val="00192A5A"/>
    <w:pPr>
      <w:spacing w:after="240"/>
      <w:ind w:left="1440" w:right="1440"/>
    </w:pPr>
  </w:style>
  <w:style w:type="paragraph" w:customStyle="1" w:styleId="Paratitle">
    <w:name w:val="Para title"/>
    <w:basedOn w:val="Normal"/>
    <w:rsid w:val="00192A5A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192A5A"/>
    <w:pPr>
      <w:numPr>
        <w:numId w:val="1"/>
      </w:num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192A5A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192A5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92A5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customStyle="1" w:styleId="FooterChar">
    <w:name w:val="Footer Char"/>
    <w:link w:val="Footer"/>
    <w:uiPriority w:val="99"/>
    <w:rsid w:val="00192A5A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eader" Target="header1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