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C5730C" w:rsidP="00081B2C" w14:paraId="419096A8" w14:textId="77777777">
      <w:pPr>
        <w:jc w:val="center"/>
        <w:rPr>
          <w:b/>
        </w:rPr>
      </w:pPr>
      <w:bookmarkStart w:id="0" w:name="_Hlk10727037"/>
      <w:bookmarkStart w:id="1" w:name="_GoBack"/>
      <w:bookmarkEnd w:id="1"/>
      <w:r w:rsidRPr="00C5730C">
        <w:rPr>
          <w:b/>
        </w:rPr>
        <w:t>Before the</w:t>
      </w:r>
    </w:p>
    <w:p w:rsidR="00921803" w:rsidP="00921803" w14:paraId="62F0817F" w14:textId="77777777">
      <w:pPr>
        <w:pStyle w:val="StyleBoldCentered"/>
      </w:pPr>
      <w:r>
        <w:t>F</w:t>
      </w:r>
      <w:r>
        <w:rPr>
          <w:caps w:val="0"/>
        </w:rPr>
        <w:t>ederal Communications Commission</w:t>
      </w:r>
    </w:p>
    <w:p w:rsidR="004C2EE3" w:rsidP="00096D8C" w14:paraId="3FA4D681" w14:textId="77777777">
      <w:pPr>
        <w:pStyle w:val="StyleBoldCentered"/>
      </w:pPr>
      <w:r>
        <w:rPr>
          <w:caps w:val="0"/>
        </w:rPr>
        <w:t>Washington, D.C. 20554</w:t>
      </w:r>
    </w:p>
    <w:p w:rsidR="004C2EE3" w:rsidP="0070224F" w14:paraId="31C5E5E3" w14:textId="77777777"/>
    <w:p w:rsidR="004C2EE3" w:rsidP="0070224F" w14:paraId="1010F2D6" w14:textId="77777777"/>
    <w:tbl>
      <w:tblPr>
        <w:tblW w:w="0" w:type="auto"/>
        <w:tblLayout w:type="fixed"/>
        <w:tblLook w:val="0000"/>
      </w:tblPr>
      <w:tblGrid>
        <w:gridCol w:w="4698"/>
        <w:gridCol w:w="630"/>
        <w:gridCol w:w="4248"/>
      </w:tblGrid>
      <w:tr w14:paraId="6B10D627" w14:textId="77777777">
        <w:tblPrEx>
          <w:tblW w:w="0" w:type="auto"/>
          <w:tblLayout w:type="fixed"/>
          <w:tblLook w:val="0000"/>
        </w:tblPrEx>
        <w:tc>
          <w:tcPr>
            <w:tcW w:w="4698" w:type="dxa"/>
          </w:tcPr>
          <w:p w:rsidR="004C2EE3" w14:paraId="7540A626" w14:textId="77777777">
            <w:pPr>
              <w:tabs>
                <w:tab w:val="center" w:pos="4680"/>
              </w:tabs>
              <w:suppressAutoHyphens/>
              <w:rPr>
                <w:spacing w:val="-2"/>
              </w:rPr>
            </w:pPr>
            <w:r>
              <w:rPr>
                <w:spacing w:val="-2"/>
              </w:rPr>
              <w:t>In the Matter of</w:t>
            </w:r>
          </w:p>
          <w:p w:rsidR="007C4C6B" w:rsidP="007C4C6B" w14:paraId="330CC675" w14:textId="7BD5C62E">
            <w:pPr>
              <w:tabs>
                <w:tab w:val="center" w:pos="4680"/>
              </w:tabs>
              <w:suppressAutoHyphens/>
              <w:rPr>
                <w:spacing w:val="-2"/>
              </w:rPr>
            </w:pPr>
          </w:p>
          <w:p w:rsidR="00295134" w:rsidRPr="007115F7" w:rsidP="007115F7" w14:paraId="6FE381A8" w14:textId="748C38F7">
            <w:pPr>
              <w:tabs>
                <w:tab w:val="center" w:pos="4680"/>
              </w:tabs>
              <w:suppressAutoHyphens/>
              <w:rPr>
                <w:spacing w:val="-2"/>
              </w:rPr>
            </w:pPr>
            <w:r>
              <w:rPr>
                <w:spacing w:val="-2"/>
              </w:rPr>
              <w:t>Improving Wireless Emergency Alerts and Community-</w:t>
            </w:r>
            <w:r w:rsidR="00C7276B">
              <w:rPr>
                <w:spacing w:val="-2"/>
              </w:rPr>
              <w:t>i</w:t>
            </w:r>
            <w:r>
              <w:rPr>
                <w:spacing w:val="-2"/>
              </w:rPr>
              <w:t>nitiated Alerting</w:t>
            </w:r>
          </w:p>
        </w:tc>
        <w:tc>
          <w:tcPr>
            <w:tcW w:w="630" w:type="dxa"/>
          </w:tcPr>
          <w:p w:rsidR="004C2EE3" w14:paraId="05F1FC60" w14:textId="77777777">
            <w:pPr>
              <w:tabs>
                <w:tab w:val="center" w:pos="4680"/>
              </w:tabs>
              <w:suppressAutoHyphens/>
              <w:rPr>
                <w:b/>
                <w:spacing w:val="-2"/>
              </w:rPr>
            </w:pPr>
            <w:r>
              <w:rPr>
                <w:b/>
                <w:spacing w:val="-2"/>
              </w:rPr>
              <w:t>)</w:t>
            </w:r>
          </w:p>
          <w:p w:rsidR="004C2EE3" w14:paraId="2F6BA98C" w14:textId="77777777">
            <w:pPr>
              <w:tabs>
                <w:tab w:val="center" w:pos="4680"/>
              </w:tabs>
              <w:suppressAutoHyphens/>
              <w:rPr>
                <w:b/>
                <w:spacing w:val="-2"/>
              </w:rPr>
            </w:pPr>
            <w:r>
              <w:rPr>
                <w:b/>
                <w:spacing w:val="-2"/>
              </w:rPr>
              <w:t>)</w:t>
            </w:r>
          </w:p>
          <w:p w:rsidR="004C2EE3" w14:paraId="50541BF4" w14:textId="77777777">
            <w:pPr>
              <w:tabs>
                <w:tab w:val="center" w:pos="4680"/>
              </w:tabs>
              <w:suppressAutoHyphens/>
              <w:rPr>
                <w:b/>
                <w:spacing w:val="-2"/>
              </w:rPr>
            </w:pPr>
            <w:r>
              <w:rPr>
                <w:b/>
                <w:spacing w:val="-2"/>
              </w:rPr>
              <w:t>)</w:t>
            </w:r>
          </w:p>
          <w:p w:rsidR="004C2EE3" w14:paraId="79C911DC" w14:textId="719FFEDF">
            <w:pPr>
              <w:tabs>
                <w:tab w:val="center" w:pos="4680"/>
              </w:tabs>
              <w:suppressAutoHyphens/>
              <w:rPr>
                <w:b/>
                <w:spacing w:val="-2"/>
              </w:rPr>
            </w:pPr>
            <w:r>
              <w:rPr>
                <w:b/>
                <w:spacing w:val="-2"/>
              </w:rPr>
              <w:t>)</w:t>
            </w:r>
          </w:p>
          <w:p w:rsidR="004C2EE3" w14:paraId="31BF1D68" w14:textId="2201B423">
            <w:pPr>
              <w:tabs>
                <w:tab w:val="center" w:pos="4680"/>
              </w:tabs>
              <w:suppressAutoHyphens/>
              <w:rPr>
                <w:spacing w:val="-2"/>
              </w:rPr>
            </w:pPr>
          </w:p>
        </w:tc>
        <w:tc>
          <w:tcPr>
            <w:tcW w:w="4248" w:type="dxa"/>
          </w:tcPr>
          <w:p w:rsidR="004C2EE3" w14:paraId="0BD7FB9F" w14:textId="77777777">
            <w:pPr>
              <w:tabs>
                <w:tab w:val="center" w:pos="4680"/>
              </w:tabs>
              <w:suppressAutoHyphens/>
              <w:rPr>
                <w:spacing w:val="-2"/>
              </w:rPr>
            </w:pPr>
          </w:p>
          <w:p w:rsidR="004C2EE3" w14:paraId="77DCB842" w14:textId="77777777">
            <w:pPr>
              <w:pStyle w:val="TOAHeading"/>
              <w:tabs>
                <w:tab w:val="center" w:pos="4680"/>
                <w:tab w:val="clear" w:pos="9360"/>
              </w:tabs>
              <w:rPr>
                <w:spacing w:val="-2"/>
              </w:rPr>
            </w:pPr>
          </w:p>
          <w:p w:rsidR="00D45E37" w14:paraId="6C10E5BB" w14:textId="3E02833C">
            <w:pPr>
              <w:tabs>
                <w:tab w:val="center" w:pos="4680"/>
              </w:tabs>
              <w:suppressAutoHyphens/>
              <w:rPr>
                <w:spacing w:val="-2"/>
              </w:rPr>
            </w:pPr>
            <w:r>
              <w:rPr>
                <w:spacing w:val="-2"/>
              </w:rPr>
              <w:t xml:space="preserve">PS Docket No. </w:t>
            </w:r>
            <w:r w:rsidR="00CE748A">
              <w:rPr>
                <w:spacing w:val="-2"/>
              </w:rPr>
              <w:t>15</w:t>
            </w:r>
            <w:r>
              <w:rPr>
                <w:spacing w:val="-2"/>
              </w:rPr>
              <w:t>-</w:t>
            </w:r>
            <w:r w:rsidR="00CE748A">
              <w:rPr>
                <w:spacing w:val="-2"/>
              </w:rPr>
              <w:t>91</w:t>
            </w:r>
          </w:p>
          <w:p w:rsidR="00295134" w:rsidP="005E05F2" w14:paraId="0834C25B" w14:textId="13497EE1">
            <w:pPr>
              <w:tabs>
                <w:tab w:val="center" w:pos="4680"/>
              </w:tabs>
              <w:suppressAutoHyphens/>
              <w:rPr>
                <w:spacing w:val="-2"/>
              </w:rPr>
            </w:pPr>
          </w:p>
        </w:tc>
      </w:tr>
    </w:tbl>
    <w:p w:rsidR="004C2EE3" w:rsidP="0070224F" w14:paraId="7FF47FBD" w14:textId="77777777"/>
    <w:p w:rsidR="00841AB1" w:rsidP="00F021FA" w14:paraId="61D57350" w14:textId="77777777">
      <w:pPr>
        <w:pStyle w:val="StyleBoldCentered"/>
      </w:pPr>
      <w:r>
        <w:t>order</w:t>
      </w:r>
    </w:p>
    <w:p w:rsidR="004C2EE3" w14:paraId="54B5B56E" w14:textId="77777777">
      <w:pPr>
        <w:tabs>
          <w:tab w:val="left" w:pos="-720"/>
        </w:tabs>
        <w:suppressAutoHyphens/>
        <w:spacing w:line="227" w:lineRule="auto"/>
        <w:rPr>
          <w:spacing w:val="-2"/>
        </w:rPr>
      </w:pPr>
    </w:p>
    <w:p w:rsidR="004C2EE3" w:rsidP="00133F79" w14:paraId="59FE0FFB" w14:textId="51E4BD63">
      <w:pPr>
        <w:tabs>
          <w:tab w:val="left" w:pos="720"/>
          <w:tab w:val="right" w:pos="9360"/>
        </w:tabs>
        <w:suppressAutoHyphens/>
        <w:spacing w:line="227" w:lineRule="auto"/>
        <w:rPr>
          <w:b/>
          <w:spacing w:val="-2"/>
        </w:rPr>
      </w:pPr>
      <w:r>
        <w:rPr>
          <w:b/>
          <w:spacing w:val="-2"/>
        </w:rPr>
        <w:t xml:space="preserve">Adopted:  </w:t>
      </w:r>
      <w:r w:rsidR="00C7276B">
        <w:rPr>
          <w:b/>
          <w:spacing w:val="-2"/>
        </w:rPr>
        <w:t>September 23,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7276B">
        <w:rPr>
          <w:b/>
          <w:spacing w:val="-2"/>
        </w:rPr>
        <w:t>September 23, 2019</w:t>
      </w:r>
    </w:p>
    <w:p w:rsidR="00822CE0" w14:paraId="661528C7" w14:textId="77777777"/>
    <w:p w:rsidR="004C2EE3" w14:paraId="54CA5327" w14:textId="6484808A">
      <w:pPr>
        <w:rPr>
          <w:spacing w:val="-2"/>
        </w:rPr>
      </w:pPr>
      <w:r>
        <w:t xml:space="preserve">By </w:t>
      </w:r>
      <w:r w:rsidR="004E4A22">
        <w:t>the</w:t>
      </w:r>
      <w:r w:rsidR="002A2D2E">
        <w:t xml:space="preserve"> </w:t>
      </w:r>
      <w:r w:rsidR="00295134">
        <w:rPr>
          <w:spacing w:val="-2"/>
        </w:rPr>
        <w:t>Chief, Public Safety and Homeland Security Bureau</w:t>
      </w:r>
      <w:r>
        <w:rPr>
          <w:spacing w:val="-2"/>
        </w:rPr>
        <w:t>:</w:t>
      </w:r>
    </w:p>
    <w:p w:rsidR="00822CE0" w14:paraId="70E4EF7C" w14:textId="77777777">
      <w:pPr>
        <w:rPr>
          <w:spacing w:val="-2"/>
        </w:rPr>
      </w:pPr>
    </w:p>
    <w:p w:rsidR="00412FC5" w:rsidP="00C36B4C" w14:paraId="19C44C9A" w14:textId="77777777">
      <w:pPr>
        <w:pStyle w:val="Heading1"/>
      </w:pPr>
      <w:r>
        <w:t>introduction</w:t>
      </w:r>
    </w:p>
    <w:p w:rsidR="00295134" w:rsidP="00B85627" w14:paraId="1ABB80CC" w14:textId="40C320E0">
      <w:pPr>
        <w:pStyle w:val="ParaNum"/>
        <w:tabs>
          <w:tab w:val="clear" w:pos="1080"/>
          <w:tab w:val="num" w:pos="1440"/>
        </w:tabs>
      </w:pPr>
      <w:r>
        <w:t xml:space="preserve">In this </w:t>
      </w:r>
      <w:r w:rsidRPr="00B85627">
        <w:t>Order</w:t>
      </w:r>
      <w:r>
        <w:t xml:space="preserve">, the Public Safety and Homeland Security Bureau (Bureau) of the Federal Communications Commission (Commission) grants </w:t>
      </w:r>
      <w:r w:rsidR="00757523">
        <w:t xml:space="preserve">Participating Commercial Mobile Service (CMS) Providers </w:t>
      </w:r>
      <w:r>
        <w:t xml:space="preserve">a waiver of </w:t>
      </w:r>
      <w:r w:rsidR="00AB0078">
        <w:t xml:space="preserve">Section 10.450(a) of </w:t>
      </w:r>
      <w:r>
        <w:t xml:space="preserve">the Commission’s Wireless Emergency Alert (WEA) rules </w:t>
      </w:r>
      <w:r w:rsidR="00A649C3">
        <w:t>as effect</w:t>
      </w:r>
      <w:r w:rsidR="00C432E1">
        <w:t xml:space="preserve">ive </w:t>
      </w:r>
      <w:r w:rsidR="00A649C3">
        <w:t>November 30, 2019</w:t>
      </w:r>
      <w:r w:rsidR="00C432E1">
        <w:t>.</w:t>
      </w:r>
      <w:r>
        <w:rPr>
          <w:rStyle w:val="FootnoteReference"/>
        </w:rPr>
        <w:footnoteReference w:id="3"/>
      </w:r>
      <w:r w:rsidR="00C432E1">
        <w:t xml:space="preserve">  This waiver would</w:t>
      </w:r>
      <w:r w:rsidR="00A649C3">
        <w:t xml:space="preserve"> </w:t>
      </w:r>
      <w:r>
        <w:t xml:space="preserve">permit </w:t>
      </w:r>
      <w:r w:rsidR="00C432E1">
        <w:t>Participating CMS Providers</w:t>
      </w:r>
      <w:r w:rsidR="00191767">
        <w:t xml:space="preserve"> </w:t>
      </w:r>
      <w:r w:rsidR="00757523">
        <w:t xml:space="preserve">to </w:t>
      </w:r>
      <w:r w:rsidR="00985183">
        <w:t xml:space="preserve">forego </w:t>
      </w:r>
      <w:r w:rsidR="00D33DC3">
        <w:t xml:space="preserve">enhanced geotargeting for earthquake </w:t>
      </w:r>
      <w:r w:rsidR="000F14EF">
        <w:t>early warnings (EEWs)</w:t>
      </w:r>
      <w:r w:rsidR="00D33DC3">
        <w:t xml:space="preserve"> </w:t>
      </w:r>
      <w:r w:rsidR="00120FDE">
        <w:t>and</w:t>
      </w:r>
      <w:r w:rsidR="00C924F8">
        <w:t xml:space="preserve"> related</w:t>
      </w:r>
      <w:r w:rsidR="00120FDE">
        <w:t xml:space="preserve"> Public Safety Messages </w:t>
      </w:r>
      <w:r w:rsidR="00D33DC3">
        <w:t>i</w:t>
      </w:r>
      <w:r w:rsidR="00120FDE">
        <w:t>ssued</w:t>
      </w:r>
      <w:r w:rsidR="00D33DC3">
        <w:t xml:space="preserve"> by the United States Geological Survey</w:t>
      </w:r>
      <w:r w:rsidR="000F14EF">
        <w:t xml:space="preserve"> (USGS)</w:t>
      </w:r>
      <w:r w:rsidR="00D33DC3">
        <w:t>.</w:t>
      </w:r>
      <w:r>
        <w:rPr>
          <w:rStyle w:val="FootnoteReference"/>
        </w:rPr>
        <w:footnoteReference w:id="4"/>
      </w:r>
      <w:r w:rsidR="00191767">
        <w:t xml:space="preserve"> </w:t>
      </w:r>
      <w:r w:rsidR="00D33DC3">
        <w:t xml:space="preserve"> USGS </w:t>
      </w:r>
      <w:r w:rsidR="00C432E1">
        <w:t>has identified the need for</w:t>
      </w:r>
      <w:r w:rsidR="00D33DC3">
        <w:t xml:space="preserve"> </w:t>
      </w:r>
      <w:r w:rsidR="00120FDE">
        <w:t xml:space="preserve">this waiver </w:t>
      </w:r>
      <w:r w:rsidR="000F14EF">
        <w:t xml:space="preserve">to allow </w:t>
      </w:r>
      <w:r w:rsidR="00120FDE">
        <w:t xml:space="preserve">their EEWs </w:t>
      </w:r>
      <w:r w:rsidR="000F14EF">
        <w:t xml:space="preserve">to reach </w:t>
      </w:r>
      <w:r w:rsidR="00C924F8">
        <w:t xml:space="preserve">the public </w:t>
      </w:r>
      <w:r w:rsidR="00120FDE">
        <w:t xml:space="preserve">as quickly as possible, and to ensure that </w:t>
      </w:r>
      <w:r w:rsidR="00C924F8">
        <w:t xml:space="preserve">related </w:t>
      </w:r>
      <w:r w:rsidR="00120FDE">
        <w:t>Public Safety Messages</w:t>
      </w:r>
      <w:r>
        <w:rPr>
          <w:rStyle w:val="FootnoteReference"/>
        </w:rPr>
        <w:footnoteReference w:id="5"/>
      </w:r>
      <w:r w:rsidR="00120FDE">
        <w:t xml:space="preserve"> are </w:t>
      </w:r>
      <w:r w:rsidR="00985183">
        <w:t xml:space="preserve">distributed </w:t>
      </w:r>
      <w:r w:rsidR="008151AC">
        <w:t>to the same geographic area</w:t>
      </w:r>
      <w:r w:rsidR="00C924F8">
        <w:t xml:space="preserve"> as the initial EEW</w:t>
      </w:r>
      <w:r w:rsidR="000F14EF">
        <w:t>.</w:t>
      </w:r>
      <w:r>
        <w:rPr>
          <w:rStyle w:val="FootnoteReference"/>
        </w:rPr>
        <w:footnoteReference w:id="6"/>
      </w:r>
      <w:r w:rsidR="000F14EF">
        <w:t xml:space="preserve">  </w:t>
      </w:r>
      <w:r w:rsidR="002A285F">
        <w:t xml:space="preserve">For the reasons discussed below, we </w:t>
      </w:r>
      <w:r w:rsidRPr="00081B2C" w:rsidR="008B6B4B">
        <w:t xml:space="preserve">agree with USGS that “[t]his challenging speed requirement is unique to EEW” </w:t>
      </w:r>
      <w:r w:rsidRPr="00081B2C" w:rsidR="008B6B4B">
        <w:rPr>
          <w:snapToGrid/>
        </w:rPr>
        <w:t>and accordingly</w:t>
      </w:r>
      <w:r w:rsidR="008B6B4B">
        <w:rPr>
          <w:snapToGrid/>
        </w:rPr>
        <w:t xml:space="preserve"> </w:t>
      </w:r>
      <w:r w:rsidR="002A285F">
        <w:t xml:space="preserve">grant </w:t>
      </w:r>
      <w:r w:rsidR="000F14EF">
        <w:t>USGS’</w:t>
      </w:r>
      <w:r w:rsidR="002A285F">
        <w:t xml:space="preserve"> request</w:t>
      </w:r>
      <w:r w:rsidR="000F14EF">
        <w:t xml:space="preserve"> for waiver</w:t>
      </w:r>
      <w:r w:rsidR="00C924F8">
        <w:t xml:space="preserve"> to the extent described herein.</w:t>
      </w:r>
      <w:r>
        <w:rPr>
          <w:rStyle w:val="FootnoteReference"/>
        </w:rPr>
        <w:footnoteReference w:id="7"/>
      </w:r>
      <w:r w:rsidR="00C924F8">
        <w:t xml:space="preserve"> </w:t>
      </w:r>
    </w:p>
    <w:p w:rsidR="002A285F" w:rsidP="002A285F" w14:paraId="2648C536" w14:textId="77777777">
      <w:pPr>
        <w:pStyle w:val="Heading1"/>
      </w:pPr>
      <w:r>
        <w:t>background</w:t>
      </w:r>
    </w:p>
    <w:p w:rsidR="00D71B19" w:rsidP="00ED2FEB" w14:paraId="50615C31" w14:textId="18D10586">
      <w:pPr>
        <w:pStyle w:val="ParaNum"/>
        <w:tabs>
          <w:tab w:val="clear" w:pos="1080"/>
          <w:tab w:val="num" w:pos="1440"/>
        </w:tabs>
      </w:pPr>
      <w:r w:rsidRPr="00100588">
        <w:t xml:space="preserve">The WEA system allows authorized government entities to send geographically targeted emergency alerts to commercial wireless subscribers who have WEA-capable mobile devices, and whose </w:t>
      </w:r>
      <w:r w:rsidRPr="00100588">
        <w:t>commercial wireless service providers are Participating CMS Providers.</w:t>
      </w:r>
      <w:r>
        <w:rPr>
          <w:rStyle w:val="FootnoteReference"/>
        </w:rPr>
        <w:footnoteReference w:id="8"/>
      </w:r>
      <w:r w:rsidRPr="00E86C69">
        <w:rPr>
          <w:rStyle w:val="FootnoteReference"/>
        </w:rPr>
        <w:t xml:space="preserve"> </w:t>
      </w:r>
      <w:r w:rsidRPr="00100588">
        <w:t xml:space="preserve"> </w:t>
      </w:r>
      <w:r w:rsidR="000F14EF">
        <w:t xml:space="preserve"> </w:t>
      </w:r>
      <w:r w:rsidR="00FC2060">
        <w:t>As of November 30, 2019, u</w:t>
      </w:r>
      <w:r w:rsidR="002C249F">
        <w:t>nder Section 10.450(a) of the Commission’s rules, Participating CMS Providers must</w:t>
      </w:r>
      <w:r w:rsidRPr="002C249F" w:rsidR="002C249F">
        <w:t xml:space="preserve"> </w:t>
      </w:r>
      <w:r w:rsidR="002C249F">
        <w:t xml:space="preserve">deliver WEA Alert Messages that are specified by a circle or polygon to </w:t>
      </w:r>
      <w:r w:rsidRPr="007F2988" w:rsidR="002C249F">
        <w:t>an area that matches the specified circle or polygon</w:t>
      </w:r>
      <w:r w:rsidR="002C249F">
        <w:t>.</w:t>
      </w:r>
      <w:r>
        <w:rPr>
          <w:rStyle w:val="FootnoteReference"/>
        </w:rPr>
        <w:footnoteReference w:id="9"/>
      </w:r>
      <w:r w:rsidR="002C249F">
        <w:t xml:space="preserve"> </w:t>
      </w:r>
      <w:r w:rsidR="002E24C5">
        <w:t xml:space="preserve"> </w:t>
      </w:r>
      <w:r w:rsidR="002C249F">
        <w:t xml:space="preserve">A Participating CMS Provider </w:t>
      </w:r>
      <w:r w:rsidR="00BE058E">
        <w:t>will be</w:t>
      </w:r>
      <w:r w:rsidR="002C249F">
        <w:t xml:space="preserve"> considered to have matched the target area when </w:t>
      </w:r>
      <w:r w:rsidR="005839F2">
        <w:t>it delivers</w:t>
      </w:r>
      <w:r w:rsidR="002C249F">
        <w:t xml:space="preserve"> an Alert Message to 1</w:t>
      </w:r>
      <w:r w:rsidRPr="007F2988" w:rsidR="002C249F">
        <w:t>00 percent of the target area with no more than 0.1 of a mile overshoot.</w:t>
      </w:r>
      <w:r>
        <w:rPr>
          <w:rStyle w:val="FootnoteReference"/>
        </w:rPr>
        <w:footnoteReference w:id="10"/>
      </w:r>
      <w:r w:rsidR="002C249F">
        <w:t xml:space="preserve">  </w:t>
      </w:r>
      <w:r w:rsidR="002E24C5">
        <w:t xml:space="preserve">We refer to this precise level of </w:t>
      </w:r>
      <w:r w:rsidR="00490CE8">
        <w:t xml:space="preserve">geotargeting </w:t>
      </w:r>
      <w:r w:rsidR="002E24C5">
        <w:t xml:space="preserve">as “enhanced geotargeting.”  </w:t>
      </w:r>
      <w:r w:rsidR="002C249F">
        <w:t xml:space="preserve">Section 10.450(a) </w:t>
      </w:r>
      <w:r w:rsidR="00BE058E">
        <w:t xml:space="preserve">will </w:t>
      </w:r>
      <w:r w:rsidR="002C249F">
        <w:t xml:space="preserve">further provide that, where the </w:t>
      </w:r>
      <w:r w:rsidRPr="007F2988">
        <w:t xml:space="preserve">Participating CMS Provider's network infrastructure is technically incapable of matching the specified target area, then that Participating CMS Provider must deliver the Alert Message to an area that </w:t>
      </w:r>
      <w:r w:rsidR="00AD6DC0">
        <w:t>meets the foregoing geotargeting standard (</w:t>
      </w:r>
      <w:r w:rsidR="00AD6DC0">
        <w:rPr>
          <w:i/>
        </w:rPr>
        <w:t>i.e.</w:t>
      </w:r>
      <w:r w:rsidR="00AD6DC0">
        <w:t>, an area that “best approximates” the target area)</w:t>
      </w:r>
      <w:r w:rsidR="00AD6DC0">
        <w:rPr>
          <w:i/>
        </w:rPr>
        <w:t xml:space="preserve"> </w:t>
      </w:r>
      <w:r w:rsidRPr="007F2988">
        <w:t>on and only on those aspects of its network infrastructure that are incapable of matching the target area.</w:t>
      </w:r>
      <w:r>
        <w:rPr>
          <w:rStyle w:val="FootnoteReference"/>
        </w:rPr>
        <w:footnoteReference w:id="11"/>
      </w:r>
    </w:p>
    <w:p w:rsidR="000A45E7" w:rsidRPr="000A45E7" w:rsidP="00C827CF" w14:paraId="64C3C617" w14:textId="6157791E">
      <w:pPr>
        <w:pStyle w:val="ParaNum"/>
        <w:tabs>
          <w:tab w:val="clear" w:pos="1080"/>
          <w:tab w:val="num" w:pos="1440"/>
        </w:tabs>
      </w:pPr>
      <w:r w:rsidRPr="00081B2C">
        <w:t xml:space="preserve">USGS </w:t>
      </w:r>
      <w:r w:rsidRPr="00081B2C" w:rsidR="00340CCC">
        <w:t xml:space="preserve">issues EEWs using </w:t>
      </w:r>
      <w:r w:rsidRPr="00081B2C" w:rsidR="002C249F">
        <w:t>“</w:t>
      </w:r>
      <w:r w:rsidRPr="00081B2C" w:rsidR="00340CCC">
        <w:t>ShakeAlert</w:t>
      </w:r>
      <w:r w:rsidRPr="00081B2C" w:rsidR="00340CCC">
        <w:t>,</w:t>
      </w:r>
      <w:r w:rsidRPr="00081B2C" w:rsidR="002C249F">
        <w:t>”</w:t>
      </w:r>
      <w:r w:rsidRPr="00081B2C" w:rsidR="00340CCC">
        <w:t xml:space="preserve"> a </w:t>
      </w:r>
      <w:r w:rsidRPr="00081B2C">
        <w:t>network of seismic sensors that detects earthquakes before they cause damage</w:t>
      </w:r>
      <w:r>
        <w:t>,</w:t>
      </w:r>
      <w:r w:rsidRPr="00081B2C">
        <w:t xml:space="preserve"> and generates alerts designed to quickly </w:t>
      </w:r>
      <w:r w:rsidRPr="00081B2C" w:rsidR="00FC2060">
        <w:t>encourage people to take protective measures</w:t>
      </w:r>
      <w:r w:rsidRPr="00081B2C">
        <w:t>.</w:t>
      </w:r>
      <w:r>
        <w:rPr>
          <w:rStyle w:val="FootnoteReference"/>
        </w:rPr>
        <w:footnoteReference w:id="12"/>
      </w:r>
      <w:r w:rsidRPr="00081B2C" w:rsidR="00705917">
        <w:t xml:space="preserve"> </w:t>
      </w:r>
      <w:r w:rsidRPr="00081B2C">
        <w:t xml:space="preserve"> </w:t>
      </w:r>
      <w:r w:rsidRPr="00C827CF" w:rsidR="00025E1F">
        <w:rPr>
          <w:szCs w:val="22"/>
        </w:rPr>
        <w:t>ShakeAlert</w:t>
      </w:r>
      <w:r w:rsidRPr="00C827CF" w:rsidR="00025E1F">
        <w:rPr>
          <w:szCs w:val="22"/>
        </w:rPr>
        <w:t xml:space="preserve"> specifies the alert’s target delivery area using polygons, and thus triggers the Commission’s enhanced geotargeting requirement.</w:t>
      </w:r>
      <w:r>
        <w:rPr>
          <w:rStyle w:val="FootnoteReference"/>
          <w:sz w:val="22"/>
          <w:szCs w:val="22"/>
        </w:rPr>
        <w:footnoteReference w:id="13"/>
      </w:r>
      <w:r w:rsidRPr="00C827CF" w:rsidR="00025E1F">
        <w:rPr>
          <w:szCs w:val="22"/>
        </w:rPr>
        <w:t xml:space="preserve">  </w:t>
      </w:r>
      <w:r w:rsidRPr="00081B2C" w:rsidR="00025E1F">
        <w:t xml:space="preserve">According to USGS, a key component of </w:t>
      </w:r>
      <w:r w:rsidRPr="00081B2C" w:rsidR="00025E1F">
        <w:t>ShakeAlert</w:t>
      </w:r>
      <w:r w:rsidRPr="00081B2C" w:rsidR="00025E1F">
        <w:t xml:space="preserve"> is the delivery of alerts to mobile phones using WEA.</w:t>
      </w:r>
      <w:r>
        <w:rPr>
          <w:rStyle w:val="FootnoteReference"/>
        </w:rPr>
        <w:footnoteReference w:id="14"/>
      </w:r>
      <w:r w:rsidRPr="00081B2C" w:rsidR="00025E1F">
        <w:t xml:space="preserve">  </w:t>
      </w:r>
      <w:r w:rsidRPr="00C827CF" w:rsidR="00025E1F">
        <w:rPr>
          <w:szCs w:val="22"/>
        </w:rPr>
        <w:t>USGS contends, however, that the process necessary to achieve enhanced geotargeting would introduce critical delays in the delivery of EEWs to the public that would render EEWs less effective.</w:t>
      </w:r>
      <w:r>
        <w:rPr>
          <w:rStyle w:val="FootnoteReference"/>
          <w:sz w:val="22"/>
          <w:szCs w:val="22"/>
        </w:rPr>
        <w:footnoteReference w:id="15"/>
      </w:r>
      <w:r w:rsidRPr="00C827CF" w:rsidR="00025E1F">
        <w:rPr>
          <w:szCs w:val="22"/>
        </w:rPr>
        <w:t xml:space="preserve">  </w:t>
      </w:r>
      <w:r w:rsidR="00AD6DC0">
        <w:t>USGS states that for</w:t>
      </w:r>
      <w:r w:rsidRPr="00B66B57" w:rsidR="00AD6DC0">
        <w:t xml:space="preserve"> each second </w:t>
      </w:r>
      <w:r w:rsidR="00AD6DC0">
        <w:t xml:space="preserve">of delay in alert receipt, </w:t>
      </w:r>
      <w:r w:rsidRPr="00B66B57" w:rsidR="00AD6DC0">
        <w:t xml:space="preserve">the </w:t>
      </w:r>
      <w:r w:rsidR="00AD6DC0">
        <w:t xml:space="preserve">earthquake </w:t>
      </w:r>
      <w:r w:rsidRPr="00B66B57" w:rsidR="00AD6DC0">
        <w:t>zone expands by two miles</w:t>
      </w:r>
      <w:r w:rsidR="00C827CF">
        <w:t>,</w:t>
      </w:r>
      <w:r>
        <w:rPr>
          <w:rStyle w:val="FootnoteReference"/>
          <w:szCs w:val="23"/>
        </w:rPr>
        <w:footnoteReference w:id="16"/>
      </w:r>
      <w:r w:rsidR="00C827CF">
        <w:t xml:space="preserve"> but that those who receive the alert within sufficient time to take protective action</w:t>
      </w:r>
      <w:r w:rsidRPr="00C827CF" w:rsidR="00C827CF">
        <w:t xml:space="preserve"> can substantially reduce </w:t>
      </w:r>
      <w:r w:rsidR="00C827CF">
        <w:t xml:space="preserve">their risk of </w:t>
      </w:r>
      <w:r w:rsidRPr="00C827CF" w:rsidR="00C827CF">
        <w:t>injury</w:t>
      </w:r>
      <w:r w:rsidR="00C827CF">
        <w:t>.</w:t>
      </w:r>
      <w:r>
        <w:rPr>
          <w:rStyle w:val="FootnoteReference"/>
        </w:rPr>
        <w:footnoteReference w:id="17"/>
      </w:r>
      <w:r w:rsidR="00AD6DC0">
        <w:t xml:space="preserve">  </w:t>
      </w:r>
      <w:r w:rsidR="009D4527">
        <w:rPr>
          <w:szCs w:val="22"/>
        </w:rPr>
        <w:t>A</w:t>
      </w:r>
      <w:r w:rsidR="00C827CF">
        <w:rPr>
          <w:szCs w:val="22"/>
        </w:rPr>
        <w:t>ccording to USGS, when it comes to EEWs, “time is of the essence.”</w:t>
      </w:r>
      <w:r>
        <w:rPr>
          <w:rStyle w:val="FootnoteReference"/>
          <w:szCs w:val="23"/>
        </w:rPr>
        <w:footnoteReference w:id="18"/>
      </w:r>
      <w:r w:rsidRPr="00C827CF" w:rsidR="00C827CF">
        <w:rPr>
          <w:sz w:val="23"/>
          <w:szCs w:val="23"/>
        </w:rPr>
        <w:t xml:space="preserve">  </w:t>
      </w:r>
    </w:p>
    <w:p w:rsidR="00025E1F" w:rsidRPr="00081B2C" w:rsidP="00BF04FA" w14:paraId="324E9EC9" w14:textId="64D2E4BB">
      <w:pPr>
        <w:pStyle w:val="ParaNum"/>
        <w:tabs>
          <w:tab w:val="clear" w:pos="1080"/>
          <w:tab w:val="num" w:pos="1440"/>
        </w:tabs>
      </w:pPr>
      <w:r>
        <w:t>ATIS has</w:t>
      </w:r>
      <w:r w:rsidR="000A45E7">
        <w:t xml:space="preserve"> developed standards to comply with the Commission’s enhanced geotargeting requirement for WEA using a technique known as device-based geofencing.</w:t>
      </w:r>
      <w:r>
        <w:rPr>
          <w:rStyle w:val="FootnoteReference"/>
        </w:rPr>
        <w:footnoteReference w:id="19"/>
      </w:r>
      <w:r w:rsidR="000A45E7">
        <w:t xml:space="preserve">  To perform a geofence, Participating CMS Providers must transmit additional data to WEA-capable mobile devices regarding the specified geographic target area.  This target-area data can include up to 100 coordinates.</w:t>
      </w:r>
      <w:r>
        <w:rPr>
          <w:rStyle w:val="FootnoteReference"/>
        </w:rPr>
        <w:footnoteReference w:id="20"/>
      </w:r>
      <w:r w:rsidR="000A45E7">
        <w:t xml:space="preserve">  In the </w:t>
      </w:r>
      <w:r w:rsidRPr="005A7283" w:rsidR="000A45E7">
        <w:rPr>
          <w:i/>
        </w:rPr>
        <w:t>Second WEA R&amp;O</w:t>
      </w:r>
      <w:r w:rsidR="000A45E7">
        <w:t xml:space="preserve">, the Commission reasoned that transmitting this additional data could delay Alert Message </w:t>
      </w:r>
      <w:r w:rsidR="000A45E7">
        <w:t>receipt by up to 15.36 seconds.</w:t>
      </w:r>
      <w:r>
        <w:rPr>
          <w:rStyle w:val="FootnoteReference"/>
        </w:rPr>
        <w:footnoteReference w:id="21"/>
      </w:r>
      <w:r w:rsidR="000A45E7">
        <w:t xml:space="preserve"> </w:t>
      </w:r>
      <w:r w:rsidRPr="005A7283" w:rsidR="000A45E7">
        <w:rPr>
          <w:i/>
        </w:rPr>
        <w:t xml:space="preserve"> </w:t>
      </w:r>
      <w:r w:rsidR="000A45E7">
        <w:t>According to the more recently adopted ATIS standard for device-based geofencing, however, the geofencing process can take as long as 255 seconds (</w:t>
      </w:r>
      <w:r w:rsidRPr="005A7283" w:rsidR="000A45E7">
        <w:rPr>
          <w:i/>
        </w:rPr>
        <w:t>i.e.</w:t>
      </w:r>
      <w:r w:rsidR="000A45E7">
        <w:t>, 4 minutes and 15 seconds).</w:t>
      </w:r>
      <w:r>
        <w:rPr>
          <w:rStyle w:val="FootnoteReference"/>
        </w:rPr>
        <w:footnoteReference w:id="22"/>
      </w:r>
      <w:r w:rsidR="000A45E7">
        <w:t xml:space="preserve">  </w:t>
      </w:r>
      <w:r w:rsidRPr="00081B2C">
        <w:rPr>
          <w:szCs w:val="22"/>
        </w:rPr>
        <w:t>USGS</w:t>
      </w:r>
      <w:r>
        <w:rPr>
          <w:szCs w:val="22"/>
        </w:rPr>
        <w:t xml:space="preserve"> </w:t>
      </w:r>
      <w:r w:rsidRPr="00081B2C">
        <w:rPr>
          <w:szCs w:val="22"/>
        </w:rPr>
        <w:t>asserts that</w:t>
      </w:r>
      <w:r>
        <w:rPr>
          <w:szCs w:val="22"/>
        </w:rPr>
        <w:t xml:space="preserve"> use of this technological solution for more targeted alerting </w:t>
      </w:r>
      <w:r w:rsidRPr="00081B2C">
        <w:rPr>
          <w:szCs w:val="22"/>
        </w:rPr>
        <w:t xml:space="preserve">will, in the case of USGS </w:t>
      </w:r>
      <w:r w:rsidRPr="00081B2C">
        <w:rPr>
          <w:szCs w:val="22"/>
        </w:rPr>
        <w:t>ShakeAlert</w:t>
      </w:r>
      <w:r w:rsidRPr="00081B2C">
        <w:rPr>
          <w:szCs w:val="22"/>
        </w:rPr>
        <w:t>, “delay alert delivery so as to reduce or nullify the value of earthquake early warning alerts . . . .”</w:t>
      </w:r>
      <w:r>
        <w:rPr>
          <w:rStyle w:val="FootnoteReference"/>
          <w:szCs w:val="22"/>
        </w:rPr>
        <w:footnoteReference w:id="23"/>
      </w:r>
      <w:r w:rsidRPr="00081B2C">
        <w:rPr>
          <w:szCs w:val="22"/>
        </w:rPr>
        <w:t xml:space="preserve">  </w:t>
      </w:r>
    </w:p>
    <w:p w:rsidR="000A45E7" w:rsidP="007141EA" w14:paraId="3678B783" w14:textId="059527C7">
      <w:pPr>
        <w:pStyle w:val="ParaNum"/>
        <w:tabs>
          <w:tab w:val="clear" w:pos="1080"/>
          <w:tab w:val="num" w:pos="1440"/>
        </w:tabs>
      </w:pPr>
      <w:r>
        <w:t>In comparison</w:t>
      </w:r>
      <w:r w:rsidR="007245D6">
        <w:t xml:space="preserve"> to </w:t>
      </w:r>
      <w:r w:rsidR="008050A2">
        <w:t xml:space="preserve">the over 4-minute delay potentially attendant to EEW delivery using </w:t>
      </w:r>
      <w:r w:rsidR="007245D6">
        <w:t>device-based geofencing</w:t>
      </w:r>
      <w:r>
        <w:t xml:space="preserve">, </w:t>
      </w:r>
      <w:r w:rsidR="007245D6">
        <w:t>USGS claims</w:t>
      </w:r>
      <w:r w:rsidR="008050A2">
        <w:t xml:space="preserve"> </w:t>
      </w:r>
      <w:r w:rsidR="007245D6">
        <w:t xml:space="preserve">that Participating CMS Providers </w:t>
      </w:r>
      <w:r w:rsidR="008050A2">
        <w:t xml:space="preserve">can </w:t>
      </w:r>
      <w:r w:rsidRPr="007245D6" w:rsidR="007245D6">
        <w:t xml:space="preserve">deliver </w:t>
      </w:r>
      <w:r w:rsidR="008050A2">
        <w:t>an EEW to</w:t>
      </w:r>
      <w:r w:rsidRPr="007245D6" w:rsidR="007245D6">
        <w:t xml:space="preserve"> an area that “best approximates” the target area </w:t>
      </w:r>
      <w:r w:rsidR="008050A2">
        <w:t xml:space="preserve">in </w:t>
      </w:r>
      <w:r w:rsidR="007245D6">
        <w:t>as quickly as in 4 seconds (but more typically in 13 seconds).</w:t>
      </w:r>
      <w:r>
        <w:rPr>
          <w:rStyle w:val="FootnoteReference"/>
        </w:rPr>
        <w:footnoteReference w:id="24"/>
      </w:r>
      <w:r w:rsidR="007245D6">
        <w:t xml:space="preserve">  </w:t>
      </w:r>
      <w:r w:rsidR="007C4C6B">
        <w:t>T</w:t>
      </w:r>
      <w:r>
        <w:t xml:space="preserve">he </w:t>
      </w:r>
      <w:r w:rsidR="00AD6DC0">
        <w:t>USGS</w:t>
      </w:r>
      <w:r w:rsidR="009449AC">
        <w:t xml:space="preserve"> reasons that, if Participating CMS Providers deliver EEWs using the foregoing best approximates geotargeting standard, </w:t>
      </w:r>
      <w:r w:rsidR="00AD6DC0">
        <w:t>“</w:t>
      </w:r>
      <w:r w:rsidRPr="005A7283" w:rsidR="00AD6DC0">
        <w:t>WEA alerts will arrive before strong shaking in some cases</w:t>
      </w:r>
      <w:r w:rsidR="00AD6DC0">
        <w:t>.</w:t>
      </w:r>
      <w:r w:rsidR="009449AC">
        <w:t>”</w:t>
      </w:r>
      <w:r>
        <w:rPr>
          <w:rStyle w:val="FootnoteReference"/>
        </w:rPr>
        <w:footnoteReference w:id="25"/>
      </w:r>
      <w:r w:rsidR="00AD6DC0">
        <w:t xml:space="preserve">  </w:t>
      </w:r>
    </w:p>
    <w:p w:rsidR="007F7FE3" w:rsidP="00A44EB5" w14:paraId="4326887E" w14:textId="4682F045">
      <w:pPr>
        <w:pStyle w:val="ParaNum"/>
        <w:tabs>
          <w:tab w:val="clear" w:pos="1080"/>
          <w:tab w:val="num" w:pos="1440"/>
        </w:tabs>
      </w:pPr>
      <w:r w:rsidRPr="009449AC">
        <w:rPr>
          <w:szCs w:val="22"/>
        </w:rPr>
        <w:t>USGS explains that it has developed a solution to address this issue, in partnership with the Department</w:t>
      </w:r>
      <w:r w:rsidRPr="00081B2C">
        <w:t xml:space="preserve"> of Homeland Security’s Federal Emergency Management Agency (FEMA), which administers the Integrated Public Alert and Warning System (IPAWS) through which all WEA</w:t>
      </w:r>
      <w:r w:rsidR="00A44EB5">
        <w:t xml:space="preserve"> alerts</w:t>
      </w:r>
      <w:r w:rsidRPr="00081B2C">
        <w:t xml:space="preserve"> are authenticated, validated, and delivered to participating </w:t>
      </w:r>
      <w:r w:rsidRPr="00081B2C" w:rsidR="007438F5">
        <w:t>CMS</w:t>
      </w:r>
      <w:r w:rsidRPr="00081B2C">
        <w:t xml:space="preserve"> Providers.</w:t>
      </w:r>
      <w:r>
        <w:rPr>
          <w:rStyle w:val="FootnoteReference"/>
        </w:rPr>
        <w:footnoteReference w:id="26"/>
      </w:r>
      <w:r w:rsidRPr="00081B2C">
        <w:t xml:space="preserve"> </w:t>
      </w:r>
      <w:r w:rsidR="009449AC">
        <w:t xml:space="preserve"> </w:t>
      </w:r>
      <w:r>
        <w:t xml:space="preserve">According </w:t>
      </w:r>
      <w:r w:rsidRPr="00081B2C">
        <w:t xml:space="preserve">to </w:t>
      </w:r>
      <w:r w:rsidRPr="00081B2C" w:rsidR="008F7C42">
        <w:t xml:space="preserve">USGS and </w:t>
      </w:r>
      <w:r w:rsidRPr="00081B2C">
        <w:t xml:space="preserve">FEMA, subject to approval by the Commission, </w:t>
      </w:r>
      <w:r w:rsidRPr="00081B2C" w:rsidR="008F7C42">
        <w:t>FEMA</w:t>
      </w:r>
      <w:r w:rsidRPr="00081B2C">
        <w:t xml:space="preserve"> could institute a process whereby</w:t>
      </w:r>
      <w:r w:rsidRPr="00081B2C" w:rsidR="00F2677F">
        <w:t xml:space="preserve"> WEA Alert Messages</w:t>
      </w:r>
      <w:r w:rsidRPr="00081B2C">
        <w:t xml:space="preserve"> </w:t>
      </w:r>
      <w:r w:rsidRPr="00081B2C" w:rsidR="00F2677F">
        <w:t>initiated</w:t>
      </w:r>
      <w:r w:rsidRPr="00081B2C">
        <w:t xml:space="preserve"> by </w:t>
      </w:r>
      <w:r w:rsidRPr="00081B2C" w:rsidR="00FD3767">
        <w:t xml:space="preserve">the </w:t>
      </w:r>
      <w:r w:rsidRPr="00081B2C">
        <w:t>USGS that include</w:t>
      </w:r>
      <w:r w:rsidRPr="00081B2C" w:rsidR="00FD3767">
        <w:t xml:space="preserve"> </w:t>
      </w:r>
      <w:r w:rsidRPr="00081B2C">
        <w:t>designated earthquake-related event and handling code</w:t>
      </w:r>
      <w:r w:rsidR="00490CE8">
        <w:t>s</w:t>
      </w:r>
      <w:r w:rsidRPr="00081B2C" w:rsidR="00F2677F">
        <w:t xml:space="preserve"> could be transmitted to Participating CMS Providers with an</w:t>
      </w:r>
      <w:r w:rsidR="00F2677F">
        <w:t xml:space="preserve"> instruction to forego enhanced geotargeting </w:t>
      </w:r>
      <w:r w:rsidR="00534486">
        <w:t xml:space="preserve">and instead </w:t>
      </w:r>
      <w:r w:rsidR="00FD3767">
        <w:t xml:space="preserve">be </w:t>
      </w:r>
      <w:r w:rsidR="00534486">
        <w:t>deliver</w:t>
      </w:r>
      <w:r w:rsidR="00FD3767">
        <w:t>ed</w:t>
      </w:r>
      <w:r w:rsidR="00534486">
        <w:t xml:space="preserve"> to an area that best approximates </w:t>
      </w:r>
      <w:r w:rsidR="0039555C">
        <w:t>USGS’ t</w:t>
      </w:r>
      <w:r w:rsidR="008050A2">
        <w:t>arget</w:t>
      </w:r>
      <w:r w:rsidR="0039555C">
        <w:t>ed</w:t>
      </w:r>
      <w:r w:rsidR="008050A2">
        <w:t xml:space="preserve"> </w:t>
      </w:r>
      <w:r w:rsidR="0039555C">
        <w:t xml:space="preserve">polygonal </w:t>
      </w:r>
      <w:r w:rsidR="00534486">
        <w:t>area</w:t>
      </w:r>
      <w:r w:rsidR="00F2677F">
        <w:t>.</w:t>
      </w:r>
      <w:r>
        <w:rPr>
          <w:rStyle w:val="FootnoteReference"/>
        </w:rPr>
        <w:footnoteReference w:id="27"/>
      </w:r>
      <w:r w:rsidR="0039555C">
        <w:t xml:space="preserve"> </w:t>
      </w:r>
      <w:r w:rsidR="00FD3767">
        <w:t xml:space="preserve"> Specifically, USGS must initiate an alert with an event code “EQW” and a special handling code “Earthquake”</w:t>
      </w:r>
      <w:r w:rsidR="00490CE8">
        <w:t xml:space="preserve"> to forego enhanced geo-targeting.</w:t>
      </w:r>
      <w:r>
        <w:rPr>
          <w:rStyle w:val="FootnoteReference"/>
        </w:rPr>
        <w:footnoteReference w:id="28"/>
      </w:r>
      <w:r w:rsidR="00FD3767">
        <w:t xml:space="preserve">  </w:t>
      </w:r>
      <w:r w:rsidR="00E23017">
        <w:t>ATIS has support</w:t>
      </w:r>
      <w:r w:rsidR="00490CE8">
        <w:t>ed</w:t>
      </w:r>
      <w:r w:rsidR="00E23017">
        <w:t xml:space="preserve"> this </w:t>
      </w:r>
      <w:r w:rsidR="0039555C">
        <w:t>solution</w:t>
      </w:r>
      <w:r w:rsidR="00E23017">
        <w:t xml:space="preserve"> by adopting a device-based geofencing standard that allows these Alert Messages to bypass enhanced geotargeting, so long as regulatory policy permits </w:t>
      </w:r>
      <w:r w:rsidR="00421D72">
        <w:t>such an approach</w:t>
      </w:r>
      <w:r w:rsidR="00E23017">
        <w:t>.</w:t>
      </w:r>
      <w:r>
        <w:rPr>
          <w:rStyle w:val="FootnoteReference"/>
        </w:rPr>
        <w:footnoteReference w:id="29"/>
      </w:r>
      <w:r w:rsidR="00E23017">
        <w:t xml:space="preserve"> </w:t>
      </w:r>
      <w:r w:rsidR="009449AC">
        <w:t xml:space="preserve"> </w:t>
      </w:r>
    </w:p>
    <w:p w:rsidR="00F8588F" w:rsidP="00F8588F" w14:paraId="37C9BA57" w14:textId="77777777">
      <w:pPr>
        <w:pStyle w:val="Heading1"/>
      </w:pPr>
      <w:r>
        <w:t>discussion</w:t>
      </w:r>
    </w:p>
    <w:p w:rsidR="00F8588F" w:rsidRPr="00F8588F" w:rsidP="009449AC" w14:paraId="50FE731F" w14:textId="20E8B06D">
      <w:pPr>
        <w:pStyle w:val="ParaNum"/>
        <w:tabs>
          <w:tab w:val="clear" w:pos="1080"/>
          <w:tab w:val="num" w:pos="1440"/>
        </w:tabs>
      </w:pPr>
      <w:r>
        <w:t>Under Section 1.3 of the Commission’s rules, a</w:t>
      </w:r>
      <w:r w:rsidRPr="00B85627" w:rsidR="00DC1A13">
        <w:t xml:space="preserve"> provision of the</w:t>
      </w:r>
      <w:r>
        <w:t xml:space="preserve"> agency</w:t>
      </w:r>
      <w:r w:rsidRPr="00B85627" w:rsidR="00DC1A13">
        <w:t>’s rules “may be waived by the Commission on its own motion or on petition if good cause therefor is shown.”</w:t>
      </w:r>
      <w:r>
        <w:rPr>
          <w:rStyle w:val="FootnoteReference"/>
        </w:rPr>
        <w:footnoteReference w:id="30"/>
      </w:r>
      <w:r w:rsidRPr="00B85627" w:rsidR="00DC1A13">
        <w:rPr>
          <w:rStyle w:val="FootnoteReference"/>
        </w:rPr>
        <w:t xml:space="preserve"> </w:t>
      </w:r>
      <w:r w:rsidRPr="00B85627" w:rsidR="00DC1A13">
        <w:t xml:space="preserve"> </w:t>
      </w:r>
      <w:r w:rsidR="00340CCC">
        <w:t xml:space="preserve"> </w:t>
      </w:r>
      <w:r w:rsidRPr="00B85627" w:rsidR="00DC1A13">
        <w:t xml:space="preserve">The Commission may find good cause to </w:t>
      </w:r>
      <w:r w:rsidR="00D42205">
        <w:t xml:space="preserve">offer </w:t>
      </w:r>
      <w:r w:rsidRPr="00B85627" w:rsidR="00DC1A13">
        <w:t>a waiver, “if special circumstances warrant a deviation from the general rule and such deviation will serve the public interest.”</w:t>
      </w:r>
      <w:r>
        <w:rPr>
          <w:rStyle w:val="FootnoteReference"/>
        </w:rPr>
        <w:footnoteReference w:id="31"/>
      </w:r>
      <w:r w:rsidRPr="00B85627" w:rsidR="00DC1A13">
        <w:t xml:space="preserve"> </w:t>
      </w:r>
      <w:r w:rsidR="00AD6DC0">
        <w:t xml:space="preserve"> </w:t>
      </w:r>
      <w:r w:rsidRPr="004C692E" w:rsidR="004C692E">
        <w:t xml:space="preserve">Under Section 1.925(b)(3)(i) of the Commission's rules, the Commission may grant a rule waiver </w:t>
      </w:r>
      <w:r w:rsidR="00AC1031">
        <w:t xml:space="preserve">implicating wireless service </w:t>
      </w:r>
      <w:r w:rsidRPr="004C692E" w:rsidR="004C692E">
        <w:t>when two requirements are satisfied: (1) the underlying purpose of the rule would not be served or would be frustrated by application to the instant case, and (2) a grant of the requested waiver would be in the public interest.</w:t>
      </w:r>
      <w:r>
        <w:rPr>
          <w:rStyle w:val="FootnoteReference"/>
        </w:rPr>
        <w:footnoteReference w:id="32"/>
      </w:r>
      <w:r w:rsidR="00CE304E">
        <w:t xml:space="preserve"> </w:t>
      </w:r>
      <w:r w:rsidRPr="00B85627" w:rsidR="00DC1A13">
        <w:t xml:space="preserve"> </w:t>
      </w:r>
      <w:r w:rsidR="009449AC">
        <w:t xml:space="preserve">We </w:t>
      </w:r>
      <w:bookmarkStart w:id="2" w:name="_Hlk20133960"/>
      <w:r w:rsidR="009449AC">
        <w:t>grant USGS’ request for waiver to the extent stated herein because it</w:t>
      </w:r>
      <w:r>
        <w:t xml:space="preserve"> meets both of these standards.  </w:t>
      </w:r>
      <w:r w:rsidR="0023204F">
        <w:t xml:space="preserve">This waiver applies only to </w:t>
      </w:r>
      <w:r w:rsidR="00D42205">
        <w:t>EEWs</w:t>
      </w:r>
      <w:r w:rsidR="0023204F">
        <w:t xml:space="preserve"> initiated by USGS with an event code “EQW” and a special handling code “Earthquake,” as well as </w:t>
      </w:r>
      <w:r w:rsidR="00DC1A13">
        <w:t xml:space="preserve">to </w:t>
      </w:r>
      <w:r w:rsidR="0023204F">
        <w:t xml:space="preserve">any Public Safety Message USGS issues in connection with </w:t>
      </w:r>
      <w:r w:rsidR="00DC1A13">
        <w:t>such</w:t>
      </w:r>
      <w:r w:rsidR="0023204F">
        <w:t xml:space="preserve"> an </w:t>
      </w:r>
      <w:r w:rsidR="0024631D">
        <w:t>A</w:t>
      </w:r>
      <w:r w:rsidR="0023204F">
        <w:t>lert</w:t>
      </w:r>
      <w:r w:rsidR="0024631D">
        <w:t xml:space="preserve"> Message</w:t>
      </w:r>
      <w:bookmarkEnd w:id="2"/>
      <w:r w:rsidR="0023204F">
        <w:t xml:space="preserve">. </w:t>
      </w:r>
      <w:r w:rsidR="007A486F">
        <w:t xml:space="preserve"> Pursuant to this waiver, Participating CMS Providers </w:t>
      </w:r>
      <w:r w:rsidR="00FD3767">
        <w:t xml:space="preserve">may forego enhanced geotargeting and deliver </w:t>
      </w:r>
      <w:r w:rsidR="00270073">
        <w:t>EEW</w:t>
      </w:r>
      <w:r w:rsidR="007939FE">
        <w:t xml:space="preserve"> Alert Messages</w:t>
      </w:r>
      <w:r w:rsidR="007A486F">
        <w:t xml:space="preserve"> </w:t>
      </w:r>
      <w:r w:rsidR="00270073">
        <w:t xml:space="preserve">initiated by USGS </w:t>
      </w:r>
      <w:r w:rsidR="00FD3767">
        <w:t>to an area that</w:t>
      </w:r>
      <w:r w:rsidR="007939FE">
        <w:t xml:space="preserve"> “best approximate</w:t>
      </w:r>
      <w:r w:rsidR="00941645">
        <w:t>s</w:t>
      </w:r>
      <w:r w:rsidR="007939FE">
        <w:t xml:space="preserve">” </w:t>
      </w:r>
      <w:r w:rsidR="00FD3767">
        <w:t xml:space="preserve">the </w:t>
      </w:r>
      <w:r w:rsidR="00941645">
        <w:t xml:space="preserve">target </w:t>
      </w:r>
      <w:r w:rsidR="00FD3767">
        <w:t>area</w:t>
      </w:r>
      <w:r w:rsidR="007939FE">
        <w:t>.</w:t>
      </w:r>
      <w:r>
        <w:rPr>
          <w:rStyle w:val="FootnoteReference"/>
        </w:rPr>
        <w:footnoteReference w:id="33"/>
      </w:r>
    </w:p>
    <w:p w:rsidR="00372249" w:rsidP="007F7FE3" w14:paraId="2CDEE8E2" w14:textId="28EDEDBA">
      <w:pPr>
        <w:pStyle w:val="ParaNum"/>
        <w:tabs>
          <w:tab w:val="clear" w:pos="1080"/>
          <w:tab w:val="num" w:pos="1440"/>
        </w:tabs>
      </w:pPr>
      <w:r>
        <w:t>Further, w</w:t>
      </w:r>
      <w:r w:rsidR="00762A3A">
        <w:t xml:space="preserve">e </w:t>
      </w:r>
      <w:r w:rsidR="00800583">
        <w:t>agree with USGS that</w:t>
      </w:r>
      <w:r w:rsidR="00762A3A">
        <w:t xml:space="preserve"> </w:t>
      </w:r>
      <w:r w:rsidR="003A5F46">
        <w:t>EEWs c</w:t>
      </w:r>
      <w:r w:rsidR="00800583">
        <w:t>ould</w:t>
      </w:r>
      <w:r w:rsidR="003A5F46">
        <w:t xml:space="preserve"> be sent more swiftly using WEA if Participating CMS Providers were to forego enhanced geotargeting</w:t>
      </w:r>
      <w:r w:rsidR="00762A3A">
        <w:t xml:space="preserve">.  </w:t>
      </w:r>
      <w:r w:rsidR="00592203">
        <w:t>Given the characteristics and impacts of earthquakes, w</w:t>
      </w:r>
      <w:r w:rsidR="001F7F49">
        <w:t xml:space="preserve">e are persuaded that the time saved by best approximating the target area would deliver </w:t>
      </w:r>
      <w:r w:rsidR="00592203">
        <w:t xml:space="preserve">significant </w:t>
      </w:r>
      <w:r w:rsidR="001F7F49">
        <w:t xml:space="preserve">public </w:t>
      </w:r>
      <w:r w:rsidRPr="00592203" w:rsidR="001F7F49">
        <w:rPr>
          <w:szCs w:val="22"/>
        </w:rPr>
        <w:t>interest benefits</w:t>
      </w:r>
      <w:r w:rsidR="00592203">
        <w:rPr>
          <w:szCs w:val="22"/>
        </w:rPr>
        <w:t xml:space="preserve"> of the kind contemplated by the Commission’s rules</w:t>
      </w:r>
      <w:r w:rsidR="002B5CC3">
        <w:rPr>
          <w:szCs w:val="22"/>
        </w:rPr>
        <w:t>.</w:t>
      </w:r>
      <w:r w:rsidRPr="00592203" w:rsidR="001F7F49">
        <w:rPr>
          <w:szCs w:val="22"/>
        </w:rPr>
        <w:t xml:space="preserve">  According to</w:t>
      </w:r>
      <w:r w:rsidR="00A60CB7">
        <w:rPr>
          <w:szCs w:val="22"/>
        </w:rPr>
        <w:t xml:space="preserve"> </w:t>
      </w:r>
      <w:r w:rsidRPr="00592203" w:rsidR="001F7F49">
        <w:rPr>
          <w:szCs w:val="22"/>
        </w:rPr>
        <w:t xml:space="preserve">USGS, the protective action that is carried in the WEA message </w:t>
      </w:r>
      <w:r w:rsidRPr="00592203" w:rsidR="001F7F49">
        <w:rPr>
          <w:i/>
          <w:szCs w:val="22"/>
        </w:rPr>
        <w:t>is “Earthquake! Expect shaking. Drop, cover, hold on. Protect yourself now.”</w:t>
      </w:r>
      <w:r>
        <w:rPr>
          <w:rStyle w:val="FootnoteReference"/>
          <w:sz w:val="22"/>
          <w:szCs w:val="22"/>
        </w:rPr>
        <w:footnoteReference w:id="34"/>
      </w:r>
      <w:r w:rsidR="00455234">
        <w:rPr>
          <w:szCs w:val="22"/>
        </w:rPr>
        <w:t xml:space="preserve"> </w:t>
      </w:r>
      <w:r w:rsidRPr="00592203" w:rsidR="001F7F49">
        <w:rPr>
          <w:szCs w:val="22"/>
        </w:rPr>
        <w:t xml:space="preserve"> USGS states that, “[o]n average it takes people about 9 seconds to drop, cover, and hold on and doing so can substantially reduce injury.</w:t>
      </w:r>
      <w:r>
        <w:rPr>
          <w:rStyle w:val="FootnoteReference"/>
          <w:sz w:val="22"/>
          <w:szCs w:val="22"/>
        </w:rPr>
        <w:footnoteReference w:id="35"/>
      </w:r>
      <w:r w:rsidRPr="00592203" w:rsidR="00A676EE">
        <w:rPr>
          <w:szCs w:val="22"/>
        </w:rPr>
        <w:t xml:space="preserve">  </w:t>
      </w:r>
      <w:r w:rsidR="00A60CB7">
        <w:rPr>
          <w:szCs w:val="22"/>
        </w:rPr>
        <w:t xml:space="preserve">USGS submits that </w:t>
      </w:r>
      <w:r w:rsidR="00F04CD7">
        <w:t>“</w:t>
      </w:r>
      <w:r w:rsidR="00A60CB7">
        <w:t>t</w:t>
      </w:r>
      <w:r w:rsidR="00F04CD7">
        <w:t xml:space="preserve">he </w:t>
      </w:r>
      <w:r w:rsidR="00F04CD7">
        <w:t>ShakeAlert</w:t>
      </w:r>
      <w:r w:rsidR="00F04CD7">
        <w:t xml:space="preserve"> system </w:t>
      </w:r>
      <w:r w:rsidRPr="00E45E3E" w:rsidR="00F04CD7">
        <w:t>detect</w:t>
      </w:r>
      <w:r w:rsidR="00F04CD7">
        <w:t>s</w:t>
      </w:r>
      <w:r w:rsidRPr="00E45E3E" w:rsidR="00F04CD7">
        <w:t xml:space="preserve"> significant earthquakes sufficiently fast that alerts can reach </w:t>
      </w:r>
      <w:r w:rsidRPr="00E45E3E" w:rsidR="00F04CD7">
        <w:t>many people seconds to several tens of seconds before shaking arrives</w:t>
      </w:r>
      <w:r w:rsidR="00F04CD7">
        <w:t>.”</w:t>
      </w:r>
      <w:r>
        <w:rPr>
          <w:rStyle w:val="FootnoteReference"/>
        </w:rPr>
        <w:footnoteReference w:id="36"/>
      </w:r>
      <w:r w:rsidRPr="00E45E3E" w:rsidR="00F04CD7">
        <w:t xml:space="preserve">  </w:t>
      </w:r>
      <w:r w:rsidR="00F04CD7">
        <w:t xml:space="preserve">Accordingly, </w:t>
      </w:r>
      <w:r w:rsidR="00F04CD7">
        <w:rPr>
          <w:szCs w:val="22"/>
        </w:rPr>
        <w:t>o</w:t>
      </w:r>
      <w:r w:rsidR="008143BC">
        <w:rPr>
          <w:szCs w:val="22"/>
        </w:rPr>
        <w:t xml:space="preserve">ur grant of a waiver would </w:t>
      </w:r>
      <w:r w:rsidR="00282D8E">
        <w:rPr>
          <w:szCs w:val="22"/>
        </w:rPr>
        <w:t xml:space="preserve">permit the emergency information to reach the target audience </w:t>
      </w:r>
      <w:r w:rsidR="00CD5DE5">
        <w:rPr>
          <w:szCs w:val="22"/>
        </w:rPr>
        <w:t>while there remains time to act on the information</w:t>
      </w:r>
      <w:r w:rsidR="00282D8E">
        <w:rPr>
          <w:szCs w:val="22"/>
        </w:rPr>
        <w:t xml:space="preserve">, thereby appreciably </w:t>
      </w:r>
      <w:r w:rsidR="008143BC">
        <w:rPr>
          <w:szCs w:val="22"/>
        </w:rPr>
        <w:t>increas</w:t>
      </w:r>
      <w:r w:rsidR="00282D8E">
        <w:rPr>
          <w:szCs w:val="22"/>
        </w:rPr>
        <w:t>ing</w:t>
      </w:r>
      <w:r w:rsidRPr="00CC1EBE" w:rsidR="00A676EE">
        <w:rPr>
          <w:szCs w:val="22"/>
        </w:rPr>
        <w:t xml:space="preserve"> the </w:t>
      </w:r>
      <w:r w:rsidRPr="00CC1EBE" w:rsidR="00D97382">
        <w:rPr>
          <w:szCs w:val="22"/>
        </w:rPr>
        <w:t xml:space="preserve">number </w:t>
      </w:r>
      <w:r w:rsidRPr="00CC1EBE" w:rsidR="00A676EE">
        <w:rPr>
          <w:szCs w:val="22"/>
        </w:rPr>
        <w:t>of lives saved,</w:t>
      </w:r>
      <w:r w:rsidR="008143BC">
        <w:rPr>
          <w:szCs w:val="22"/>
        </w:rPr>
        <w:t xml:space="preserve"> and decreas</w:t>
      </w:r>
      <w:r w:rsidR="00CD5DE5">
        <w:rPr>
          <w:szCs w:val="22"/>
        </w:rPr>
        <w:t>ing</w:t>
      </w:r>
      <w:r w:rsidR="008143BC">
        <w:rPr>
          <w:szCs w:val="22"/>
        </w:rPr>
        <w:t xml:space="preserve"> or mitiga</w:t>
      </w:r>
      <w:r w:rsidR="00CD5DE5">
        <w:rPr>
          <w:szCs w:val="22"/>
        </w:rPr>
        <w:t>ting</w:t>
      </w:r>
      <w:r w:rsidR="00064ACA">
        <w:rPr>
          <w:szCs w:val="22"/>
        </w:rPr>
        <w:t xml:space="preserve"> the number of</w:t>
      </w:r>
      <w:r w:rsidRPr="00CC1EBE" w:rsidR="00A676EE">
        <w:rPr>
          <w:szCs w:val="22"/>
        </w:rPr>
        <w:t xml:space="preserve"> injuries </w:t>
      </w:r>
      <w:r w:rsidR="008143BC">
        <w:rPr>
          <w:szCs w:val="22"/>
        </w:rPr>
        <w:t xml:space="preserve">and </w:t>
      </w:r>
      <w:r w:rsidR="00064ACA">
        <w:rPr>
          <w:szCs w:val="22"/>
        </w:rPr>
        <w:t xml:space="preserve">the extent of </w:t>
      </w:r>
      <w:r w:rsidRPr="00CC1EBE" w:rsidR="00A676EE">
        <w:rPr>
          <w:szCs w:val="22"/>
        </w:rPr>
        <w:t>loss of property</w:t>
      </w:r>
      <w:r w:rsidR="00063008">
        <w:rPr>
          <w:szCs w:val="22"/>
        </w:rPr>
        <w:t>, respectively</w:t>
      </w:r>
      <w:r w:rsidRPr="00CC1EBE" w:rsidR="00A676EE">
        <w:rPr>
          <w:szCs w:val="22"/>
        </w:rPr>
        <w:t>.</w:t>
      </w:r>
      <w:r>
        <w:rPr>
          <w:rStyle w:val="FootnoteReference"/>
          <w:szCs w:val="22"/>
        </w:rPr>
        <w:footnoteReference w:id="37"/>
      </w:r>
      <w:r w:rsidRPr="00CC1EBE" w:rsidR="00A676EE">
        <w:rPr>
          <w:szCs w:val="22"/>
        </w:rPr>
        <w:t xml:space="preserve">  </w:t>
      </w:r>
      <w:r w:rsidRPr="00CC1EBE" w:rsidR="00A676EE">
        <w:t xml:space="preserve">We credit USGS’s expertise regarding earthquakes and are unaware of any other potential methods that would permit precise geo-targeting and yet supply the </w:t>
      </w:r>
      <w:r w:rsidRPr="00CC1EBE" w:rsidR="00914A8E">
        <w:t xml:space="preserve">significant </w:t>
      </w:r>
      <w:r w:rsidRPr="00CC1EBE" w:rsidR="00A676EE">
        <w:t>benefits of this additional time by the current November 30, 2019 effective date of the new rule.</w:t>
      </w:r>
      <w:r>
        <w:rPr>
          <w:rStyle w:val="FootnoteReference"/>
        </w:rPr>
        <w:footnoteReference w:id="38"/>
      </w:r>
      <w:r w:rsidRPr="00CC1EBE" w:rsidR="005D52CE">
        <w:t xml:space="preserve">  </w:t>
      </w:r>
    </w:p>
    <w:p w:rsidR="008B1998" w:rsidP="009B1BD9" w14:paraId="6B18FA54" w14:textId="024AE17F">
      <w:pPr>
        <w:pStyle w:val="ParaNum"/>
        <w:tabs>
          <w:tab w:val="clear" w:pos="1080"/>
          <w:tab w:val="num" w:pos="1440"/>
        </w:tabs>
      </w:pPr>
      <w:bookmarkStart w:id="4" w:name="_Hlk18930585"/>
      <w:r>
        <w:t>Thus, w</w:t>
      </w:r>
      <w:r w:rsidR="001F7F49">
        <w:t>e believe that granting this limited waiver of the enhanced geotargeting requirement</w:t>
      </w:r>
      <w:r w:rsidR="000870F0">
        <w:t xml:space="preserve"> </w:t>
      </w:r>
      <w:r w:rsidR="001F7F49">
        <w:t xml:space="preserve">would not frustrate the purpose of the enhanced geotargeting requirement.  </w:t>
      </w:r>
      <w:bookmarkEnd w:id="4"/>
      <w:r w:rsidR="001F7F49">
        <w:t>The Commission required enhanced geotargeting despite the potential for</w:t>
      </w:r>
      <w:r w:rsidR="00963329">
        <w:t xml:space="preserve"> some</w:t>
      </w:r>
      <w:r w:rsidR="001F7F49">
        <w:t xml:space="preserve"> additional latency because of the critical importance of geotargeting accuracy to encourage alert originators to use WEA, to enable alert originators to use WEA to more effectively motivate consumers to take protective actions, and to reduce the potential for subscriber opt out due to alert fatigue.</w:t>
      </w:r>
      <w:r>
        <w:rPr>
          <w:rStyle w:val="FootnoteReference"/>
        </w:rPr>
        <w:footnoteReference w:id="39"/>
      </w:r>
      <w:r w:rsidR="001F7F49">
        <w:t xml:space="preserve">  </w:t>
      </w:r>
      <w:r w:rsidR="00963329">
        <w:t xml:space="preserve">As discussed above, however, </w:t>
      </w:r>
      <w:r w:rsidR="00914A8E">
        <w:t>based on the latest ATIS information</w:t>
      </w:r>
      <w:r w:rsidR="00963329">
        <w:t xml:space="preserve"> about the extent of latency and its effect on alerts relating to earthquakes</w:t>
      </w:r>
      <w:r w:rsidR="00914A8E">
        <w:t>, application of the rule to USGS “</w:t>
      </w:r>
      <w:r w:rsidR="00914A8E">
        <w:t>ShakeAlerts</w:t>
      </w:r>
      <w:r w:rsidR="00914A8E">
        <w:t>”</w:t>
      </w:r>
      <w:r w:rsidR="00963329">
        <w:t xml:space="preserve"> would frustrate </w:t>
      </w:r>
      <w:r w:rsidRPr="00CC1EBE" w:rsidR="00963329">
        <w:t xml:space="preserve">the </w:t>
      </w:r>
      <w:r w:rsidRPr="00CC1EBE" w:rsidR="00CD0257">
        <w:t xml:space="preserve">overriding </w:t>
      </w:r>
      <w:r w:rsidRPr="00CC1EBE" w:rsidR="00963329">
        <w:t xml:space="preserve">purpose of </w:t>
      </w:r>
      <w:r w:rsidRPr="00CC1EBE" w:rsidR="00CD0257">
        <w:t xml:space="preserve">all the </w:t>
      </w:r>
      <w:r w:rsidRPr="00CC1EBE" w:rsidR="007D74E8">
        <w:t>WEA rules</w:t>
      </w:r>
      <w:r w:rsidRPr="00CC1EBE" w:rsidR="00F5328A">
        <w:t>—</w:t>
      </w:r>
      <w:r w:rsidRPr="00CC1EBE" w:rsidR="00904EB6">
        <w:t xml:space="preserve">ensuring </w:t>
      </w:r>
      <w:r w:rsidRPr="00CC1EBE" w:rsidR="00F5328A">
        <w:t>th</w:t>
      </w:r>
      <w:r w:rsidRPr="00CC1EBE" w:rsidR="00904EB6">
        <w:t>at the public receives the</w:t>
      </w:r>
      <w:r w:rsidRPr="00CC1EBE" w:rsidR="009C1B74">
        <w:t xml:space="preserve"> type of alerts that optimize </w:t>
      </w:r>
      <w:r w:rsidRPr="00CC1EBE" w:rsidR="00794966">
        <w:t xml:space="preserve">the </w:t>
      </w:r>
      <w:r w:rsidRPr="00CC1EBE" w:rsidR="00CB4A9A">
        <w:t>protection that advance warnings can provide</w:t>
      </w:r>
      <w:r w:rsidRPr="00CC1EBE" w:rsidR="00963329">
        <w:t>.</w:t>
      </w:r>
      <w:r w:rsidR="00963329">
        <w:t xml:space="preserve">  </w:t>
      </w:r>
      <w:r w:rsidR="009B1BD9">
        <w:t xml:space="preserve">We do not believe that USGS-issued earthquake alerts will be so frequent that there is potential for alert fatigue.  </w:t>
      </w:r>
      <w:r w:rsidR="008B5486">
        <w:t xml:space="preserve">Based on data obtained from FEMA, </w:t>
      </w:r>
      <w:r w:rsidR="001F7F49">
        <w:t xml:space="preserve">the USGS issued </w:t>
      </w:r>
      <w:r w:rsidR="00AD468D">
        <w:t xml:space="preserve">no EEW alerts since connecting to IPAWS and </w:t>
      </w:r>
      <w:r w:rsidR="008B5486">
        <w:t>only</w:t>
      </w:r>
      <w:r w:rsidR="00AD468D">
        <w:t xml:space="preserve"> two test EEW alerts </w:t>
      </w:r>
      <w:r w:rsidR="008B5486">
        <w:t>in 201</w:t>
      </w:r>
      <w:r w:rsidR="00AD468D">
        <w:t>9</w:t>
      </w:r>
      <w:r w:rsidR="008B5486">
        <w:t>.</w:t>
      </w:r>
      <w:r>
        <w:rPr>
          <w:rStyle w:val="FootnoteReference"/>
        </w:rPr>
        <w:footnoteReference w:id="40"/>
      </w:r>
      <w:r w:rsidR="008B5486">
        <w:t xml:space="preserve">  </w:t>
      </w:r>
      <w:r w:rsidR="001E5971">
        <w:t xml:space="preserve">Further, </w:t>
      </w:r>
      <w:r w:rsidR="00D5592E">
        <w:t xml:space="preserve">the USGS </w:t>
      </w:r>
      <w:r w:rsidR="00F04CD7">
        <w:t xml:space="preserve">EEWs will still be transmitted to a target area described by a </w:t>
      </w:r>
      <w:r w:rsidR="00D5592E">
        <w:t>polygon</w:t>
      </w:r>
      <w:r w:rsidR="00F04CD7">
        <w:t>,</w:t>
      </w:r>
      <w:r w:rsidR="00D5592E">
        <w:t xml:space="preserve"> subst</w:t>
      </w:r>
      <w:r w:rsidR="00CB2786">
        <w:t>a</w:t>
      </w:r>
      <w:r w:rsidR="00D5592E">
        <w:t>ntially reduc</w:t>
      </w:r>
      <w:r w:rsidR="00F04CD7">
        <w:t>ing</w:t>
      </w:r>
      <w:r w:rsidR="00D5592E">
        <w:t xml:space="preserve"> the degree of over-alerting</w:t>
      </w:r>
      <w:r w:rsidR="000870F0">
        <w:t xml:space="preserve"> as compared to county-level alerting</w:t>
      </w:r>
      <w:r w:rsidR="00D5592E">
        <w:t xml:space="preserve">, which the Commission has determined </w:t>
      </w:r>
      <w:r w:rsidR="001E5971">
        <w:t xml:space="preserve">could </w:t>
      </w:r>
      <w:r w:rsidR="007939FE">
        <w:t>slow consumers’ response to alerts that emergency managers intend for them and incentivize consumers to opt-out of receiving WEA alerts altogether.</w:t>
      </w:r>
      <w:r>
        <w:rPr>
          <w:rStyle w:val="FootnoteReference"/>
        </w:rPr>
        <w:footnoteReference w:id="41"/>
      </w:r>
      <w:r w:rsidR="007939FE">
        <w:t xml:space="preserve">  </w:t>
      </w:r>
      <w:r w:rsidR="00331DF3">
        <w:t xml:space="preserve">Accordingly, we </w:t>
      </w:r>
      <w:r>
        <w:t xml:space="preserve">find that the underlying purpose of Section 10.450(a) </w:t>
      </w:r>
      <w:r w:rsidR="00120FDE">
        <w:t>is served by granting Participating CMS Providers this waiver</w:t>
      </w:r>
      <w:r>
        <w:t>.</w:t>
      </w:r>
      <w:r w:rsidR="00E46CD0">
        <w:t xml:space="preserve">   </w:t>
      </w:r>
    </w:p>
    <w:p w:rsidR="008F48A4" w:rsidRPr="006B44A4" w:rsidP="00B85627" w14:paraId="38484D72" w14:textId="2952FAC4">
      <w:pPr>
        <w:pStyle w:val="ParaNum"/>
        <w:tabs>
          <w:tab w:val="clear" w:pos="1080"/>
          <w:tab w:val="num" w:pos="1440"/>
        </w:tabs>
        <w:rPr>
          <w:szCs w:val="22"/>
        </w:rPr>
      </w:pPr>
      <w:r>
        <w:t>Finally, w</w:t>
      </w:r>
      <w:r w:rsidR="006E5190">
        <w:t>e also find good cause to e</w:t>
      </w:r>
      <w:r w:rsidR="0024631D">
        <w:t>xtend this waiver</w:t>
      </w:r>
      <w:r w:rsidRPr="00CC1EBE" w:rsidR="00502EE1">
        <w:t>, as requested by USGS,</w:t>
      </w:r>
      <w:r>
        <w:rPr>
          <w:rStyle w:val="FootnoteReference"/>
        </w:rPr>
        <w:footnoteReference w:id="42"/>
      </w:r>
      <w:r w:rsidRPr="00CC1EBE" w:rsidR="0024631D">
        <w:t xml:space="preserve"> to Public </w:t>
      </w:r>
      <w:r w:rsidRPr="00CC1EBE" w:rsidR="0024631D">
        <w:t xml:space="preserve">Safety Messages initiated by USGS in </w:t>
      </w:r>
      <w:r w:rsidRPr="00CC1EBE" w:rsidR="006B44A4">
        <w:t>connection with</w:t>
      </w:r>
      <w:r w:rsidRPr="00CC1EBE" w:rsidR="0024631D">
        <w:t xml:space="preserve"> </w:t>
      </w:r>
      <w:r w:rsidRPr="00CC1EBE" w:rsidR="006B44A4">
        <w:t>EEWs</w:t>
      </w:r>
      <w:r w:rsidRPr="00CC1EBE" w:rsidR="00914BE7">
        <w:t>.</w:t>
      </w:r>
      <w:r>
        <w:rPr>
          <w:rStyle w:val="FootnoteReference"/>
        </w:rPr>
        <w:footnoteReference w:id="43"/>
      </w:r>
      <w:r w:rsidRPr="00CC1EBE" w:rsidR="00914BE7">
        <w:t xml:space="preserve"> </w:t>
      </w:r>
      <w:r w:rsidRPr="00CC1EBE" w:rsidR="006B44A4">
        <w:t xml:space="preserve"> </w:t>
      </w:r>
      <w:r w:rsidRPr="00CC1EBE" w:rsidR="006E5190">
        <w:t xml:space="preserve">Extending </w:t>
      </w:r>
      <w:r w:rsidRPr="00CC1EBE" w:rsidR="00120FDE">
        <w:t>Participating CMS Providers’</w:t>
      </w:r>
      <w:r w:rsidRPr="00CC1EBE" w:rsidR="006E5190">
        <w:t xml:space="preserve"> waiver to Public Safety Messages initiated by USGS will enable USGS to transmit thes</w:t>
      </w:r>
      <w:r w:rsidR="006E5190">
        <w:t xml:space="preserve">e essential advisories to the same geographic footprint as the initial EEW.  </w:t>
      </w:r>
      <w:r>
        <w:t xml:space="preserve">USGS indicates </w:t>
      </w:r>
      <w:r>
        <w:t>ShakeAlert</w:t>
      </w:r>
      <w:r w:rsidRPr="00ED2FEB">
        <w:t xml:space="preserve"> </w:t>
      </w:r>
      <w:r>
        <w:t xml:space="preserve">will send follow-up information using the “Public Safety Message” category after each alert, including </w:t>
      </w:r>
      <w:r w:rsidRPr="00ED2FEB">
        <w:t>where to get additional</w:t>
      </w:r>
      <w:r>
        <w:t xml:space="preserve"> information.</w:t>
      </w:r>
      <w:r>
        <w:rPr>
          <w:rStyle w:val="FootnoteReference"/>
        </w:rPr>
        <w:footnoteReference w:id="44"/>
      </w:r>
      <w:r>
        <w:t xml:space="preserve"> </w:t>
      </w:r>
      <w:r w:rsidRPr="00ED2FEB">
        <w:t xml:space="preserve"> </w:t>
      </w:r>
      <w:r>
        <w:t xml:space="preserve">We believe it could cause confusion and panic if consumers were to receive follow-up information about how to protect themselves in the aftermath of an earthquake without first having received notice that an earthquake had occurred.  </w:t>
      </w:r>
    </w:p>
    <w:p w:rsidR="001772C7" w:rsidRPr="00261E78" w:rsidP="00B85627" w14:paraId="2ED36747" w14:textId="376829AD">
      <w:pPr>
        <w:pStyle w:val="ParaNum"/>
        <w:tabs>
          <w:tab w:val="clear" w:pos="1080"/>
          <w:tab w:val="num" w:pos="1440"/>
        </w:tabs>
        <w:rPr>
          <w:szCs w:val="22"/>
        </w:rPr>
      </w:pPr>
      <w:r>
        <w:t xml:space="preserve">We are not persuaded </w:t>
      </w:r>
      <w:r w:rsidR="0018008F">
        <w:t xml:space="preserve">at this time </w:t>
      </w:r>
      <w:r>
        <w:t>that it would be in the public interest to extend this waiver to</w:t>
      </w:r>
      <w:r w:rsidR="00914BE7">
        <w:t xml:space="preserve"> Alert Messages </w:t>
      </w:r>
      <w:r>
        <w:t xml:space="preserve">other </w:t>
      </w:r>
      <w:r w:rsidR="00914BE7">
        <w:t xml:space="preserve">than </w:t>
      </w:r>
      <w:r w:rsidR="00852B3A">
        <w:t>USGS</w:t>
      </w:r>
      <w:r w:rsidR="00E23017">
        <w:t>-initiated</w:t>
      </w:r>
      <w:r w:rsidR="00852B3A">
        <w:t xml:space="preserve"> </w:t>
      </w:r>
      <w:r w:rsidR="00914BE7">
        <w:t>EEWs</w:t>
      </w:r>
      <w:r>
        <w:t xml:space="preserve"> </w:t>
      </w:r>
      <w:r w:rsidR="00852B3A">
        <w:t xml:space="preserve">and </w:t>
      </w:r>
      <w:r w:rsidR="00E23017">
        <w:t xml:space="preserve">related </w:t>
      </w:r>
      <w:r w:rsidR="00852B3A">
        <w:t>Public Safety Messages</w:t>
      </w:r>
      <w:r>
        <w:t xml:space="preserve">.  USGS’ rationale for allowing </w:t>
      </w:r>
      <w:r w:rsidR="0018008F">
        <w:t xml:space="preserve">their </w:t>
      </w:r>
      <w:r>
        <w:t xml:space="preserve">EEWs </w:t>
      </w:r>
      <w:r w:rsidR="0018008F">
        <w:t xml:space="preserve">and earthquake-related Public Safety Messages </w:t>
      </w:r>
      <w:r>
        <w:t xml:space="preserve">to </w:t>
      </w:r>
      <w:r w:rsidR="00E23017">
        <w:t xml:space="preserve">forego </w:t>
      </w:r>
      <w:r>
        <w:t xml:space="preserve">enhanced geotargeting is </w:t>
      </w:r>
      <w:r w:rsidR="0018008F">
        <w:t>based on</w:t>
      </w:r>
      <w:r>
        <w:t xml:space="preserve"> </w:t>
      </w:r>
      <w:r w:rsidR="0018008F">
        <w:t xml:space="preserve">the exigencies created by </w:t>
      </w:r>
      <w:r>
        <w:t>earthquakes</w:t>
      </w:r>
      <w:r w:rsidR="00A676EE">
        <w:t xml:space="preserve"> and the USGS-administered system to detect them and distribute information about them as quickly as possible</w:t>
      </w:r>
      <w:r w:rsidR="00D5592E">
        <w:t>,</w:t>
      </w:r>
      <w:r w:rsidR="000C10C0">
        <w:t xml:space="preserve"> </w:t>
      </w:r>
      <w:r w:rsidR="00D5592E">
        <w:t xml:space="preserve">while minimizing </w:t>
      </w:r>
      <w:r w:rsidR="002F36D0">
        <w:t>over-</w:t>
      </w:r>
      <w:r w:rsidR="00F04CD7">
        <w:t>alerting</w:t>
      </w:r>
      <w:r w:rsidR="00816EF0">
        <w:t xml:space="preserve">.  </w:t>
      </w:r>
      <w:r w:rsidR="00ED2FEB">
        <w:t>According to FEMA, USGS is the only entity that is authorized to initiate earthquake early warnings over WEA.</w:t>
      </w:r>
      <w:r>
        <w:rPr>
          <w:rStyle w:val="FootnoteReference"/>
        </w:rPr>
        <w:footnoteReference w:id="45"/>
      </w:r>
      <w:r w:rsidR="00ED2FEB">
        <w:t xml:space="preserve">  </w:t>
      </w:r>
    </w:p>
    <w:p w:rsidR="00840E23" w:rsidP="00840E23" w14:paraId="7F2DEACD" w14:textId="77777777">
      <w:pPr>
        <w:pStyle w:val="Heading1"/>
      </w:pPr>
      <w:r>
        <w:t>ordering clause</w:t>
      </w:r>
    </w:p>
    <w:p w:rsidR="00840E23" w:rsidRPr="00B85627" w:rsidP="00B85627" w14:paraId="1F95BCC6" w14:textId="0897CD62">
      <w:pPr>
        <w:pStyle w:val="ParaNum"/>
        <w:widowControl/>
        <w:tabs>
          <w:tab w:val="clear" w:pos="1080"/>
          <w:tab w:val="num" w:pos="1440"/>
        </w:tabs>
      </w:pPr>
      <w:bookmarkStart w:id="5" w:name="_Hlk20134186"/>
      <w:r w:rsidRPr="00B85627">
        <w:t xml:space="preserve">Accordingly, IT IS ORDERED that, </w:t>
      </w:r>
      <w:r w:rsidR="00E40224">
        <w:t xml:space="preserve">as of the rule amendment’s effective date </w:t>
      </w:r>
      <w:r w:rsidR="00A07AAF">
        <w:t>(</w:t>
      </w:r>
      <w:r w:rsidR="00E40224">
        <w:t>November 30, 2019</w:t>
      </w:r>
      <w:r w:rsidR="00A07AAF">
        <w:t>),</w:t>
      </w:r>
      <w:r w:rsidR="00E40224">
        <w:t xml:space="preserve"> </w:t>
      </w:r>
      <w:r w:rsidRPr="00B85627">
        <w:t>pursuant to Section 4(i) of the Communications Act of 1934, as amended, 47 U.S.C. § 154(i), and Section 1.3 of the Commission’s rules, 47 CFR § 1.3, Section</w:t>
      </w:r>
      <w:r w:rsidR="006B44A4">
        <w:t xml:space="preserve"> </w:t>
      </w:r>
      <w:r w:rsidRPr="00B85627">
        <w:t>10.</w:t>
      </w:r>
      <w:r w:rsidR="006B44A4">
        <w:t>450(a)</w:t>
      </w:r>
      <w:r w:rsidRPr="00B85627">
        <w:t xml:space="preserve"> of the Commission’s rules </w:t>
      </w:r>
      <w:r w:rsidR="006B44A4">
        <w:t>IS</w:t>
      </w:r>
      <w:r w:rsidRPr="00B85627">
        <w:t xml:space="preserve"> WAIVED</w:t>
      </w:r>
      <w:r w:rsidR="00570BC6">
        <w:t xml:space="preserve"> </w:t>
      </w:r>
      <w:r w:rsidR="00E40224">
        <w:t xml:space="preserve">to the extent necessary </w:t>
      </w:r>
      <w:r w:rsidR="00570BC6">
        <w:t xml:space="preserve">for </w:t>
      </w:r>
      <w:r w:rsidR="006B44A4">
        <w:t xml:space="preserve">Participating CMS Providers to </w:t>
      </w:r>
      <w:r w:rsidR="00ED2FEB">
        <w:t xml:space="preserve">forego </w:t>
      </w:r>
      <w:r w:rsidR="006B44A4">
        <w:t xml:space="preserve">enhanced geotargeting </w:t>
      </w:r>
      <w:r w:rsidR="00E40224">
        <w:t>for</w:t>
      </w:r>
      <w:r w:rsidR="006B44A4">
        <w:t xml:space="preserve"> alerts initiated by USGS with event code “EQW” and special handling code “Earthquake</w:t>
      </w:r>
      <w:r w:rsidR="00E40224">
        <w:t>,</w:t>
      </w:r>
      <w:r w:rsidR="006B44A4">
        <w:t xml:space="preserve">” </w:t>
      </w:r>
      <w:r w:rsidR="00FE3868">
        <w:t xml:space="preserve">and for Public Safety Messages that USGS issues in connection with such alerts, </w:t>
      </w:r>
      <w:r w:rsidR="00E40224">
        <w:t>and to geotarget them</w:t>
      </w:r>
      <w:r w:rsidR="006B44A4">
        <w:t xml:space="preserve"> pursuant to the “best approximate” geotargeting standard</w:t>
      </w:r>
      <w:r w:rsidRPr="00B85627">
        <w:t>.  This action is taken under delegated authority pursuant to Sections 0.191 and 0.392 of the Commission’s rules, 47 CFR §§ 0.191 and 0.392.</w:t>
      </w:r>
      <w:r w:rsidR="007D74E8">
        <w:t xml:space="preserve">  This waiver SHALL BE EFFECTIVE on November 30, 2019.  </w:t>
      </w:r>
    </w:p>
    <w:bookmarkEnd w:id="5"/>
    <w:p w:rsidR="00840E23" w:rsidP="00840E23" w14:paraId="4E77CCF9" w14:textId="77777777">
      <w:pPr>
        <w:pStyle w:val="BodyText"/>
        <w:keepNext/>
        <w:widowControl/>
        <w:spacing w:before="154"/>
        <w:ind w:left="0"/>
        <w:rPr>
          <w:snapToGrid w:val="0"/>
          <w:kern w:val="28"/>
        </w:rPr>
      </w:pPr>
    </w:p>
    <w:p w:rsidR="00840E23" w:rsidRPr="00436ED9" w:rsidP="00840E23" w14:paraId="64FF4C83"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840E23" w:rsidRPr="00436ED9" w:rsidP="00840E23" w14:paraId="3127388C" w14:textId="77777777">
      <w:pPr>
        <w:keepNext/>
        <w:widowControl/>
        <w:rPr>
          <w:szCs w:val="22"/>
        </w:rPr>
      </w:pPr>
    </w:p>
    <w:p w:rsidR="00840E23" w:rsidRPr="00436ED9" w:rsidP="00840E23" w14:paraId="48B12F78" w14:textId="77777777">
      <w:pPr>
        <w:keepNext/>
        <w:widowControl/>
        <w:rPr>
          <w:szCs w:val="22"/>
        </w:rPr>
      </w:pPr>
    </w:p>
    <w:p w:rsidR="00840E23" w:rsidRPr="00436ED9" w:rsidP="00840E23" w14:paraId="5076FBEA" w14:textId="77777777">
      <w:pPr>
        <w:rPr>
          <w:szCs w:val="22"/>
        </w:rPr>
      </w:pPr>
    </w:p>
    <w:p w:rsidR="00840E23" w:rsidRPr="00436ED9" w:rsidP="00840E23" w14:paraId="7FAB1A5E" w14:textId="77777777">
      <w:pPr>
        <w:spacing w:before="2"/>
        <w:rPr>
          <w:szCs w:val="22"/>
        </w:rPr>
      </w:pPr>
    </w:p>
    <w:p w:rsidR="00840E23" w:rsidRPr="00436ED9" w:rsidP="00840E23" w14:paraId="621F8A99" w14:textId="2BF424B5">
      <w:pPr>
        <w:pStyle w:val="BodyText"/>
        <w:ind w:left="4297" w:right="3533"/>
        <w:jc w:val="center"/>
      </w:pPr>
      <w:bookmarkStart w:id="6" w:name="sp_999_4"/>
      <w:bookmarkStart w:id="7" w:name="SDU_4"/>
      <w:bookmarkStart w:id="8" w:name="_Hlk8895269"/>
      <w:bookmarkEnd w:id="6"/>
      <w:bookmarkEnd w:id="7"/>
      <w:r>
        <w:t>Lisa M. Fowlkes</w:t>
      </w:r>
    </w:p>
    <w:p w:rsidR="000B569E" w:rsidP="00F202A9" w14:paraId="6F14F28F" w14:textId="5030F4DE">
      <w:pPr>
        <w:pStyle w:val="BodyText"/>
        <w:ind w:left="4680" w:right="271" w:hanging="360"/>
        <w:rPr>
          <w:spacing w:val="-7"/>
        </w:rPr>
      </w:pPr>
      <w:r w:rsidRPr="00436ED9">
        <w:t>Chief</w:t>
      </w:r>
      <w:r w:rsidRPr="00436ED9">
        <w:rPr>
          <w:spacing w:val="-7"/>
        </w:rPr>
        <w:t xml:space="preserve"> </w:t>
      </w:r>
    </w:p>
    <w:p w:rsidR="00840E23" w:rsidRPr="00436ED9" w:rsidP="00F202A9" w14:paraId="11AA5622"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840E23" w:rsidRPr="005C1DBB" w:rsidP="005C1DBB" w14:paraId="6677F6E3" w14:textId="40DF0983">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bookmarkEnd w:id="8"/>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1EA" w:rsidP="0055614C" w14:paraId="42E7A7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7141EA" w14:paraId="4C0B8C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1EA" w:rsidP="00981D91" w14:paraId="4F3F37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1EA" w:rsidP="00981D91" w14:paraId="50E3CD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0DF4" w14:paraId="0F1C90A8" w14:textId="77777777">
      <w:r>
        <w:separator/>
      </w:r>
    </w:p>
  </w:footnote>
  <w:footnote w:type="continuationSeparator" w:id="1">
    <w:p w:rsidR="00C80DF4" w:rsidP="00C721AC" w14:paraId="7A7E014B" w14:textId="77777777">
      <w:pPr>
        <w:spacing w:before="120"/>
        <w:rPr>
          <w:sz w:val="20"/>
        </w:rPr>
      </w:pPr>
      <w:r>
        <w:rPr>
          <w:sz w:val="20"/>
        </w:rPr>
        <w:t xml:space="preserve">(Continued from previous page)  </w:t>
      </w:r>
      <w:r>
        <w:rPr>
          <w:sz w:val="20"/>
        </w:rPr>
        <w:separator/>
      </w:r>
    </w:p>
  </w:footnote>
  <w:footnote w:type="continuationNotice" w:id="2">
    <w:p w:rsidR="00C80DF4" w:rsidP="00C721AC" w14:paraId="7C951751" w14:textId="77777777">
      <w:pPr>
        <w:jc w:val="right"/>
        <w:rPr>
          <w:sz w:val="20"/>
        </w:rPr>
      </w:pPr>
      <w:r>
        <w:rPr>
          <w:sz w:val="20"/>
        </w:rPr>
        <w:t>(continued….)</w:t>
      </w:r>
    </w:p>
  </w:footnote>
  <w:footnote w:id="3">
    <w:p w:rsidR="007141EA" w14:paraId="6D2B490D" w14:textId="42725A5C">
      <w:pPr>
        <w:pStyle w:val="FootnoteText"/>
      </w:pPr>
      <w:r>
        <w:rPr>
          <w:rStyle w:val="FootnoteReference"/>
        </w:rPr>
        <w:footnoteRef/>
      </w:r>
      <w:r>
        <w:t xml:space="preserve"> </w:t>
      </w:r>
      <w:r w:rsidRPr="00C40EDE">
        <w:t>A Participating CMS Provider is a Commercial Mobile Service Provider that has voluntarily elected to transmit Alert Messages under Part 10 of the Commission's rules.</w:t>
      </w:r>
      <w:r>
        <w:t xml:space="preserve"> </w:t>
      </w:r>
      <w:r w:rsidRPr="00C40EDE">
        <w:t xml:space="preserve"> 47 CFR § 10.10(f). </w:t>
      </w:r>
      <w:r w:rsidR="00C7276B">
        <w:t xml:space="preserve"> </w:t>
      </w:r>
      <w:r w:rsidRPr="00C40EDE">
        <w:t>“A Commercial Mobile Service Provider (or CMS Provider) is an FCC licensee providing commercial mobile service, as defined in section 332(d)(1) of the Communications Act of 1934</w:t>
      </w:r>
      <w:r>
        <w:t xml:space="preserve">.”  </w:t>
      </w:r>
      <w:r w:rsidRPr="00C40EDE">
        <w:t>47 CFR § 10.10(</w:t>
      </w:r>
      <w:r>
        <w:t>d</w:t>
      </w:r>
      <w:r w:rsidRPr="00C40EDE">
        <w:t>).</w:t>
      </w:r>
    </w:p>
  </w:footnote>
  <w:footnote w:id="4">
    <w:p w:rsidR="00A60CB7" w14:paraId="63C8B7FA" w14:textId="5C6C59E7">
      <w:pPr>
        <w:pStyle w:val="FootnoteText"/>
      </w:pPr>
      <w:r>
        <w:rPr>
          <w:rStyle w:val="FootnoteReference"/>
        </w:rPr>
        <w:footnoteRef/>
      </w:r>
      <w:r>
        <w:t xml:space="preserve"> “</w:t>
      </w:r>
      <w:r w:rsidRPr="00A60CB7">
        <w:rPr>
          <w:bCs/>
        </w:rPr>
        <w:t>EEW</w:t>
      </w:r>
      <w:r>
        <w:rPr>
          <w:bCs/>
        </w:rPr>
        <w:t>”</w:t>
      </w:r>
      <w:r w:rsidRPr="00A60CB7">
        <w:rPr>
          <w:bCs/>
        </w:rPr>
        <w:t xml:space="preserve"> is an acronym used by the California Integrated Seismic Network that refers to the </w:t>
      </w:r>
      <w:r w:rsidRPr="00A60CB7">
        <w:t xml:space="preserve">rapid detection of earthquakes, real-time assessment of the shaking hazard, and notification of people prior to shaking.  </w:t>
      </w:r>
      <w:r w:rsidRPr="00A60CB7">
        <w:rPr>
          <w:i/>
        </w:rPr>
        <w:t xml:space="preserve">See </w:t>
      </w:r>
      <w:hyperlink r:id="rId1" w:history="1">
        <w:r w:rsidRPr="00A60CB7">
          <w:rPr>
            <w:rStyle w:val="Hyperlink"/>
          </w:rPr>
          <w:t>https://www.cisn.org/eew/eew.html</w:t>
        </w:r>
      </w:hyperlink>
      <w:r w:rsidRPr="00A60CB7">
        <w:t xml:space="preserve"> (last visited Sept. 4, 2019).</w:t>
      </w:r>
    </w:p>
  </w:footnote>
  <w:footnote w:id="5">
    <w:p w:rsidR="007141EA" w:rsidRPr="00FC62FC" w14:paraId="26FBF33A" w14:textId="350CA832">
      <w:pPr>
        <w:pStyle w:val="FootnoteText"/>
      </w:pPr>
      <w:r>
        <w:rPr>
          <w:rStyle w:val="FootnoteReference"/>
        </w:rPr>
        <w:footnoteRef/>
      </w:r>
      <w:r>
        <w:t xml:space="preserve"> A Public Safety Message is “an essential public safety advisory that prescribes one or more actions likely to save lives and/or safeguard property during an </w:t>
      </w:r>
      <w:r w:rsidRPr="00FC62FC">
        <w:t>emergency.”  47 CFR § 10.400(d).</w:t>
      </w:r>
    </w:p>
  </w:footnote>
  <w:footnote w:id="6">
    <w:p w:rsidR="007141EA" w:rsidRPr="00081B2C" w:rsidP="000F14EF" w14:paraId="3FD466F5" w14:textId="054FB021">
      <w:pPr>
        <w:pStyle w:val="FootnoteText"/>
      </w:pPr>
      <w:r w:rsidRPr="00FC62FC">
        <w:rPr>
          <w:rStyle w:val="FootnoteReference"/>
        </w:rPr>
        <w:footnoteRef/>
      </w:r>
      <w:r w:rsidRPr="00FC62FC">
        <w:t xml:space="preserve"> </w:t>
      </w:r>
      <w:r w:rsidRPr="00FC62FC">
        <w:rPr>
          <w:i/>
        </w:rPr>
        <w:t xml:space="preserve">See </w:t>
      </w:r>
      <w:r w:rsidRPr="00FC62FC">
        <w:t xml:space="preserve">Letter from Jim Reilly, Director, United States Department of the Interior, U.S. Geological Survey, to Ajit Pai, Chairman, Federal Communications Commission, at 1 (Jun. 21, 2019) (on file with author) (USGS June 21 Letter).  On August </w:t>
      </w:r>
      <w:r w:rsidRPr="00FC62FC" w:rsidR="00FC62FC">
        <w:t>2</w:t>
      </w:r>
      <w:r w:rsidRPr="00FC62FC">
        <w:t>3, 2019, USGS supplemented this its initial request to include Public Safety Messages initiated by USGS in connection with an EEW.</w:t>
      </w:r>
      <w:r w:rsidRPr="00FC62FC">
        <w:rPr>
          <w:i/>
        </w:rPr>
        <w:t xml:space="preserve">  See </w:t>
      </w:r>
      <w:r w:rsidRPr="00FC62FC">
        <w:t>Letter from Douglas D. Given, Geophysicist, USGS Earthquake Early Warning Coordinator, U.S. Geological Survey, to James W. Wiley, III, Attorney Advisor, Federal Communications Commission, at</w:t>
      </w:r>
      <w:r w:rsidRPr="00FC62FC">
        <w:rPr>
          <w:i/>
        </w:rPr>
        <w:t xml:space="preserve"> </w:t>
      </w:r>
      <w:r w:rsidRPr="00FC62FC">
        <w:t xml:space="preserve">4 </w:t>
      </w:r>
      <w:r w:rsidRPr="00FC62FC" w:rsidR="005B5F00">
        <w:t xml:space="preserve">(Aug. </w:t>
      </w:r>
      <w:r w:rsidRPr="00FC62FC" w:rsidR="00FC62FC">
        <w:t xml:space="preserve">23, 2019) </w:t>
      </w:r>
      <w:r w:rsidRPr="00FC62FC">
        <w:t xml:space="preserve">(USGS August 23 Letter).  </w:t>
      </w:r>
    </w:p>
  </w:footnote>
  <w:footnote w:id="7">
    <w:p w:rsidR="00C126D3" w:rsidP="00C126D3" w14:paraId="35E0ED4F" w14:textId="403C1C15">
      <w:pPr>
        <w:pStyle w:val="FootnoteText"/>
      </w:pPr>
      <w:r w:rsidRPr="00081B2C">
        <w:rPr>
          <w:rStyle w:val="FootnoteReference"/>
        </w:rPr>
        <w:footnoteRef/>
      </w:r>
      <w:r w:rsidRPr="00081B2C">
        <w:t xml:space="preserve"> </w:t>
      </w:r>
      <w:r>
        <w:rPr>
          <w:i/>
        </w:rPr>
        <w:t xml:space="preserve">See </w:t>
      </w:r>
      <w:r>
        <w:t>USGS August 23 Letter</w:t>
      </w:r>
      <w:r w:rsidRPr="00081B2C">
        <w:t xml:space="preserve"> at 1.</w:t>
      </w:r>
    </w:p>
  </w:footnote>
  <w:footnote w:id="8">
    <w:p w:rsidR="007141EA" w:rsidRPr="00B0643B" w:rsidP="002A285F" w14:paraId="60A5FEDC" w14:textId="77777777">
      <w:pPr>
        <w:pStyle w:val="FootnoteText"/>
      </w:pPr>
      <w:r w:rsidRPr="00B90802">
        <w:rPr>
          <w:rStyle w:val="FootnoteReference"/>
        </w:rPr>
        <w:footnoteRef/>
      </w:r>
      <w:r w:rsidRPr="00B0643B">
        <w:t xml:space="preserve"> </w:t>
      </w:r>
      <w:r>
        <w:rPr>
          <w:i/>
        </w:rPr>
        <w:t xml:space="preserve">See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9">
    <w:p w:rsidR="007141EA" w:rsidRPr="007F2988" w:rsidP="002C249F" w14:paraId="5D8A6577" w14:textId="77777777">
      <w:pPr>
        <w:pStyle w:val="FootnoteText"/>
      </w:pPr>
      <w:r>
        <w:rPr>
          <w:rStyle w:val="FootnoteReference"/>
        </w:rPr>
        <w:footnoteRef/>
      </w:r>
      <w:r>
        <w:t xml:space="preserve"> </w:t>
      </w:r>
      <w:r>
        <w:rPr>
          <w:i/>
        </w:rPr>
        <w:t>See</w:t>
      </w:r>
      <w:r>
        <w:t xml:space="preserve"> </w:t>
      </w:r>
      <w:r w:rsidRPr="00B0643B">
        <w:t>47 CFR §</w:t>
      </w:r>
      <w:r>
        <w:t xml:space="preserve"> 10.450(a).</w:t>
      </w:r>
    </w:p>
  </w:footnote>
  <w:footnote w:id="10">
    <w:p w:rsidR="007141EA" w:rsidRPr="007F2988" w:rsidP="002C249F" w14:paraId="3E6C9DB5" w14:textId="679A18DC">
      <w:pPr>
        <w:pStyle w:val="FootnoteText"/>
      </w:pPr>
      <w:r>
        <w:rPr>
          <w:rStyle w:val="FootnoteReference"/>
        </w:rPr>
        <w:footnoteRef/>
      </w:r>
      <w:r>
        <w:t xml:space="preserve"> </w:t>
      </w:r>
      <w:r>
        <w:rPr>
          <w:i/>
        </w:rPr>
        <w:t>Id.</w:t>
      </w:r>
    </w:p>
  </w:footnote>
  <w:footnote w:id="11">
    <w:p w:rsidR="007141EA" w:rsidRPr="007F2988" w:rsidP="002C249F" w14:paraId="52717166" w14:textId="77777777">
      <w:pPr>
        <w:pStyle w:val="FootnoteText"/>
      </w:pPr>
      <w:r>
        <w:rPr>
          <w:rStyle w:val="FootnoteReference"/>
        </w:rPr>
        <w:footnoteRef/>
      </w:r>
      <w:r>
        <w:t xml:space="preserve"> </w:t>
      </w:r>
      <w:r>
        <w:rPr>
          <w:i/>
        </w:rPr>
        <w:t>Id.</w:t>
      </w:r>
    </w:p>
  </w:footnote>
  <w:footnote w:id="12">
    <w:p w:rsidR="007141EA" w:rsidP="00705917" w14:paraId="6FF2AE21" w14:textId="77777777">
      <w:pPr>
        <w:pStyle w:val="FootnoteText"/>
      </w:pPr>
      <w:r>
        <w:rPr>
          <w:rStyle w:val="FootnoteReference"/>
        </w:rPr>
        <w:footnoteRef/>
      </w:r>
      <w:r>
        <w:t xml:space="preserve"> </w:t>
      </w:r>
      <w:r>
        <w:rPr>
          <w:i/>
        </w:rPr>
        <w:t xml:space="preserve">See </w:t>
      </w:r>
      <w:r>
        <w:t xml:space="preserve">USGS, </w:t>
      </w:r>
      <w:r>
        <w:t>ShakeAlert</w:t>
      </w:r>
      <w:r>
        <w:t xml:space="preserve">, </w:t>
      </w:r>
      <w:hyperlink r:id="rId2" w:history="1">
        <w:r w:rsidRPr="00D23E6A">
          <w:rPr>
            <w:rStyle w:val="Hyperlink"/>
          </w:rPr>
          <w:t>https://www.shakealert.org/</w:t>
        </w:r>
      </w:hyperlink>
      <w:r>
        <w:t xml:space="preserve"> (last visited Aug. 9, 2019).</w:t>
      </w:r>
    </w:p>
  </w:footnote>
  <w:footnote w:id="13">
    <w:p w:rsidR="007141EA" w:rsidP="00025E1F" w14:paraId="51E752CF" w14:textId="110D7323">
      <w:pPr>
        <w:pStyle w:val="FootnoteText"/>
      </w:pPr>
      <w:r>
        <w:rPr>
          <w:rStyle w:val="FootnoteReference"/>
        </w:rPr>
        <w:footnoteRef/>
      </w:r>
      <w:r>
        <w:t xml:space="preserve"> </w:t>
      </w:r>
      <w:r>
        <w:rPr>
          <w:i/>
        </w:rPr>
        <w:t>Id.</w:t>
      </w:r>
      <w:r w:rsidRPr="005F5954">
        <w:t xml:space="preserve"> at </w:t>
      </w:r>
      <w:r>
        <w:t>2.</w:t>
      </w:r>
      <w:r w:rsidRPr="00F9107E">
        <w:rPr>
          <w:sz w:val="24"/>
          <w:szCs w:val="24"/>
        </w:rPr>
        <w:t xml:space="preserve"> </w:t>
      </w:r>
      <w:r>
        <w:rPr>
          <w:sz w:val="24"/>
          <w:szCs w:val="24"/>
        </w:rPr>
        <w:t xml:space="preserve"> </w:t>
      </w:r>
      <w:r>
        <w:t xml:space="preserve">The USGS explains that specifying the target area by using a geocode </w:t>
      </w:r>
      <w:r w:rsidR="00CC3619">
        <w:t>(</w:t>
      </w:r>
      <w:r w:rsidRPr="007438F5" w:rsidR="00CC3619">
        <w:t>a short series of numbers that represents a geographic entity such as a state or county</w:t>
      </w:r>
      <w:r w:rsidR="00CC3619">
        <w:t>)</w:t>
      </w:r>
      <w:r w:rsidRPr="007438F5" w:rsidR="00CC3619">
        <w:t xml:space="preserve"> </w:t>
      </w:r>
      <w:r>
        <w:t>w</w:t>
      </w:r>
      <w:r w:rsidRPr="00EE61AC">
        <w:t>ould bypass the geotargeting requirement</w:t>
      </w:r>
      <w:r>
        <w:t>, but that it would result in significant over-alerting.  USGS notes</w:t>
      </w:r>
      <w:r w:rsidR="00CC3619">
        <w:t>, for example,</w:t>
      </w:r>
      <w:r>
        <w:t xml:space="preserve"> that San Berna</w:t>
      </w:r>
      <w:r w:rsidR="00306525">
        <w:t>r</w:t>
      </w:r>
      <w:r>
        <w:t xml:space="preserve">dino County, California is 20,105 square miles alone.  </w:t>
      </w:r>
      <w:r w:rsidR="00CC3619">
        <w:rPr>
          <w:i/>
        </w:rPr>
        <w:t xml:space="preserve">See </w:t>
      </w:r>
      <w:r>
        <w:t xml:space="preserve">USGS August 23 Letter at 2. </w:t>
      </w:r>
      <w:r w:rsidR="00CC3619">
        <w:t xml:space="preserve"> </w:t>
      </w:r>
    </w:p>
  </w:footnote>
  <w:footnote w:id="14">
    <w:p w:rsidR="007141EA" w:rsidP="00025E1F" w14:paraId="19AF0035" w14:textId="7323BCFA">
      <w:pPr>
        <w:pStyle w:val="FootnoteText"/>
      </w:pPr>
      <w:r>
        <w:rPr>
          <w:rStyle w:val="FootnoteReference"/>
        </w:rPr>
        <w:footnoteRef/>
      </w:r>
      <w:r>
        <w:t xml:space="preserve"> </w:t>
      </w:r>
      <w:r w:rsidR="00CC3619">
        <w:rPr>
          <w:i/>
        </w:rPr>
        <w:t xml:space="preserve">See </w:t>
      </w:r>
      <w:r w:rsidR="00CC3619">
        <w:t xml:space="preserve">USGS </w:t>
      </w:r>
      <w:r w:rsidRPr="00C5730C">
        <w:t>August 23 Letter at 1.</w:t>
      </w:r>
    </w:p>
  </w:footnote>
  <w:footnote w:id="15">
    <w:p w:rsidR="007141EA" w:rsidP="00025E1F" w14:paraId="32609E06" w14:textId="28C6ADE2">
      <w:pPr>
        <w:pStyle w:val="FootnoteText"/>
      </w:pPr>
      <w:r>
        <w:rPr>
          <w:rStyle w:val="FootnoteReference"/>
        </w:rPr>
        <w:footnoteRef/>
      </w:r>
      <w:r>
        <w:t xml:space="preserve"> </w:t>
      </w:r>
      <w:r w:rsidRPr="00340CCC">
        <w:rPr>
          <w:i/>
        </w:rPr>
        <w:t xml:space="preserve">See </w:t>
      </w:r>
      <w:r w:rsidRPr="00340CCC">
        <w:t>USGS June 21 Letter</w:t>
      </w:r>
      <w:r>
        <w:t xml:space="preserve"> at 1</w:t>
      </w:r>
      <w:r w:rsidRPr="00340CCC">
        <w:t>.</w:t>
      </w:r>
    </w:p>
  </w:footnote>
  <w:footnote w:id="16">
    <w:p w:rsidR="007141EA" w:rsidP="00C827CF" w14:paraId="31DEFCE1" w14:textId="7AC22619">
      <w:pPr>
        <w:pStyle w:val="FootnoteText"/>
      </w:pPr>
      <w:r w:rsidRPr="00081B2C">
        <w:rPr>
          <w:rStyle w:val="FootnoteReference"/>
        </w:rPr>
        <w:footnoteRef/>
      </w:r>
      <w:r w:rsidRPr="00081B2C">
        <w:t xml:space="preserve"> </w:t>
      </w:r>
      <w:r>
        <w:rPr>
          <w:i/>
        </w:rPr>
        <w:t>See id.</w:t>
      </w:r>
    </w:p>
  </w:footnote>
  <w:footnote w:id="17">
    <w:p w:rsidR="007141EA" w:rsidP="00AD6DC0" w14:paraId="43C5342A" w14:textId="5F678A69">
      <w:pPr>
        <w:pStyle w:val="FootnoteText"/>
      </w:pPr>
      <w:r>
        <w:rPr>
          <w:rStyle w:val="FootnoteReference"/>
        </w:rPr>
        <w:footnoteRef/>
      </w:r>
      <w:r>
        <w:t xml:space="preserve"> </w:t>
      </w:r>
      <w:r>
        <w:rPr>
          <w:i/>
        </w:rPr>
        <w:t xml:space="preserve">See </w:t>
      </w:r>
      <w:r w:rsidRPr="00C5730C">
        <w:t>USGS August 23 Letter at 1.</w:t>
      </w:r>
    </w:p>
  </w:footnote>
  <w:footnote w:id="18">
    <w:p w:rsidR="007141EA" w:rsidP="00C827CF" w14:paraId="09A2CAC6" w14:textId="30B7BDE8">
      <w:pPr>
        <w:pStyle w:val="FootnoteText"/>
      </w:pPr>
      <w:r w:rsidRPr="00081B2C">
        <w:rPr>
          <w:rStyle w:val="FootnoteReference"/>
        </w:rPr>
        <w:footnoteRef/>
      </w:r>
      <w:r w:rsidRPr="00081B2C">
        <w:t xml:space="preserve"> </w:t>
      </w:r>
      <w:r w:rsidRPr="00340CCC">
        <w:t>USGS June 21 Letter</w:t>
      </w:r>
      <w:r w:rsidRPr="00081B2C">
        <w:t xml:space="preserve"> at 2.</w:t>
      </w:r>
    </w:p>
  </w:footnote>
  <w:footnote w:id="19">
    <w:p w:rsidR="007141EA" w:rsidP="000A45E7" w14:paraId="5024F11C" w14:textId="77777777">
      <w:pPr>
        <w:pStyle w:val="FootnoteText"/>
      </w:pPr>
      <w:r>
        <w:rPr>
          <w:rStyle w:val="FootnoteReference"/>
        </w:rPr>
        <w:footnoteRef/>
      </w:r>
      <w:r>
        <w:t xml:space="preserve"> </w:t>
      </w:r>
      <w:r>
        <w:rPr>
          <w:i/>
        </w:rPr>
        <w:t>See</w:t>
      </w:r>
      <w:r>
        <w:t xml:space="preserve"> </w:t>
      </w:r>
      <w:r>
        <w:rPr>
          <w:i/>
        </w:rPr>
        <w:t xml:space="preserve">generally </w:t>
      </w:r>
      <w:r>
        <w:t>Alliance for Telecommunications Industry Solutions (ATIS), Wireless Emergency Alerts (WEA) 3.0: Device-Based Geo-Fencing, ATIS-0700041 (2019).</w:t>
      </w:r>
    </w:p>
  </w:footnote>
  <w:footnote w:id="20">
    <w:p w:rsidR="007141EA" w:rsidP="000A45E7" w14:paraId="344294D1" w14:textId="32E87D69">
      <w:pPr>
        <w:pStyle w:val="FootnoteText"/>
      </w:pPr>
      <w:r>
        <w:rPr>
          <w:rStyle w:val="FootnoteReference"/>
        </w:rPr>
        <w:footnoteRef/>
      </w:r>
      <w:r>
        <w:t xml:space="preserve"> </w:t>
      </w:r>
      <w:r w:rsidRPr="0024631D">
        <w:rPr>
          <w:i/>
        </w:rPr>
        <w:t>See</w:t>
      </w:r>
      <w:r w:rsidRPr="0024631D">
        <w:t xml:space="preserve"> </w:t>
      </w:r>
      <w:r w:rsidR="00CC3619">
        <w:rPr>
          <w:i/>
        </w:rPr>
        <w:t>id.</w:t>
      </w:r>
      <w:r>
        <w:t xml:space="preserve"> at 6</w:t>
      </w:r>
      <w:r w:rsidRPr="0024631D">
        <w:t>.</w:t>
      </w:r>
    </w:p>
  </w:footnote>
  <w:footnote w:id="21">
    <w:p w:rsidR="007141EA" w:rsidRPr="008F3D12" w:rsidP="000A45E7" w14:paraId="7953E100" w14:textId="77777777">
      <w:pPr>
        <w:pStyle w:val="FootnoteText"/>
      </w:pPr>
      <w:r>
        <w:rPr>
          <w:rStyle w:val="FootnoteReference"/>
        </w:rPr>
        <w:footnoteRef/>
      </w:r>
      <w:r>
        <w:t xml:space="preserve"> </w:t>
      </w:r>
      <w:r>
        <w:rPr>
          <w:i/>
        </w:rPr>
        <w:t>See</w:t>
      </w:r>
      <w:r>
        <w:t xml:space="preserve"> Wireless Emergency Alerts; Amendments to Part 11 of the Commission’s Rules Regarding the Emergency Alert System, </w:t>
      </w:r>
      <w:r>
        <w:rPr>
          <w:i/>
        </w:rPr>
        <w:t>Second Report and Order and Second Order on Reconsideration</w:t>
      </w:r>
      <w:r>
        <w:t>, PS Docket Nos. 15-91, 15-94, 33 FCC Rcd 1320, 1326, para. 8 at n.40 (2018) (</w:t>
      </w:r>
      <w:r>
        <w:rPr>
          <w:i/>
        </w:rPr>
        <w:t>WEA Second R&amp;O</w:t>
      </w:r>
      <w:r>
        <w:t xml:space="preserve">); </w:t>
      </w:r>
      <w:r>
        <w:rPr>
          <w:i/>
        </w:rPr>
        <w:t>see also</w:t>
      </w:r>
      <w:r>
        <w:t xml:space="preserve"> </w:t>
      </w:r>
      <w:r w:rsidRPr="008F3D12">
        <w:t>Alliance for Telecommunications Industry Solutions,</w:t>
      </w:r>
      <w:r w:rsidRPr="008F3D12">
        <w:rPr>
          <w:i/>
        </w:rPr>
        <w:t xml:space="preserve"> </w:t>
      </w:r>
      <w:r w:rsidRPr="008F3D12">
        <w:t xml:space="preserve">Feasibility Study for LTE WEA Message Length, ATIS -0700023, at 13 (2015).  </w:t>
      </w:r>
    </w:p>
  </w:footnote>
  <w:footnote w:id="22">
    <w:p w:rsidR="007141EA" w:rsidP="000A45E7" w14:paraId="21EBBD5B" w14:textId="30C51A4C">
      <w:pPr>
        <w:pStyle w:val="FootnoteText"/>
      </w:pPr>
      <w:r>
        <w:rPr>
          <w:rStyle w:val="FootnoteReference"/>
        </w:rPr>
        <w:footnoteRef/>
      </w:r>
      <w:r>
        <w:t xml:space="preserve"> </w:t>
      </w:r>
      <w:r w:rsidRPr="0024631D">
        <w:rPr>
          <w:i/>
        </w:rPr>
        <w:t>See</w:t>
      </w:r>
      <w:r w:rsidRPr="0024631D">
        <w:t xml:space="preserve"> Alliance for Telecommunications Industry Solutions (ATIS), Wireless Emergency Alerts (</w:t>
      </w:r>
      <w:r w:rsidRPr="0024631D" w:rsidR="001E5971">
        <w:t>WEA</w:t>
      </w:r>
      <w:r w:rsidRPr="0024631D">
        <w:t>) 3.0: Device-Based Geo-Fencing, ATIS-0700041</w:t>
      </w:r>
      <w:r>
        <w:t>, at 10</w:t>
      </w:r>
      <w:r w:rsidRPr="0024631D">
        <w:t xml:space="preserve"> (2019).</w:t>
      </w:r>
    </w:p>
  </w:footnote>
  <w:footnote w:id="23">
    <w:p w:rsidR="007141EA" w:rsidRPr="00081B2C" w:rsidP="00025E1F" w14:paraId="0D2E4A2F" w14:textId="49D2A45D">
      <w:pPr>
        <w:pStyle w:val="FootnoteText"/>
      </w:pPr>
      <w:r w:rsidRPr="00081B2C">
        <w:rPr>
          <w:rStyle w:val="FootnoteReference"/>
        </w:rPr>
        <w:footnoteRef/>
      </w:r>
      <w:r w:rsidRPr="00081B2C">
        <w:t xml:space="preserve"> USGS </w:t>
      </w:r>
      <w:r>
        <w:t>August 23</w:t>
      </w:r>
      <w:r w:rsidRPr="00081B2C">
        <w:t xml:space="preserve"> Letter at 1.</w:t>
      </w:r>
    </w:p>
  </w:footnote>
  <w:footnote w:id="24">
    <w:p w:rsidR="007245D6" w:rsidRPr="00B30B0B" w:rsidP="007245D6" w14:paraId="7F72F8E5" w14:textId="3EA3850E">
      <w:pPr>
        <w:pStyle w:val="FootnoteText"/>
      </w:pPr>
      <w:r>
        <w:rPr>
          <w:rStyle w:val="FootnoteReference"/>
        </w:rPr>
        <w:footnoteRef/>
      </w:r>
      <w:r>
        <w:t xml:space="preserve"> </w:t>
      </w:r>
      <w:r w:rsidRPr="00C5730C">
        <w:t>USGS August 23 Letter at 2</w:t>
      </w:r>
      <w:r>
        <w:t xml:space="preserve">.  </w:t>
      </w:r>
      <w:r w:rsidR="008050A2">
        <w:t xml:space="preserve">USGS’ claim is based on two end-to-end WEA tests that it conducted in coordination with the California Governor’s Office of Emergency Services.  </w:t>
      </w:r>
      <w:r w:rsidR="008050A2">
        <w:rPr>
          <w:i/>
        </w:rPr>
        <w:t xml:space="preserve">See id. </w:t>
      </w:r>
      <w:r w:rsidR="008050A2">
        <w:t xml:space="preserve"> </w:t>
      </w:r>
      <w:r>
        <w:rPr>
          <w:i/>
        </w:rPr>
        <w:t xml:space="preserve">See </w:t>
      </w:r>
      <w:r w:rsidR="008050A2">
        <w:rPr>
          <w:i/>
        </w:rPr>
        <w:t xml:space="preserve">also </w:t>
      </w:r>
      <w:r>
        <w:t xml:space="preserve">Improving Wireless Emergency Alerts and Community-initiated Alerting, </w:t>
      </w:r>
      <w:r>
        <w:rPr>
          <w:i/>
        </w:rPr>
        <w:t>Order</w:t>
      </w:r>
      <w:r>
        <w:t xml:space="preserve">, PS Docket No. 15-91, 34 FCC Rcd 263 (2019); Improving Wireless Emergency Alerts and Community-initiated Alerting, </w:t>
      </w:r>
      <w:r>
        <w:rPr>
          <w:i/>
        </w:rPr>
        <w:t>Order</w:t>
      </w:r>
      <w:r>
        <w:t>, PS Docket No. 15-91, DA 19-538 (Jun. 7, 2019)</w:t>
      </w:r>
      <w:r w:rsidR="008050A2">
        <w:t xml:space="preserve"> (granting USGS’ requests for waiver to conduct these tests).</w:t>
      </w:r>
    </w:p>
  </w:footnote>
  <w:footnote w:id="25">
    <w:p w:rsidR="007141EA" w:rsidP="00AD6DC0" w14:paraId="08A2F2C3" w14:textId="77777777">
      <w:pPr>
        <w:pStyle w:val="FootnoteText"/>
      </w:pPr>
      <w:r>
        <w:rPr>
          <w:rStyle w:val="FootnoteReference"/>
        </w:rPr>
        <w:footnoteRef/>
      </w:r>
      <w:r>
        <w:t xml:space="preserve"> </w:t>
      </w:r>
      <w:r>
        <w:rPr>
          <w:i/>
        </w:rPr>
        <w:t>Id.</w:t>
      </w:r>
      <w:r w:rsidRPr="005F5954">
        <w:t xml:space="preserve"> at</w:t>
      </w:r>
      <w:r>
        <w:t xml:space="preserve"> 2.</w:t>
      </w:r>
    </w:p>
  </w:footnote>
  <w:footnote w:id="26">
    <w:p w:rsidR="007141EA" w14:paraId="550FB326" w14:textId="012C3FD7">
      <w:pPr>
        <w:pStyle w:val="FootnoteText"/>
      </w:pPr>
      <w:r>
        <w:rPr>
          <w:rStyle w:val="FootnoteReference"/>
        </w:rPr>
        <w:footnoteRef/>
      </w:r>
      <w:r>
        <w:t xml:space="preserve"> </w:t>
      </w:r>
      <w:r w:rsidRPr="00C5730C">
        <w:t>USGS August 23 Letter at 1-2.</w:t>
      </w:r>
    </w:p>
  </w:footnote>
  <w:footnote w:id="27">
    <w:p w:rsidR="0039555C" w:rsidRPr="003C6648" w:rsidP="0039555C" w14:paraId="6F21E28D" w14:textId="78EBCC40">
      <w:pPr>
        <w:pStyle w:val="FootnoteText"/>
      </w:pPr>
      <w:r w:rsidRPr="00081B2C">
        <w:rPr>
          <w:rStyle w:val="FootnoteReference"/>
        </w:rPr>
        <w:footnoteRef/>
      </w:r>
      <w:r w:rsidRPr="00081B2C">
        <w:t xml:space="preserve"> </w:t>
      </w:r>
      <w:r>
        <w:rPr>
          <w:i/>
        </w:rPr>
        <w:t>See id.</w:t>
      </w:r>
      <w:r w:rsidRPr="00C5730C">
        <w:t xml:space="preserve"> at 2</w:t>
      </w:r>
      <w:r>
        <w:t xml:space="preserve"> (explaining that “</w:t>
      </w:r>
      <w:r w:rsidRPr="00C5730C">
        <w:t>ShakeAlert</w:t>
      </w:r>
      <w:r w:rsidRPr="00C5730C">
        <w:t xml:space="preserve"> uses eight-sided polygons (rather than counties or circles) in its Common Alert Protocol (CAP) messages to the IPAWS gateway to define the area that is expected to experience damaging shaking for earthquakes of magnitude 5.0 or larger</w:t>
      </w:r>
      <w:r>
        <w:t>” and that “f</w:t>
      </w:r>
      <w:r w:rsidRPr="00C5730C">
        <w:t>or small events these polygons approximate circles</w:t>
      </w:r>
      <w:r>
        <w:t xml:space="preserve">”).  </w:t>
      </w:r>
      <w:r>
        <w:rPr>
          <w:i/>
        </w:rPr>
        <w:t>See also id.</w:t>
      </w:r>
      <w:r>
        <w:t xml:space="preserve"> (explaining that “u</w:t>
      </w:r>
      <w:r w:rsidRPr="00C5730C">
        <w:t xml:space="preserve">se of county-level alert areas could bypass the geotargeting requirement and not require a waiver, but this is not practical for </w:t>
      </w:r>
      <w:r w:rsidRPr="00C5730C">
        <w:t>ShakeAlerts</w:t>
      </w:r>
      <w:r w:rsidRPr="00C5730C">
        <w:t xml:space="preserve"> because it would result in significant over-alerting</w:t>
      </w:r>
      <w:r>
        <w:t>”).</w:t>
      </w:r>
    </w:p>
  </w:footnote>
  <w:footnote w:id="28">
    <w:p w:rsidR="007141EA" w:rsidRPr="00C5730C" w:rsidP="002E24C5" w14:paraId="32247FA0" w14:textId="082A3C79">
      <w:pPr>
        <w:pStyle w:val="FootnoteText"/>
        <w:rPr>
          <w:b/>
          <w:bCs/>
          <w:i/>
        </w:rPr>
      </w:pPr>
      <w:r w:rsidRPr="00081B2C">
        <w:rPr>
          <w:rStyle w:val="FootnoteReference"/>
        </w:rPr>
        <w:footnoteRef/>
      </w:r>
      <w:r w:rsidRPr="00081B2C">
        <w:t xml:space="preserve"> Alert originators specify “event codes” as part of the alert origination process to designate their alert as belonging to one among of the </w:t>
      </w:r>
      <w:r w:rsidR="00A60CB7">
        <w:t>A</w:t>
      </w:r>
      <w:r w:rsidRPr="00081B2C">
        <w:t xml:space="preserve">lert </w:t>
      </w:r>
      <w:r w:rsidR="00A60CB7">
        <w:t>M</w:t>
      </w:r>
      <w:r w:rsidRPr="00081B2C">
        <w:t xml:space="preserve">essage classifications used for WEA or one of the categories of alerts that EAS Participants transmit.  </w:t>
      </w:r>
      <w:r w:rsidRPr="00081B2C">
        <w:rPr>
          <w:i/>
        </w:rPr>
        <w:t>See</w:t>
      </w:r>
      <w:r w:rsidRPr="00081B2C">
        <w:t xml:space="preserve"> 47 CFR </w:t>
      </w:r>
      <w:r w:rsidRPr="00081B2C">
        <w:rPr>
          <w:bCs/>
        </w:rPr>
        <w:t xml:space="preserve">§ 11.31; </w:t>
      </w:r>
      <w:r w:rsidRPr="00081B2C">
        <w:rPr>
          <w:bCs/>
          <w:i/>
        </w:rPr>
        <w:t>see also</w:t>
      </w:r>
      <w:r w:rsidRPr="00081B2C">
        <w:rPr>
          <w:bCs/>
        </w:rPr>
        <w:t xml:space="preserve"> </w:t>
      </w:r>
      <w:r w:rsidRPr="00CC1EBE">
        <w:t xml:space="preserve">47 CFR </w:t>
      </w:r>
      <w:r w:rsidRPr="00CC1EBE">
        <w:rPr>
          <w:bCs/>
        </w:rPr>
        <w:t>§ 10.400.  FEMA uses special handling codes in this con</w:t>
      </w:r>
      <w:r>
        <w:rPr>
          <w:bCs/>
        </w:rPr>
        <w:t>text</w:t>
      </w:r>
      <w:r w:rsidRPr="00CC1EBE">
        <w:rPr>
          <w:bCs/>
        </w:rPr>
        <w:t xml:space="preserve"> as well.  </w:t>
      </w:r>
      <w:r>
        <w:t xml:space="preserve">EEW is not an event code.  </w:t>
      </w:r>
    </w:p>
  </w:footnote>
  <w:footnote w:id="29">
    <w:p w:rsidR="007141EA" w:rsidRPr="00081B2C" w:rsidP="00E23017" w14:paraId="6EFC7369" w14:textId="77777777">
      <w:pPr>
        <w:pStyle w:val="FootnoteText"/>
      </w:pPr>
      <w:r w:rsidRPr="00081B2C">
        <w:rPr>
          <w:rStyle w:val="FootnoteReference"/>
        </w:rPr>
        <w:footnoteRef/>
      </w:r>
      <w:r w:rsidRPr="00081B2C">
        <w:t xml:space="preserve"> </w:t>
      </w:r>
      <w:r w:rsidRPr="00081B2C">
        <w:rPr>
          <w:i/>
        </w:rPr>
        <w:t xml:space="preserve">See </w:t>
      </w:r>
      <w:r w:rsidRPr="00081B2C">
        <w:t>Alliance for Telecommunications Industry Solutions (ATIS), Wireless Emergency Alert (WEA) 3.0 Federal Alert Gateway to CMSP Gateway Interface Specification, ATIS-0700037.v002, at 80 (2019) (standardizing Participating CMS Provider response to a device-based geofencing bypass instruction indicated by the Federal Alert Gateway).</w:t>
      </w:r>
    </w:p>
  </w:footnote>
  <w:footnote w:id="30">
    <w:p w:rsidR="007141EA" w:rsidRPr="00B0643B" w:rsidP="00F8588F" w14:paraId="281F5DC0"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31">
    <w:p w:rsidR="007141EA" w:rsidRPr="00B0643B" w:rsidP="00F8588F" w14:paraId="565C539C"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32">
    <w:p w:rsidR="007141EA" w14:paraId="36FBC2C7" w14:textId="446D200B">
      <w:pPr>
        <w:pStyle w:val="FootnoteText"/>
      </w:pPr>
      <w:r>
        <w:rPr>
          <w:rStyle w:val="FootnoteReference"/>
        </w:rPr>
        <w:footnoteRef/>
      </w:r>
      <w:r>
        <w:t xml:space="preserve">  </w:t>
      </w:r>
      <w:r w:rsidRPr="00CE304E">
        <w:t xml:space="preserve">Under the second prong of Section 1.925(b)(3), the Commission may grant a request for a rule waiver when, in view of the unique or unusual factual circumstances of the case, application of the rule(s) would be inequitable, unduly burdensome, or contrary to the public interest, or the applicant has no reasonable alternative. </w:t>
      </w:r>
      <w:r>
        <w:t xml:space="preserve">47 CFR </w:t>
      </w:r>
      <w:r w:rsidRPr="00CE304E">
        <w:t>§ 1.925(b)(3)(ii).</w:t>
      </w:r>
      <w:r>
        <w:t xml:space="preserve"> </w:t>
      </w:r>
    </w:p>
  </w:footnote>
  <w:footnote w:id="33">
    <w:p w:rsidR="007141EA" w14:paraId="3C3F550C" w14:textId="77777777">
      <w:pPr>
        <w:pStyle w:val="FootnoteText"/>
      </w:pPr>
      <w:r>
        <w:rPr>
          <w:rStyle w:val="FootnoteReference"/>
        </w:rPr>
        <w:footnoteRef/>
      </w:r>
      <w:r>
        <w:t xml:space="preserve"> </w:t>
      </w:r>
      <w:r w:rsidRPr="007939FE">
        <w:t xml:space="preserve">Under the “best approximate” geotargeting standard, Participating CMS Providers use “network-based cell broadcast techniques, such as algorithm-based facility selection and cell sectorization, to geotarget Alert Messages to polygonal areas more granular than” the county level.  </w:t>
      </w:r>
      <w:r w:rsidRPr="007939FE">
        <w:rPr>
          <w:i/>
        </w:rPr>
        <w:t xml:space="preserve">See </w:t>
      </w:r>
      <w:r w:rsidRPr="007939FE">
        <w:t xml:space="preserve">Wireless Emergency Alerts; Amendments to Part 11 of the Commission’s Rules Regarding the Emergency Alert System, PS Docket Nos. 15-91, 15-94, </w:t>
      </w:r>
      <w:r w:rsidRPr="007939FE">
        <w:rPr>
          <w:i/>
        </w:rPr>
        <w:t>Report and Order and Further Notice of Proposed Rulemaking</w:t>
      </w:r>
      <w:r w:rsidRPr="007939FE">
        <w:t>, 31 FCC Rcd 11112, 11148, para. 54 (2016) (</w:t>
      </w:r>
      <w:bookmarkStart w:id="3" w:name="_Hlk18496300"/>
      <w:r w:rsidRPr="007939FE">
        <w:rPr>
          <w:i/>
        </w:rPr>
        <w:t>WEA R&amp;O and FNPRM</w:t>
      </w:r>
      <w:bookmarkEnd w:id="3"/>
      <w:r w:rsidRPr="007939FE">
        <w:t>).</w:t>
      </w:r>
    </w:p>
  </w:footnote>
  <w:footnote w:id="34">
    <w:p w:rsidR="007141EA" w:rsidP="00ED2FEB" w14:paraId="158FC344" w14:textId="3862E16A">
      <w:pPr>
        <w:pStyle w:val="FootnoteText"/>
      </w:pPr>
      <w:r>
        <w:rPr>
          <w:rStyle w:val="FootnoteReference"/>
        </w:rPr>
        <w:footnoteRef/>
      </w:r>
      <w:r>
        <w:t xml:space="preserve"> </w:t>
      </w:r>
      <w:r w:rsidRPr="00C5730C">
        <w:t>USGS August 23 Letter at 2</w:t>
      </w:r>
      <w:r w:rsidRPr="001F7F49">
        <w:t xml:space="preserve"> (citing State-Of-The-Art Knowledge of Protective Actions Appropriate for Earthquake Early Warning: Michele M. Wood, with Maximilian Dixon, Earthquake Program Manager at Washington State Military Department, Emergency Management Division; Althea Rizzo, Geologic Hazards Program Coordinator, Oregon Emergency Management Agency; Pascal </w:t>
      </w:r>
      <w:r w:rsidRPr="001F7F49">
        <w:t>Schuback</w:t>
      </w:r>
      <w:r w:rsidRPr="001F7F49">
        <w:t xml:space="preserve">, Executive Director, Cascadia Region Earthquake Workgroup; Jennifer </w:t>
      </w:r>
      <w:r w:rsidRPr="001F7F49">
        <w:t>Thamer</w:t>
      </w:r>
      <w:r w:rsidRPr="001F7F49">
        <w:t xml:space="preserve">, Director, </w:t>
      </w:r>
      <w:r w:rsidRPr="001F7F49">
        <w:t>Nusura</w:t>
      </w:r>
      <w:r w:rsidRPr="001F7F49">
        <w:t xml:space="preserve">, Inc.; Brian </w:t>
      </w:r>
      <w:r w:rsidRPr="001F7F49">
        <w:t>Terbush</w:t>
      </w:r>
      <w:r w:rsidRPr="001F7F49">
        <w:t>, Earthquake/Volcano Program Coordinator at Washington State Military Department, Emergency Management Division, October 29, 2018)</w:t>
      </w:r>
      <w:r w:rsidR="00C7276B">
        <w:t>.</w:t>
      </w:r>
    </w:p>
  </w:footnote>
  <w:footnote w:id="35">
    <w:p w:rsidR="007141EA" w:rsidP="001F7F49" w14:paraId="4742CE23" w14:textId="3FABAEEF">
      <w:pPr>
        <w:pStyle w:val="FootnoteText"/>
      </w:pPr>
      <w:r>
        <w:rPr>
          <w:rStyle w:val="FootnoteReference"/>
        </w:rPr>
        <w:footnoteRef/>
      </w:r>
      <w:r>
        <w:t xml:space="preserve"> </w:t>
      </w:r>
      <w:r w:rsidRPr="00C5730C">
        <w:t>USGS August 23 letter at 2</w:t>
      </w:r>
      <w:r>
        <w:t xml:space="preserve"> (citing </w:t>
      </w:r>
      <w:r w:rsidRPr="00F51E50">
        <w:rPr>
          <w:szCs w:val="24"/>
        </w:rPr>
        <w:t xml:space="preserve">Porter, K. A. and J.L. Jones, 2017, How Many Injuries Can Be Avoided in the </w:t>
      </w:r>
      <w:r w:rsidRPr="00F51E50">
        <w:rPr>
          <w:szCs w:val="24"/>
        </w:rPr>
        <w:t>HayWired</w:t>
      </w:r>
      <w:r w:rsidRPr="00F51E50">
        <w:rPr>
          <w:szCs w:val="24"/>
        </w:rPr>
        <w:t xml:space="preserve"> Scenario Through Earthquake Early Warning and Drop, Cover, and Hold On?, in Detweiler, S.T. and Wein, A.M. eds., 2018. The </w:t>
      </w:r>
      <w:r w:rsidRPr="00F51E50">
        <w:rPr>
          <w:szCs w:val="24"/>
        </w:rPr>
        <w:t>HayWired</w:t>
      </w:r>
      <w:r w:rsidRPr="00F51E50">
        <w:rPr>
          <w:szCs w:val="24"/>
        </w:rPr>
        <w:t xml:space="preserve"> Earthquake Scenario--earthquake Hazards. US Department of the Interior, US Geological Survey, Scientific Investigations Report 2017–5013–I–Q</w:t>
      </w:r>
      <w:r>
        <w:rPr>
          <w:szCs w:val="24"/>
        </w:rPr>
        <w:t>)</w:t>
      </w:r>
      <w:r w:rsidR="00C7276B">
        <w:rPr>
          <w:szCs w:val="24"/>
        </w:rPr>
        <w:t>.</w:t>
      </w:r>
    </w:p>
  </w:footnote>
  <w:footnote w:id="36">
    <w:p w:rsidR="007141EA" w:rsidP="00F04CD7" w14:paraId="379EF650" w14:textId="77777777">
      <w:pPr>
        <w:pStyle w:val="FootnoteText"/>
      </w:pPr>
      <w:r>
        <w:rPr>
          <w:rStyle w:val="FootnoteReference"/>
        </w:rPr>
        <w:footnoteRef/>
      </w:r>
      <w:r>
        <w:t xml:space="preserve"> </w:t>
      </w:r>
      <w:r>
        <w:rPr>
          <w:i/>
        </w:rPr>
        <w:t>Id.</w:t>
      </w:r>
    </w:p>
  </w:footnote>
  <w:footnote w:id="37">
    <w:p w:rsidR="007141EA" w:rsidRPr="00671419" w14:paraId="60444FA8" w14:textId="44B47330">
      <w:pPr>
        <w:pStyle w:val="FootnoteText"/>
      </w:pPr>
      <w:r>
        <w:rPr>
          <w:rStyle w:val="FootnoteReference"/>
        </w:rPr>
        <w:footnoteRef/>
      </w:r>
      <w:r>
        <w:t xml:space="preserve"> </w:t>
      </w:r>
      <w:r>
        <w:rPr>
          <w:i/>
        </w:rPr>
        <w:t xml:space="preserve">See </w:t>
      </w:r>
      <w:r w:rsidR="00B8435D">
        <w:t xml:space="preserve">USGS, </w:t>
      </w:r>
      <w:r w:rsidR="00B8435D">
        <w:t>ShakeAlert</w:t>
      </w:r>
      <w:r w:rsidR="00B8435D">
        <w:t>,</w:t>
      </w:r>
      <w:r>
        <w:t xml:space="preserve"> </w:t>
      </w:r>
      <w:hyperlink r:id="rId3" w:history="1">
        <w:r w:rsidRPr="0043565B">
          <w:rPr>
            <w:rStyle w:val="Hyperlink"/>
          </w:rPr>
          <w:t>https://www.usgs.gov/natural-hazards/shakealert</w:t>
        </w:r>
      </w:hyperlink>
      <w:r>
        <w:t xml:space="preserve"> (last visited Sept. 5, 2019) (“</w:t>
      </w:r>
      <w:r w:rsidRPr="00C1601A">
        <w:t xml:space="preserve">The USGS </w:t>
      </w:r>
      <w:r w:rsidRPr="00C1601A">
        <w:t>ShakeAlert</w:t>
      </w:r>
      <w:r w:rsidRPr="00C1601A">
        <w:t xml:space="preserve"> </w:t>
      </w:r>
      <w:r w:rsidR="00A60CB7">
        <w:t>. . .</w:t>
      </w:r>
      <w:r>
        <w:t xml:space="preserve"> </w:t>
      </w:r>
      <w:r w:rsidRPr="00C1601A">
        <w:t xml:space="preserve">System uses earthquake science and technology to detect significant earthquakes quickly so that alerts can reach many people before shaking arrives. </w:t>
      </w:r>
      <w:r w:rsidR="00A60CB7">
        <w:t xml:space="preserve"> </w:t>
      </w:r>
      <w:r w:rsidRPr="00C1601A">
        <w:t>The seconds to tens of seconds of advance warning can allow people and systems to take actions to protect life and property from destructive shaking</w:t>
      </w:r>
      <w:r>
        <w:t>”)</w:t>
      </w:r>
      <w:r w:rsidR="00C812AC">
        <w:t xml:space="preserve">; </w:t>
      </w:r>
      <w:r w:rsidR="00C812AC">
        <w:rPr>
          <w:i/>
        </w:rPr>
        <w:t>see also</w:t>
      </w:r>
      <w:r w:rsidR="00C812AC">
        <w:t xml:space="preserve"> Email from Douglas Given, </w:t>
      </w:r>
      <w:r w:rsidRPr="00671419" w:rsidR="00671419">
        <w:t xml:space="preserve">Geophysicist, USGS Earthquake Early Warning Coordinator, U.S. Geological Survey, to </w:t>
      </w:r>
      <w:r w:rsidR="00671419">
        <w:t>Maureen Bizhko</w:t>
      </w:r>
      <w:r w:rsidRPr="00671419" w:rsidR="00671419">
        <w:t>, Attorney Advisor, Federal Communications Commission</w:t>
      </w:r>
      <w:r w:rsidR="00671419">
        <w:rPr>
          <w:i/>
        </w:rPr>
        <w:t xml:space="preserve"> </w:t>
      </w:r>
      <w:r w:rsidR="00671419">
        <w:t xml:space="preserve">(Sep. 12, 2019) </w:t>
      </w:r>
      <w:r w:rsidR="00671419">
        <w:rPr>
          <w:i/>
        </w:rPr>
        <w:t>citing</w:t>
      </w:r>
      <w:r w:rsidR="00671419">
        <w:t xml:space="preserve"> </w:t>
      </w:r>
      <w:r w:rsidRPr="00671419" w:rsidR="00671419">
        <w:t xml:space="preserve">Porter, K. A. and J.L. Jones, 2017, How Many Injuries Can Be Avoided in the </w:t>
      </w:r>
      <w:r w:rsidRPr="00671419" w:rsidR="00671419">
        <w:t>HayWired</w:t>
      </w:r>
      <w:r w:rsidRPr="00671419" w:rsidR="00671419">
        <w:t xml:space="preserve"> Scenario Through Earthquake Early Warning and Drop, Cover, and Hold On?, in Detweiler, S.T. and Wein, A.M. eds., 2018. The </w:t>
      </w:r>
      <w:r w:rsidRPr="00671419" w:rsidR="00671419">
        <w:t>HayWired</w:t>
      </w:r>
      <w:r w:rsidRPr="00671419" w:rsidR="00671419">
        <w:t xml:space="preserve"> Earthquake Scenario--earthquake Hazards. US Department of the Interior, US Geological Survey, Scientific Investigations Report 2017–5013–I–Q</w:t>
      </w:r>
      <w:r w:rsidR="00671419">
        <w:t xml:space="preserve">, </w:t>
      </w:r>
      <w:hyperlink r:id="rId4" w:history="1">
        <w:r w:rsidRPr="00DC5873" w:rsidR="00671419">
          <w:rPr>
            <w:rStyle w:val="Hyperlink"/>
          </w:rPr>
          <w:t>https://pubs.usgs.gov/sir/2017/5013/sir20175013ah_v1.2.pdf</w:t>
        </w:r>
      </w:hyperlink>
      <w:r w:rsidR="00671419">
        <w:t>.</w:t>
      </w:r>
    </w:p>
  </w:footnote>
  <w:footnote w:id="38">
    <w:p w:rsidR="00A60CB7" w:rsidRPr="00A60CB7" w14:paraId="484C22A7" w14:textId="3C2E0B27">
      <w:pPr>
        <w:pStyle w:val="FootnoteText"/>
        <w:rPr>
          <w:i/>
        </w:rPr>
      </w:pPr>
      <w:r>
        <w:rPr>
          <w:rStyle w:val="FootnoteReference"/>
        </w:rPr>
        <w:footnoteRef/>
      </w:r>
      <w:r>
        <w:t xml:space="preserve"> </w:t>
      </w:r>
      <w:r w:rsidRPr="00CC1EBE">
        <w:t xml:space="preserve">Indeed, the precise geo-targeting required by the new rule will have required a lead time of </w:t>
      </w:r>
      <w:r w:rsidRPr="00455234">
        <w:t xml:space="preserve">nearly </w:t>
      </w:r>
      <w:r w:rsidRPr="00BF04FA">
        <w:t>two</w:t>
      </w:r>
      <w:r w:rsidRPr="00455234">
        <w:t xml:space="preserve"> years</w:t>
      </w:r>
      <w:r w:rsidRPr="00C5730C">
        <w:rPr>
          <w:b/>
        </w:rPr>
        <w:t xml:space="preserve"> </w:t>
      </w:r>
      <w:r w:rsidRPr="00CC1EBE">
        <w:t>for Participating CMS Providers, FEMA, and other affected agencies to implement</w:t>
      </w:r>
      <w:r>
        <w:t xml:space="preserve">.  </w:t>
      </w:r>
      <w:r>
        <w:rPr>
          <w:i/>
        </w:rPr>
        <w:t xml:space="preserve">See </w:t>
      </w:r>
      <w:r w:rsidRPr="00C5730C">
        <w:rPr>
          <w:i/>
        </w:rPr>
        <w:t>WEA Second R&amp;O</w:t>
      </w:r>
      <w:r w:rsidRPr="00C5730C">
        <w:t xml:space="preserve">, 33 FCC Rcd at </w:t>
      </w:r>
      <w:r>
        <w:t xml:space="preserve">1330-1332, </w:t>
      </w:r>
      <w:r w:rsidRPr="00C5730C">
        <w:t>paras</w:t>
      </w:r>
      <w:r w:rsidRPr="001A51F9">
        <w:rPr>
          <w:b/>
        </w:rPr>
        <w:t xml:space="preserve">. </w:t>
      </w:r>
      <w:r w:rsidRPr="00C5730C">
        <w:t>12-14</w:t>
      </w:r>
      <w:r>
        <w:t>.</w:t>
      </w:r>
    </w:p>
  </w:footnote>
  <w:footnote w:id="39">
    <w:p w:rsidR="007141EA" w:rsidRPr="00F850E8" w:rsidP="001F7F49" w14:paraId="0A63DBD3" w14:textId="77777777">
      <w:pPr>
        <w:pStyle w:val="FootnoteText"/>
      </w:pPr>
      <w:r>
        <w:rPr>
          <w:rStyle w:val="FootnoteReference"/>
        </w:rPr>
        <w:footnoteRef/>
      </w:r>
      <w:r>
        <w:t xml:space="preserve"> </w:t>
      </w:r>
      <w:r>
        <w:rPr>
          <w:i/>
        </w:rPr>
        <w:t>See Second WEA R&amp;O</w:t>
      </w:r>
      <w:r>
        <w:t>, 33 FCC Rcd at 1326, at 1324, para. 6.</w:t>
      </w:r>
    </w:p>
  </w:footnote>
  <w:footnote w:id="40">
    <w:p w:rsidR="007141EA" w:rsidRPr="00AD468D" w14:paraId="52E2AF4F" w14:textId="42123368">
      <w:pPr>
        <w:pStyle w:val="FootnoteText"/>
      </w:pPr>
      <w:r>
        <w:rPr>
          <w:rStyle w:val="FootnoteReference"/>
        </w:rPr>
        <w:footnoteRef/>
      </w:r>
      <w:r>
        <w:t xml:space="preserve"> </w:t>
      </w:r>
      <w:r w:rsidRPr="00C5730C">
        <w:t>Email from Mark Lucero, Engineering Branch Chief, IPAWS Program Management Office, to Nicole McGinnis, Deputy Chief, PSHSB. FCC</w:t>
      </w:r>
      <w:r>
        <w:rPr>
          <w:i/>
        </w:rPr>
        <w:t xml:space="preserve"> </w:t>
      </w:r>
      <w:r>
        <w:t>(Sept. 6, 2019, 9:33pm EDT) (Lucero Email).</w:t>
      </w:r>
    </w:p>
  </w:footnote>
  <w:footnote w:id="41">
    <w:p w:rsidR="007141EA" w14:paraId="67579CDB" w14:textId="50E7E9BE">
      <w:pPr>
        <w:pStyle w:val="FootnoteText"/>
      </w:pPr>
      <w:r>
        <w:rPr>
          <w:rStyle w:val="FootnoteReference"/>
        </w:rPr>
        <w:footnoteRef/>
      </w:r>
      <w:r>
        <w:t xml:space="preserve"> </w:t>
      </w:r>
      <w:r>
        <w:rPr>
          <w:i/>
        </w:rPr>
        <w:t>See Second WEA R&amp;O</w:t>
      </w:r>
      <w:r>
        <w:t>, 33 FCC Rcd at 1326, at 1324, para. 6.</w:t>
      </w:r>
    </w:p>
  </w:footnote>
  <w:footnote w:id="42">
    <w:p w:rsidR="007141EA" w:rsidRPr="00502EE1" w:rsidP="00502EE1" w14:paraId="7F2755FA" w14:textId="06F1A6E5">
      <w:pPr>
        <w:pStyle w:val="FootnoteText"/>
      </w:pPr>
      <w:r w:rsidRPr="00CC1EBE">
        <w:rPr>
          <w:rStyle w:val="FootnoteReference"/>
        </w:rPr>
        <w:footnoteRef/>
      </w:r>
      <w:r w:rsidRPr="00CC1EBE">
        <w:t xml:space="preserve"> </w:t>
      </w:r>
      <w:r>
        <w:rPr>
          <w:i/>
        </w:rPr>
        <w:t xml:space="preserve">See </w:t>
      </w:r>
      <w:r w:rsidRPr="00CC1EBE">
        <w:t xml:space="preserve">USGS </w:t>
      </w:r>
      <w:r>
        <w:t>August 23 Letter</w:t>
      </w:r>
      <w:r w:rsidRPr="00CC1EBE">
        <w:t xml:space="preserve"> at 4</w:t>
      </w:r>
      <w:r>
        <w:t xml:space="preserve"> (stating that “w</w:t>
      </w:r>
      <w:r w:rsidRPr="00C5730C">
        <w:t xml:space="preserve">hen </w:t>
      </w:r>
      <w:r w:rsidRPr="00C5730C">
        <w:t>ShakeAlert</w:t>
      </w:r>
      <w:r w:rsidRPr="00C5730C">
        <w:t xml:space="preserve"> begins public alerting, it will also send follow-up messages after each alert with final information about the earthquake that caused the alert and where to get additional information or to cancel the alert if it was issued in error</w:t>
      </w:r>
      <w:r>
        <w:t>”)</w:t>
      </w:r>
      <w:r w:rsidRPr="00C5730C">
        <w:t xml:space="preserve">. </w:t>
      </w:r>
    </w:p>
  </w:footnote>
  <w:footnote w:id="43">
    <w:p w:rsidR="007141EA" w:rsidRPr="00980ABE" w14:paraId="3045D056" w14:textId="64F46CDF">
      <w:pPr>
        <w:pStyle w:val="FootnoteText"/>
      </w:pPr>
      <w:r>
        <w:rPr>
          <w:rStyle w:val="FootnoteReference"/>
        </w:rPr>
        <w:footnoteRef/>
      </w:r>
      <w:r>
        <w:t xml:space="preserve"> </w:t>
      </w:r>
      <w:r>
        <w:rPr>
          <w:i/>
        </w:rPr>
        <w:t>See</w:t>
      </w:r>
      <w:r>
        <w:t xml:space="preserve"> </w:t>
      </w:r>
      <w:r>
        <w:rPr>
          <w:i/>
        </w:rPr>
        <w:t>WEA R&amp;O and FNRPM</w:t>
      </w:r>
      <w:r>
        <w:t xml:space="preserve">, </w:t>
      </w:r>
      <w:r w:rsidRPr="007939FE">
        <w:t xml:space="preserve">31 FCC Rcd </w:t>
      </w:r>
      <w:r>
        <w:t>at 11126, para. 18 (defining a Public Safety Message as “an essential public safety advisory that prescribes one or more actions likely to save lives and/or safeguard property”).</w:t>
      </w:r>
    </w:p>
  </w:footnote>
  <w:footnote w:id="44">
    <w:p w:rsidR="007141EA" w14:paraId="31270B60" w14:textId="5678A041">
      <w:pPr>
        <w:pStyle w:val="FootnoteText"/>
      </w:pPr>
      <w:r>
        <w:rPr>
          <w:rStyle w:val="FootnoteReference"/>
        </w:rPr>
        <w:footnoteRef/>
      </w:r>
      <w:r>
        <w:t xml:space="preserve"> USGS August Letter at 4.</w:t>
      </w:r>
    </w:p>
  </w:footnote>
  <w:footnote w:id="45">
    <w:p w:rsidR="007141EA" w14:paraId="31A8EB67" w14:textId="1FB24D64">
      <w:pPr>
        <w:pStyle w:val="FootnoteText"/>
      </w:pPr>
      <w:r>
        <w:rPr>
          <w:rStyle w:val="FootnoteReference"/>
        </w:rPr>
        <w:footnoteRef/>
      </w:r>
      <w:r>
        <w:t xml:space="preserve"> </w:t>
      </w:r>
      <w:r>
        <w:rPr>
          <w:i/>
        </w:rPr>
        <w:t xml:space="preserve">See </w:t>
      </w:r>
      <w:r>
        <w:t xml:space="preserve">Lucero 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1EA" w:rsidP="00810B6F" w14:paraId="36EB7542" w14:textId="5BE24926">
    <w:pPr>
      <w:pStyle w:val="Header"/>
      <w:rPr>
        <w:b w:val="0"/>
      </w:rPr>
    </w:pPr>
    <w:r>
      <w:tab/>
      <w:t>Federal Communications Commission</w:t>
    </w:r>
    <w:r>
      <w:tab/>
      <w:t>DA 19-</w:t>
    </w:r>
    <w:r w:rsidR="00392761">
      <w:t>940</w:t>
    </w:r>
  </w:p>
  <w:p w:rsidR="007141EA" w14:paraId="01FE45B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141EA" w14:paraId="12C51D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1EA" w:rsidP="00810B6F" w14:paraId="6D9E6F8A" w14:textId="307C1FC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392761">
      <w:rPr>
        <w:spacing w:val="-2"/>
      </w:rPr>
      <w:t>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5856CF"/>
    <w:multiLevelType w:val="hybridMultilevel"/>
    <w:tmpl w:val="6B423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5F0B8F"/>
    <w:multiLevelType w:val="hybridMultilevel"/>
    <w:tmpl w:val="9CF84C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lvlOverride w:ilvl="0">
      <w:startOverride w:val="1"/>
    </w:lvlOverride>
  </w:num>
  <w:num w:numId="8">
    <w:abstractNumId w:val="8"/>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lvlOverride w:ilvl="0">
      <w:startOverride w:val="1"/>
    </w:lvlOverride>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34"/>
    <w:rsid w:val="00005E37"/>
    <w:rsid w:val="000157C1"/>
    <w:rsid w:val="0002099C"/>
    <w:rsid w:val="00025956"/>
    <w:rsid w:val="00025E1F"/>
    <w:rsid w:val="00034E35"/>
    <w:rsid w:val="00036039"/>
    <w:rsid w:val="00037F90"/>
    <w:rsid w:val="00042B5E"/>
    <w:rsid w:val="000528CC"/>
    <w:rsid w:val="000552C9"/>
    <w:rsid w:val="000561F4"/>
    <w:rsid w:val="00061ADD"/>
    <w:rsid w:val="000620F8"/>
    <w:rsid w:val="00063008"/>
    <w:rsid w:val="00064ACA"/>
    <w:rsid w:val="00081B2C"/>
    <w:rsid w:val="000870F0"/>
    <w:rsid w:val="000875BF"/>
    <w:rsid w:val="000875DC"/>
    <w:rsid w:val="00093771"/>
    <w:rsid w:val="00095072"/>
    <w:rsid w:val="000967CA"/>
    <w:rsid w:val="00096D8C"/>
    <w:rsid w:val="00097349"/>
    <w:rsid w:val="000A2291"/>
    <w:rsid w:val="000A45E7"/>
    <w:rsid w:val="000A7A35"/>
    <w:rsid w:val="000B3275"/>
    <w:rsid w:val="000B569E"/>
    <w:rsid w:val="000C0B65"/>
    <w:rsid w:val="000C10C0"/>
    <w:rsid w:val="000C2878"/>
    <w:rsid w:val="000C31DF"/>
    <w:rsid w:val="000D46FB"/>
    <w:rsid w:val="000E05FE"/>
    <w:rsid w:val="000E0805"/>
    <w:rsid w:val="000E3D42"/>
    <w:rsid w:val="000E5877"/>
    <w:rsid w:val="000E5B00"/>
    <w:rsid w:val="000F0116"/>
    <w:rsid w:val="000F14EF"/>
    <w:rsid w:val="00100588"/>
    <w:rsid w:val="00113383"/>
    <w:rsid w:val="0011446B"/>
    <w:rsid w:val="00115A72"/>
    <w:rsid w:val="00116943"/>
    <w:rsid w:val="00120FDE"/>
    <w:rsid w:val="00122BD5"/>
    <w:rsid w:val="00133F79"/>
    <w:rsid w:val="00147FAB"/>
    <w:rsid w:val="001509E4"/>
    <w:rsid w:val="00153089"/>
    <w:rsid w:val="001613DD"/>
    <w:rsid w:val="001616A6"/>
    <w:rsid w:val="001637E8"/>
    <w:rsid w:val="00167D6A"/>
    <w:rsid w:val="001772C7"/>
    <w:rsid w:val="0018008F"/>
    <w:rsid w:val="00186570"/>
    <w:rsid w:val="00191767"/>
    <w:rsid w:val="00194A66"/>
    <w:rsid w:val="001A03B3"/>
    <w:rsid w:val="001A1451"/>
    <w:rsid w:val="001A14FB"/>
    <w:rsid w:val="001A28C5"/>
    <w:rsid w:val="001A51F9"/>
    <w:rsid w:val="001B00CF"/>
    <w:rsid w:val="001B1435"/>
    <w:rsid w:val="001B4B69"/>
    <w:rsid w:val="001C1762"/>
    <w:rsid w:val="001D6BCF"/>
    <w:rsid w:val="001E01CA"/>
    <w:rsid w:val="001E4A0A"/>
    <w:rsid w:val="001E5971"/>
    <w:rsid w:val="001F623C"/>
    <w:rsid w:val="001F7F49"/>
    <w:rsid w:val="00202842"/>
    <w:rsid w:val="0020386F"/>
    <w:rsid w:val="0020509D"/>
    <w:rsid w:val="00211900"/>
    <w:rsid w:val="00215439"/>
    <w:rsid w:val="00216888"/>
    <w:rsid w:val="002168E9"/>
    <w:rsid w:val="00223D66"/>
    <w:rsid w:val="0023204F"/>
    <w:rsid w:val="00232081"/>
    <w:rsid w:val="00234B4B"/>
    <w:rsid w:val="00234E9F"/>
    <w:rsid w:val="00234F61"/>
    <w:rsid w:val="00237460"/>
    <w:rsid w:val="00245763"/>
    <w:rsid w:val="0024631D"/>
    <w:rsid w:val="00261E78"/>
    <w:rsid w:val="00265CB6"/>
    <w:rsid w:val="00270073"/>
    <w:rsid w:val="00275CF5"/>
    <w:rsid w:val="00282D8E"/>
    <w:rsid w:val="0028301F"/>
    <w:rsid w:val="00283145"/>
    <w:rsid w:val="00283695"/>
    <w:rsid w:val="00285017"/>
    <w:rsid w:val="00293B0E"/>
    <w:rsid w:val="00295134"/>
    <w:rsid w:val="002A0153"/>
    <w:rsid w:val="002A0DF1"/>
    <w:rsid w:val="002A285F"/>
    <w:rsid w:val="002A2D2E"/>
    <w:rsid w:val="002A7DA6"/>
    <w:rsid w:val="002B06C6"/>
    <w:rsid w:val="002B1A68"/>
    <w:rsid w:val="002B5560"/>
    <w:rsid w:val="002B5CC3"/>
    <w:rsid w:val="002C00E8"/>
    <w:rsid w:val="002C249F"/>
    <w:rsid w:val="002C7815"/>
    <w:rsid w:val="002D12F4"/>
    <w:rsid w:val="002E1AE7"/>
    <w:rsid w:val="002E24C5"/>
    <w:rsid w:val="002E3252"/>
    <w:rsid w:val="002E5087"/>
    <w:rsid w:val="002F10E2"/>
    <w:rsid w:val="002F36D0"/>
    <w:rsid w:val="002F4089"/>
    <w:rsid w:val="002F67FE"/>
    <w:rsid w:val="00306525"/>
    <w:rsid w:val="003072F6"/>
    <w:rsid w:val="0031159F"/>
    <w:rsid w:val="00316E4D"/>
    <w:rsid w:val="003249A1"/>
    <w:rsid w:val="00331DF3"/>
    <w:rsid w:val="0033768E"/>
    <w:rsid w:val="00340CCC"/>
    <w:rsid w:val="00343749"/>
    <w:rsid w:val="00352B2E"/>
    <w:rsid w:val="00352E23"/>
    <w:rsid w:val="003660ED"/>
    <w:rsid w:val="00367069"/>
    <w:rsid w:val="00370EA8"/>
    <w:rsid w:val="00371990"/>
    <w:rsid w:val="00372249"/>
    <w:rsid w:val="00380CE4"/>
    <w:rsid w:val="00382BB3"/>
    <w:rsid w:val="00392761"/>
    <w:rsid w:val="0039555C"/>
    <w:rsid w:val="003A4483"/>
    <w:rsid w:val="003A54FF"/>
    <w:rsid w:val="003A5F46"/>
    <w:rsid w:val="003B0550"/>
    <w:rsid w:val="003B1F64"/>
    <w:rsid w:val="003B694F"/>
    <w:rsid w:val="003B6D69"/>
    <w:rsid w:val="003B7E26"/>
    <w:rsid w:val="003C6648"/>
    <w:rsid w:val="003C6E71"/>
    <w:rsid w:val="003E0DED"/>
    <w:rsid w:val="003E5D41"/>
    <w:rsid w:val="003F171C"/>
    <w:rsid w:val="003F3882"/>
    <w:rsid w:val="003F5414"/>
    <w:rsid w:val="00401F36"/>
    <w:rsid w:val="0040531B"/>
    <w:rsid w:val="00406608"/>
    <w:rsid w:val="00412FC5"/>
    <w:rsid w:val="004145C1"/>
    <w:rsid w:val="00421D72"/>
    <w:rsid w:val="00422276"/>
    <w:rsid w:val="00422A42"/>
    <w:rsid w:val="004242F1"/>
    <w:rsid w:val="00427B4D"/>
    <w:rsid w:val="0043565B"/>
    <w:rsid w:val="00435A12"/>
    <w:rsid w:val="00436ED9"/>
    <w:rsid w:val="00437A05"/>
    <w:rsid w:val="00442EC7"/>
    <w:rsid w:val="00445A00"/>
    <w:rsid w:val="00451B0F"/>
    <w:rsid w:val="00455234"/>
    <w:rsid w:val="00456329"/>
    <w:rsid w:val="00464021"/>
    <w:rsid w:val="00466919"/>
    <w:rsid w:val="00467EE3"/>
    <w:rsid w:val="004778B6"/>
    <w:rsid w:val="00485728"/>
    <w:rsid w:val="00487C8B"/>
    <w:rsid w:val="00490CE8"/>
    <w:rsid w:val="00492765"/>
    <w:rsid w:val="00496A12"/>
    <w:rsid w:val="004A2466"/>
    <w:rsid w:val="004B0E4B"/>
    <w:rsid w:val="004B1E0C"/>
    <w:rsid w:val="004B7704"/>
    <w:rsid w:val="004C2EE3"/>
    <w:rsid w:val="004C3B0F"/>
    <w:rsid w:val="004C68D1"/>
    <w:rsid w:val="004C692E"/>
    <w:rsid w:val="004D63A0"/>
    <w:rsid w:val="004E4A22"/>
    <w:rsid w:val="004E4AFB"/>
    <w:rsid w:val="004F2554"/>
    <w:rsid w:val="00502EE1"/>
    <w:rsid w:val="00511968"/>
    <w:rsid w:val="00513484"/>
    <w:rsid w:val="00522E71"/>
    <w:rsid w:val="00523327"/>
    <w:rsid w:val="00524B51"/>
    <w:rsid w:val="00525FBA"/>
    <w:rsid w:val="00531C90"/>
    <w:rsid w:val="00534486"/>
    <w:rsid w:val="00546E73"/>
    <w:rsid w:val="00553C5C"/>
    <w:rsid w:val="0055614C"/>
    <w:rsid w:val="005637B7"/>
    <w:rsid w:val="00566D06"/>
    <w:rsid w:val="00567972"/>
    <w:rsid w:val="005706F0"/>
    <w:rsid w:val="00570BC6"/>
    <w:rsid w:val="005839F2"/>
    <w:rsid w:val="00592203"/>
    <w:rsid w:val="005A36E9"/>
    <w:rsid w:val="005A423A"/>
    <w:rsid w:val="005A7283"/>
    <w:rsid w:val="005B2773"/>
    <w:rsid w:val="005B2DE8"/>
    <w:rsid w:val="005B5897"/>
    <w:rsid w:val="005B5F00"/>
    <w:rsid w:val="005B7D45"/>
    <w:rsid w:val="005C1DBB"/>
    <w:rsid w:val="005D33EF"/>
    <w:rsid w:val="005D52CE"/>
    <w:rsid w:val="005D55CD"/>
    <w:rsid w:val="005D7037"/>
    <w:rsid w:val="005E05F2"/>
    <w:rsid w:val="005E0F39"/>
    <w:rsid w:val="005E1362"/>
    <w:rsid w:val="005E14C2"/>
    <w:rsid w:val="005E35F9"/>
    <w:rsid w:val="005E4A98"/>
    <w:rsid w:val="005F5954"/>
    <w:rsid w:val="00605BE6"/>
    <w:rsid w:val="00607BA5"/>
    <w:rsid w:val="0061180A"/>
    <w:rsid w:val="0061466E"/>
    <w:rsid w:val="00615AB9"/>
    <w:rsid w:val="0062332D"/>
    <w:rsid w:val="00626EB6"/>
    <w:rsid w:val="0062718A"/>
    <w:rsid w:val="006315F2"/>
    <w:rsid w:val="006447E4"/>
    <w:rsid w:val="0065215A"/>
    <w:rsid w:val="00655D03"/>
    <w:rsid w:val="00671419"/>
    <w:rsid w:val="00681200"/>
    <w:rsid w:val="00683388"/>
    <w:rsid w:val="00683F84"/>
    <w:rsid w:val="006877A7"/>
    <w:rsid w:val="006A54A4"/>
    <w:rsid w:val="006A6A81"/>
    <w:rsid w:val="006B00FB"/>
    <w:rsid w:val="006B44A4"/>
    <w:rsid w:val="006C25A2"/>
    <w:rsid w:val="006C3708"/>
    <w:rsid w:val="006D3A7B"/>
    <w:rsid w:val="006E5190"/>
    <w:rsid w:val="006E5DBB"/>
    <w:rsid w:val="006E7D53"/>
    <w:rsid w:val="006F7393"/>
    <w:rsid w:val="0070224F"/>
    <w:rsid w:val="007049C7"/>
    <w:rsid w:val="00705917"/>
    <w:rsid w:val="007102D5"/>
    <w:rsid w:val="007115F7"/>
    <w:rsid w:val="007141EA"/>
    <w:rsid w:val="007149A2"/>
    <w:rsid w:val="00714DF9"/>
    <w:rsid w:val="0072106B"/>
    <w:rsid w:val="00723287"/>
    <w:rsid w:val="007245D6"/>
    <w:rsid w:val="0072781E"/>
    <w:rsid w:val="00740ED8"/>
    <w:rsid w:val="00743785"/>
    <w:rsid w:val="007438F5"/>
    <w:rsid w:val="00753C6D"/>
    <w:rsid w:val="00757523"/>
    <w:rsid w:val="00760375"/>
    <w:rsid w:val="0076124F"/>
    <w:rsid w:val="00762A3A"/>
    <w:rsid w:val="007740FF"/>
    <w:rsid w:val="007768E7"/>
    <w:rsid w:val="00780E2A"/>
    <w:rsid w:val="00785689"/>
    <w:rsid w:val="007939FE"/>
    <w:rsid w:val="00794966"/>
    <w:rsid w:val="0079754B"/>
    <w:rsid w:val="007A041E"/>
    <w:rsid w:val="007A1E6D"/>
    <w:rsid w:val="007A3BB5"/>
    <w:rsid w:val="007A486F"/>
    <w:rsid w:val="007B03C3"/>
    <w:rsid w:val="007B0EB2"/>
    <w:rsid w:val="007C4C6B"/>
    <w:rsid w:val="007C4DED"/>
    <w:rsid w:val="007C59DA"/>
    <w:rsid w:val="007C7372"/>
    <w:rsid w:val="007C7F78"/>
    <w:rsid w:val="007D4E2E"/>
    <w:rsid w:val="007D74E8"/>
    <w:rsid w:val="007E0A3E"/>
    <w:rsid w:val="007E42A5"/>
    <w:rsid w:val="007E46E7"/>
    <w:rsid w:val="007E555D"/>
    <w:rsid w:val="007E6D67"/>
    <w:rsid w:val="007E6FBA"/>
    <w:rsid w:val="007F2322"/>
    <w:rsid w:val="007F2988"/>
    <w:rsid w:val="007F7FE3"/>
    <w:rsid w:val="00800583"/>
    <w:rsid w:val="008050A2"/>
    <w:rsid w:val="00810B6F"/>
    <w:rsid w:val="00812127"/>
    <w:rsid w:val="0081341B"/>
    <w:rsid w:val="00814065"/>
    <w:rsid w:val="008143BC"/>
    <w:rsid w:val="008151AC"/>
    <w:rsid w:val="0081584F"/>
    <w:rsid w:val="008165D2"/>
    <w:rsid w:val="00816EF0"/>
    <w:rsid w:val="00822CE0"/>
    <w:rsid w:val="00822D79"/>
    <w:rsid w:val="00824872"/>
    <w:rsid w:val="00827901"/>
    <w:rsid w:val="00840E23"/>
    <w:rsid w:val="00841AB1"/>
    <w:rsid w:val="00851B36"/>
    <w:rsid w:val="00852B3A"/>
    <w:rsid w:val="00853656"/>
    <w:rsid w:val="00855014"/>
    <w:rsid w:val="008609EC"/>
    <w:rsid w:val="00877C05"/>
    <w:rsid w:val="00882991"/>
    <w:rsid w:val="008833ED"/>
    <w:rsid w:val="00887ABD"/>
    <w:rsid w:val="008A5F3A"/>
    <w:rsid w:val="008B1998"/>
    <w:rsid w:val="008B5486"/>
    <w:rsid w:val="008B6B4B"/>
    <w:rsid w:val="008C0F5B"/>
    <w:rsid w:val="008C2FB1"/>
    <w:rsid w:val="008C55D9"/>
    <w:rsid w:val="008C68F1"/>
    <w:rsid w:val="008C78C1"/>
    <w:rsid w:val="008D1811"/>
    <w:rsid w:val="008D550F"/>
    <w:rsid w:val="008D7151"/>
    <w:rsid w:val="008D77AF"/>
    <w:rsid w:val="008E4A42"/>
    <w:rsid w:val="008E506C"/>
    <w:rsid w:val="008F3D12"/>
    <w:rsid w:val="008F445D"/>
    <w:rsid w:val="008F48A4"/>
    <w:rsid w:val="008F7A02"/>
    <w:rsid w:val="008F7C42"/>
    <w:rsid w:val="00900219"/>
    <w:rsid w:val="00901B7D"/>
    <w:rsid w:val="00903572"/>
    <w:rsid w:val="00904EB6"/>
    <w:rsid w:val="00905D61"/>
    <w:rsid w:val="00912F31"/>
    <w:rsid w:val="00914A8E"/>
    <w:rsid w:val="00914BE7"/>
    <w:rsid w:val="00915D20"/>
    <w:rsid w:val="00921803"/>
    <w:rsid w:val="009218E6"/>
    <w:rsid w:val="00924FEA"/>
    <w:rsid w:val="009259F0"/>
    <w:rsid w:val="00926503"/>
    <w:rsid w:val="00941645"/>
    <w:rsid w:val="00942C51"/>
    <w:rsid w:val="009449AC"/>
    <w:rsid w:val="00946611"/>
    <w:rsid w:val="00950C20"/>
    <w:rsid w:val="00951ACA"/>
    <w:rsid w:val="00963329"/>
    <w:rsid w:val="00967FFA"/>
    <w:rsid w:val="009726D8"/>
    <w:rsid w:val="009749BE"/>
    <w:rsid w:val="00976296"/>
    <w:rsid w:val="0097778C"/>
    <w:rsid w:val="00980ABE"/>
    <w:rsid w:val="00981D91"/>
    <w:rsid w:val="00983960"/>
    <w:rsid w:val="00985183"/>
    <w:rsid w:val="00985A16"/>
    <w:rsid w:val="009A0D64"/>
    <w:rsid w:val="009A43D1"/>
    <w:rsid w:val="009B1BD9"/>
    <w:rsid w:val="009B4A92"/>
    <w:rsid w:val="009C0846"/>
    <w:rsid w:val="009C1617"/>
    <w:rsid w:val="009C1B74"/>
    <w:rsid w:val="009C495D"/>
    <w:rsid w:val="009C7CFE"/>
    <w:rsid w:val="009C7FB2"/>
    <w:rsid w:val="009D0EBB"/>
    <w:rsid w:val="009D4527"/>
    <w:rsid w:val="009D7308"/>
    <w:rsid w:val="009E206F"/>
    <w:rsid w:val="009E6932"/>
    <w:rsid w:val="009F76DB"/>
    <w:rsid w:val="00A064CD"/>
    <w:rsid w:val="00A07AAF"/>
    <w:rsid w:val="00A10E6B"/>
    <w:rsid w:val="00A11EF1"/>
    <w:rsid w:val="00A125AC"/>
    <w:rsid w:val="00A13F9F"/>
    <w:rsid w:val="00A22325"/>
    <w:rsid w:val="00A25D23"/>
    <w:rsid w:val="00A27DBD"/>
    <w:rsid w:val="00A27EDF"/>
    <w:rsid w:val="00A32C3B"/>
    <w:rsid w:val="00A37535"/>
    <w:rsid w:val="00A414AA"/>
    <w:rsid w:val="00A44EB5"/>
    <w:rsid w:val="00A45F4F"/>
    <w:rsid w:val="00A523E1"/>
    <w:rsid w:val="00A54D14"/>
    <w:rsid w:val="00A55954"/>
    <w:rsid w:val="00A56E31"/>
    <w:rsid w:val="00A57A5D"/>
    <w:rsid w:val="00A600A9"/>
    <w:rsid w:val="00A60CB7"/>
    <w:rsid w:val="00A649C3"/>
    <w:rsid w:val="00A676EE"/>
    <w:rsid w:val="00A773B6"/>
    <w:rsid w:val="00A82AD8"/>
    <w:rsid w:val="00A838B4"/>
    <w:rsid w:val="00A87701"/>
    <w:rsid w:val="00A90A65"/>
    <w:rsid w:val="00AA0359"/>
    <w:rsid w:val="00AA0791"/>
    <w:rsid w:val="00AA1E02"/>
    <w:rsid w:val="00AA2283"/>
    <w:rsid w:val="00AA55B7"/>
    <w:rsid w:val="00AA5B9E"/>
    <w:rsid w:val="00AB0078"/>
    <w:rsid w:val="00AB2407"/>
    <w:rsid w:val="00AB470E"/>
    <w:rsid w:val="00AB53DF"/>
    <w:rsid w:val="00AC1031"/>
    <w:rsid w:val="00AC6749"/>
    <w:rsid w:val="00AD173E"/>
    <w:rsid w:val="00AD3B58"/>
    <w:rsid w:val="00AD468D"/>
    <w:rsid w:val="00AD53BB"/>
    <w:rsid w:val="00AD6DC0"/>
    <w:rsid w:val="00AF15FB"/>
    <w:rsid w:val="00AF23EE"/>
    <w:rsid w:val="00B0643B"/>
    <w:rsid w:val="00B07172"/>
    <w:rsid w:val="00B07E5C"/>
    <w:rsid w:val="00B248ED"/>
    <w:rsid w:val="00B272FA"/>
    <w:rsid w:val="00B30B0B"/>
    <w:rsid w:val="00B36802"/>
    <w:rsid w:val="00B478EB"/>
    <w:rsid w:val="00B52A68"/>
    <w:rsid w:val="00B54DE3"/>
    <w:rsid w:val="00B63E9A"/>
    <w:rsid w:val="00B66B57"/>
    <w:rsid w:val="00B74B58"/>
    <w:rsid w:val="00B81048"/>
    <w:rsid w:val="00B811F7"/>
    <w:rsid w:val="00B8435D"/>
    <w:rsid w:val="00B85627"/>
    <w:rsid w:val="00B90802"/>
    <w:rsid w:val="00B956AB"/>
    <w:rsid w:val="00BA2A53"/>
    <w:rsid w:val="00BA5827"/>
    <w:rsid w:val="00BA5DC6"/>
    <w:rsid w:val="00BA6196"/>
    <w:rsid w:val="00BA72DD"/>
    <w:rsid w:val="00BB0DA7"/>
    <w:rsid w:val="00BB24CD"/>
    <w:rsid w:val="00BC6D8C"/>
    <w:rsid w:val="00BD74D2"/>
    <w:rsid w:val="00BE058E"/>
    <w:rsid w:val="00BF04FA"/>
    <w:rsid w:val="00BF39E0"/>
    <w:rsid w:val="00C018DF"/>
    <w:rsid w:val="00C126D3"/>
    <w:rsid w:val="00C1601A"/>
    <w:rsid w:val="00C23601"/>
    <w:rsid w:val="00C23F14"/>
    <w:rsid w:val="00C25325"/>
    <w:rsid w:val="00C26D8C"/>
    <w:rsid w:val="00C34006"/>
    <w:rsid w:val="00C3624F"/>
    <w:rsid w:val="00C36B4C"/>
    <w:rsid w:val="00C40EDE"/>
    <w:rsid w:val="00C426B1"/>
    <w:rsid w:val="00C432E1"/>
    <w:rsid w:val="00C51323"/>
    <w:rsid w:val="00C5730C"/>
    <w:rsid w:val="00C64CDB"/>
    <w:rsid w:val="00C66160"/>
    <w:rsid w:val="00C721AC"/>
    <w:rsid w:val="00C7276B"/>
    <w:rsid w:val="00C7377D"/>
    <w:rsid w:val="00C80DF4"/>
    <w:rsid w:val="00C812AC"/>
    <w:rsid w:val="00C827CF"/>
    <w:rsid w:val="00C9073E"/>
    <w:rsid w:val="00C90D6A"/>
    <w:rsid w:val="00C91D60"/>
    <w:rsid w:val="00C924F8"/>
    <w:rsid w:val="00C92F88"/>
    <w:rsid w:val="00C9668A"/>
    <w:rsid w:val="00CA1D31"/>
    <w:rsid w:val="00CA247E"/>
    <w:rsid w:val="00CA6D21"/>
    <w:rsid w:val="00CA7321"/>
    <w:rsid w:val="00CB2786"/>
    <w:rsid w:val="00CB4A9A"/>
    <w:rsid w:val="00CB6A9C"/>
    <w:rsid w:val="00CC1EBE"/>
    <w:rsid w:val="00CC3619"/>
    <w:rsid w:val="00CC72B6"/>
    <w:rsid w:val="00CD0257"/>
    <w:rsid w:val="00CD5DE5"/>
    <w:rsid w:val="00CE304E"/>
    <w:rsid w:val="00CE56E4"/>
    <w:rsid w:val="00CE67C9"/>
    <w:rsid w:val="00CE748A"/>
    <w:rsid w:val="00CE7B1E"/>
    <w:rsid w:val="00D0218D"/>
    <w:rsid w:val="00D15A8C"/>
    <w:rsid w:val="00D168C3"/>
    <w:rsid w:val="00D235CC"/>
    <w:rsid w:val="00D23E6A"/>
    <w:rsid w:val="00D25FB5"/>
    <w:rsid w:val="00D31F81"/>
    <w:rsid w:val="00D33DC3"/>
    <w:rsid w:val="00D346E5"/>
    <w:rsid w:val="00D35A1F"/>
    <w:rsid w:val="00D42205"/>
    <w:rsid w:val="00D44223"/>
    <w:rsid w:val="00D45E37"/>
    <w:rsid w:val="00D47639"/>
    <w:rsid w:val="00D508CC"/>
    <w:rsid w:val="00D50EA5"/>
    <w:rsid w:val="00D52FBD"/>
    <w:rsid w:val="00D5592E"/>
    <w:rsid w:val="00D71330"/>
    <w:rsid w:val="00D71B19"/>
    <w:rsid w:val="00D728EB"/>
    <w:rsid w:val="00D84954"/>
    <w:rsid w:val="00D97382"/>
    <w:rsid w:val="00D97508"/>
    <w:rsid w:val="00DA0E86"/>
    <w:rsid w:val="00DA2529"/>
    <w:rsid w:val="00DB037C"/>
    <w:rsid w:val="00DB130A"/>
    <w:rsid w:val="00DB2EBB"/>
    <w:rsid w:val="00DB7C37"/>
    <w:rsid w:val="00DC10A1"/>
    <w:rsid w:val="00DC1A13"/>
    <w:rsid w:val="00DC1D9D"/>
    <w:rsid w:val="00DC3B6B"/>
    <w:rsid w:val="00DC4EF0"/>
    <w:rsid w:val="00DC5873"/>
    <w:rsid w:val="00DC655F"/>
    <w:rsid w:val="00DD0B59"/>
    <w:rsid w:val="00DD147E"/>
    <w:rsid w:val="00DD7EBD"/>
    <w:rsid w:val="00DE2FAA"/>
    <w:rsid w:val="00DE72D8"/>
    <w:rsid w:val="00DF62B6"/>
    <w:rsid w:val="00DF6DA4"/>
    <w:rsid w:val="00DF76B7"/>
    <w:rsid w:val="00E04657"/>
    <w:rsid w:val="00E04EDC"/>
    <w:rsid w:val="00E07225"/>
    <w:rsid w:val="00E14D68"/>
    <w:rsid w:val="00E22696"/>
    <w:rsid w:val="00E23017"/>
    <w:rsid w:val="00E309D6"/>
    <w:rsid w:val="00E33C7A"/>
    <w:rsid w:val="00E33EFA"/>
    <w:rsid w:val="00E36096"/>
    <w:rsid w:val="00E36D91"/>
    <w:rsid w:val="00E40224"/>
    <w:rsid w:val="00E45E3E"/>
    <w:rsid w:val="00E46CD0"/>
    <w:rsid w:val="00E47C54"/>
    <w:rsid w:val="00E5409F"/>
    <w:rsid w:val="00E645A1"/>
    <w:rsid w:val="00E7059C"/>
    <w:rsid w:val="00E71344"/>
    <w:rsid w:val="00E71BE5"/>
    <w:rsid w:val="00E72844"/>
    <w:rsid w:val="00E728DB"/>
    <w:rsid w:val="00E743FD"/>
    <w:rsid w:val="00E86811"/>
    <w:rsid w:val="00E86C69"/>
    <w:rsid w:val="00E9454B"/>
    <w:rsid w:val="00E945BF"/>
    <w:rsid w:val="00E96EB1"/>
    <w:rsid w:val="00EA3C7C"/>
    <w:rsid w:val="00EA599C"/>
    <w:rsid w:val="00EA7E5B"/>
    <w:rsid w:val="00EB42AF"/>
    <w:rsid w:val="00EC2EE8"/>
    <w:rsid w:val="00EC5A62"/>
    <w:rsid w:val="00ED2FEB"/>
    <w:rsid w:val="00ED3E2A"/>
    <w:rsid w:val="00EE3C07"/>
    <w:rsid w:val="00EE61AC"/>
    <w:rsid w:val="00EE6488"/>
    <w:rsid w:val="00EF1249"/>
    <w:rsid w:val="00EF145B"/>
    <w:rsid w:val="00F021FA"/>
    <w:rsid w:val="00F04CD7"/>
    <w:rsid w:val="00F11CD4"/>
    <w:rsid w:val="00F202A9"/>
    <w:rsid w:val="00F2677F"/>
    <w:rsid w:val="00F30469"/>
    <w:rsid w:val="00F34C14"/>
    <w:rsid w:val="00F35A6D"/>
    <w:rsid w:val="00F43848"/>
    <w:rsid w:val="00F46130"/>
    <w:rsid w:val="00F51E50"/>
    <w:rsid w:val="00F5328A"/>
    <w:rsid w:val="00F62E97"/>
    <w:rsid w:val="00F64209"/>
    <w:rsid w:val="00F7037E"/>
    <w:rsid w:val="00F850E8"/>
    <w:rsid w:val="00F8588F"/>
    <w:rsid w:val="00F86C31"/>
    <w:rsid w:val="00F8713C"/>
    <w:rsid w:val="00F9107E"/>
    <w:rsid w:val="00F93BF5"/>
    <w:rsid w:val="00F970C4"/>
    <w:rsid w:val="00FA4295"/>
    <w:rsid w:val="00FA4B19"/>
    <w:rsid w:val="00FA5187"/>
    <w:rsid w:val="00FB052F"/>
    <w:rsid w:val="00FB0A30"/>
    <w:rsid w:val="00FB48CA"/>
    <w:rsid w:val="00FB543B"/>
    <w:rsid w:val="00FB6F04"/>
    <w:rsid w:val="00FC2060"/>
    <w:rsid w:val="00FC3469"/>
    <w:rsid w:val="00FC62FC"/>
    <w:rsid w:val="00FD3767"/>
    <w:rsid w:val="00FE2B22"/>
    <w:rsid w:val="00FE3868"/>
    <w:rsid w:val="00FE6A7B"/>
    <w:rsid w:val="00FF67D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Footnote Text Char5"/>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uiPriority w:val="99"/>
    <w:rsid w:val="002A285F"/>
  </w:style>
  <w:style w:type="character" w:customStyle="1" w:styleId="ParaNumChar">
    <w:name w:val="ParaNum Char"/>
    <w:link w:val="ParaNum"/>
    <w:locked/>
    <w:rsid w:val="00100588"/>
    <w:rPr>
      <w:snapToGrid w:val="0"/>
      <w:kern w:val="28"/>
      <w:sz w:val="22"/>
    </w:rPr>
  </w:style>
  <w:style w:type="paragraph" w:styleId="BodyText">
    <w:name w:val="Body Text"/>
    <w:basedOn w:val="Normal"/>
    <w:link w:val="BodyTextChar"/>
    <w:uiPriority w:val="1"/>
    <w:qFormat/>
    <w:rsid w:val="00840E23"/>
    <w:pPr>
      <w:ind w:left="120"/>
    </w:pPr>
    <w:rPr>
      <w:snapToGrid/>
      <w:kern w:val="0"/>
      <w:szCs w:val="22"/>
    </w:rPr>
  </w:style>
  <w:style w:type="character" w:customStyle="1" w:styleId="BodyTextChar">
    <w:name w:val="Body Text Char"/>
    <w:basedOn w:val="DefaultParagraphFont"/>
    <w:link w:val="BodyText"/>
    <w:uiPriority w:val="1"/>
    <w:rsid w:val="00840E23"/>
    <w:rPr>
      <w:sz w:val="22"/>
      <w:szCs w:val="22"/>
    </w:rPr>
  </w:style>
  <w:style w:type="paragraph" w:styleId="ListParagraph">
    <w:name w:val="List Paragraph"/>
    <w:basedOn w:val="Normal"/>
    <w:uiPriority w:val="34"/>
    <w:qFormat/>
    <w:rsid w:val="00840E23"/>
    <w:pPr>
      <w:ind w:left="720"/>
      <w:contextualSpacing/>
    </w:pPr>
  </w:style>
  <w:style w:type="character" w:styleId="CommentReference">
    <w:name w:val="annotation reference"/>
    <w:basedOn w:val="DefaultParagraphFont"/>
    <w:rsid w:val="00097349"/>
    <w:rPr>
      <w:sz w:val="16"/>
      <w:szCs w:val="16"/>
    </w:rPr>
  </w:style>
  <w:style w:type="paragraph" w:styleId="CommentText">
    <w:name w:val="annotation text"/>
    <w:basedOn w:val="Normal"/>
    <w:link w:val="CommentTextChar"/>
    <w:rsid w:val="00097349"/>
    <w:rPr>
      <w:sz w:val="20"/>
    </w:rPr>
  </w:style>
  <w:style w:type="character" w:customStyle="1" w:styleId="CommentTextChar">
    <w:name w:val="Comment Text Char"/>
    <w:basedOn w:val="DefaultParagraphFont"/>
    <w:link w:val="CommentText"/>
    <w:rsid w:val="00097349"/>
    <w:rPr>
      <w:snapToGrid w:val="0"/>
      <w:kern w:val="28"/>
    </w:rPr>
  </w:style>
  <w:style w:type="paragraph" w:styleId="CommentSubject">
    <w:name w:val="annotation subject"/>
    <w:basedOn w:val="CommentText"/>
    <w:next w:val="CommentText"/>
    <w:link w:val="CommentSubjectChar"/>
    <w:rsid w:val="00097349"/>
    <w:rPr>
      <w:b/>
      <w:bCs/>
    </w:rPr>
  </w:style>
  <w:style w:type="character" w:customStyle="1" w:styleId="CommentSubjectChar">
    <w:name w:val="Comment Subject Char"/>
    <w:basedOn w:val="CommentTextChar"/>
    <w:link w:val="CommentSubject"/>
    <w:rsid w:val="00097349"/>
    <w:rPr>
      <w:b/>
      <w:bCs/>
      <w:snapToGrid w:val="0"/>
      <w:kern w:val="28"/>
    </w:rPr>
  </w:style>
  <w:style w:type="paragraph" w:styleId="BalloonText">
    <w:name w:val="Balloon Text"/>
    <w:basedOn w:val="Normal"/>
    <w:link w:val="BalloonTextChar"/>
    <w:rsid w:val="00097349"/>
    <w:rPr>
      <w:rFonts w:ascii="Segoe UI" w:hAnsi="Segoe UI" w:cs="Segoe UI"/>
      <w:sz w:val="18"/>
      <w:szCs w:val="18"/>
    </w:rPr>
  </w:style>
  <w:style w:type="character" w:customStyle="1" w:styleId="BalloonTextChar">
    <w:name w:val="Balloon Text Char"/>
    <w:basedOn w:val="DefaultParagraphFont"/>
    <w:link w:val="BalloonText"/>
    <w:rsid w:val="00097349"/>
    <w:rPr>
      <w:rFonts w:ascii="Segoe UI" w:hAnsi="Segoe UI" w:cs="Segoe UI"/>
      <w:snapToGrid w:val="0"/>
      <w:kern w:val="28"/>
      <w:sz w:val="18"/>
      <w:szCs w:val="18"/>
    </w:rPr>
  </w:style>
  <w:style w:type="paragraph" w:styleId="Revision">
    <w:name w:val="Revision"/>
    <w:hidden/>
    <w:uiPriority w:val="99"/>
    <w:semiHidden/>
    <w:rsid w:val="001F623C"/>
    <w:rPr>
      <w:snapToGrid w:val="0"/>
      <w:kern w:val="28"/>
      <w:sz w:val="22"/>
    </w:rPr>
  </w:style>
  <w:style w:type="character" w:customStyle="1" w:styleId="UnresolvedMention">
    <w:name w:val="Unresolved Mention"/>
    <w:basedOn w:val="DefaultParagraphFont"/>
    <w:rsid w:val="00340CCC"/>
    <w:rPr>
      <w:color w:val="605E5C"/>
      <w:shd w:val="clear" w:color="auto" w:fill="E1DFDD"/>
    </w:rPr>
  </w:style>
  <w:style w:type="paragraph" w:customStyle="1" w:styleId="Default">
    <w:name w:val="Default"/>
    <w:rsid w:val="00740E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isn.org/eew/eew.html" TargetMode="External" /><Relationship Id="rId2" Type="http://schemas.openxmlformats.org/officeDocument/2006/relationships/hyperlink" Target="https://www.shakealert.org/" TargetMode="External" /><Relationship Id="rId3" Type="http://schemas.openxmlformats.org/officeDocument/2006/relationships/hyperlink" Target="https://www.usgs.gov/natural-hazards/shakealert" TargetMode="External" /><Relationship Id="rId4" Type="http://schemas.openxmlformats.org/officeDocument/2006/relationships/hyperlink" Target="https://pubs.usgs.gov/sir/2017/5013/sir20175013ah_v1.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