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0AD7A4CD" w14:textId="77777777">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921803" w:rsidP="00921803" w14:paraId="0DDA0B57" w14:textId="77777777">
      <w:pPr>
        <w:pStyle w:val="StyleBoldCentered"/>
      </w:pPr>
      <w:r>
        <w:t>F</w:t>
      </w:r>
      <w:r>
        <w:rPr>
          <w:caps w:val="0"/>
        </w:rPr>
        <w:t>ederal Communications Commission</w:t>
      </w:r>
    </w:p>
    <w:p w:rsidR="004C2EE3" w:rsidP="00096D8C" w14:paraId="00F1CB4C" w14:textId="77777777">
      <w:pPr>
        <w:pStyle w:val="StyleBoldCentered"/>
      </w:pPr>
      <w:r>
        <w:rPr>
          <w:caps w:val="0"/>
        </w:rPr>
        <w:t>Washington, D.C. 20554</w:t>
      </w:r>
    </w:p>
    <w:p w:rsidR="004C2EE3" w:rsidP="0070224F" w14:paraId="5710C90C" w14:textId="77777777"/>
    <w:p w:rsidR="004C2EE3" w:rsidP="0070224F" w14:paraId="39FDB22B" w14:textId="77777777"/>
    <w:tbl>
      <w:tblPr>
        <w:tblW w:w="0" w:type="auto"/>
        <w:tblLayout w:type="fixed"/>
        <w:tblLook w:val="0000"/>
      </w:tblPr>
      <w:tblGrid>
        <w:gridCol w:w="4698"/>
        <w:gridCol w:w="630"/>
        <w:gridCol w:w="4248"/>
      </w:tblGrid>
      <w:tr w14:paraId="2D9D23BC" w14:textId="77777777">
        <w:tblPrEx>
          <w:tblW w:w="0" w:type="auto"/>
          <w:tblLayout w:type="fixed"/>
          <w:tblLook w:val="0000"/>
        </w:tblPrEx>
        <w:tc>
          <w:tcPr>
            <w:tcW w:w="4698" w:type="dxa"/>
          </w:tcPr>
          <w:p w:rsidR="004C2EE3" w14:paraId="54A8F4A3" w14:textId="77777777">
            <w:pPr>
              <w:tabs>
                <w:tab w:val="center" w:pos="4680"/>
              </w:tabs>
              <w:suppressAutoHyphens/>
              <w:rPr>
                <w:spacing w:val="-2"/>
              </w:rPr>
            </w:pPr>
            <w:r>
              <w:rPr>
                <w:spacing w:val="-2"/>
              </w:rPr>
              <w:t>In the Matter of</w:t>
            </w:r>
          </w:p>
          <w:p w:rsidR="004C2EE3" w14:paraId="70BDE2F5" w14:textId="77777777">
            <w:pPr>
              <w:tabs>
                <w:tab w:val="center" w:pos="4680"/>
              </w:tabs>
              <w:suppressAutoHyphens/>
              <w:rPr>
                <w:spacing w:val="-2"/>
              </w:rPr>
            </w:pPr>
          </w:p>
          <w:p w:rsidR="004C2EE3" w:rsidP="007115F7" w14:paraId="3FB8D7BA" w14:textId="77777777">
            <w:pPr>
              <w:tabs>
                <w:tab w:val="center" w:pos="4680"/>
              </w:tabs>
              <w:suppressAutoHyphens/>
              <w:rPr>
                <w:spacing w:val="-2"/>
              </w:rPr>
            </w:pPr>
            <w:r>
              <w:rPr>
                <w:spacing w:val="-2"/>
              </w:rPr>
              <w:t>Improving Wireless Emergency Alerts and Community-Initiated Alerting</w:t>
            </w:r>
          </w:p>
          <w:p w:rsidR="0097691D" w:rsidP="007115F7" w14:paraId="3138C4D3" w14:textId="77777777">
            <w:pPr>
              <w:tabs>
                <w:tab w:val="center" w:pos="4680"/>
              </w:tabs>
              <w:suppressAutoHyphens/>
              <w:rPr>
                <w:spacing w:val="-2"/>
              </w:rPr>
            </w:pPr>
          </w:p>
          <w:p w:rsidR="0097691D" w:rsidRPr="007115F7" w:rsidP="007115F7" w14:paraId="69E3ACB7"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5E65CF0E" w14:textId="77777777">
            <w:pPr>
              <w:tabs>
                <w:tab w:val="center" w:pos="4680"/>
              </w:tabs>
              <w:suppressAutoHyphens/>
              <w:rPr>
                <w:b/>
                <w:spacing w:val="-2"/>
              </w:rPr>
            </w:pPr>
            <w:r>
              <w:rPr>
                <w:b/>
                <w:spacing w:val="-2"/>
              </w:rPr>
              <w:t>)</w:t>
            </w:r>
          </w:p>
          <w:p w:rsidR="004C2EE3" w14:paraId="02C53F7B" w14:textId="77777777">
            <w:pPr>
              <w:tabs>
                <w:tab w:val="center" w:pos="4680"/>
              </w:tabs>
              <w:suppressAutoHyphens/>
              <w:rPr>
                <w:b/>
                <w:spacing w:val="-2"/>
              </w:rPr>
            </w:pPr>
            <w:r>
              <w:rPr>
                <w:b/>
                <w:spacing w:val="-2"/>
              </w:rPr>
              <w:t>)</w:t>
            </w:r>
          </w:p>
          <w:p w:rsidR="004C2EE3" w14:paraId="6420FAAB" w14:textId="77777777">
            <w:pPr>
              <w:tabs>
                <w:tab w:val="center" w:pos="4680"/>
              </w:tabs>
              <w:suppressAutoHyphens/>
              <w:rPr>
                <w:b/>
                <w:spacing w:val="-2"/>
              </w:rPr>
            </w:pPr>
            <w:r>
              <w:rPr>
                <w:b/>
                <w:spacing w:val="-2"/>
              </w:rPr>
              <w:t>)</w:t>
            </w:r>
          </w:p>
          <w:p w:rsidR="004C2EE3" w14:paraId="603D59AC" w14:textId="77777777">
            <w:pPr>
              <w:tabs>
                <w:tab w:val="center" w:pos="4680"/>
              </w:tabs>
              <w:suppressAutoHyphens/>
              <w:rPr>
                <w:b/>
                <w:spacing w:val="-2"/>
              </w:rPr>
            </w:pPr>
            <w:r>
              <w:rPr>
                <w:b/>
                <w:spacing w:val="-2"/>
              </w:rPr>
              <w:t>)</w:t>
            </w:r>
          </w:p>
          <w:p w:rsidR="004C2EE3" w14:paraId="2CA60D60" w14:textId="77777777">
            <w:pPr>
              <w:tabs>
                <w:tab w:val="center" w:pos="4680"/>
              </w:tabs>
              <w:suppressAutoHyphens/>
              <w:rPr>
                <w:b/>
                <w:spacing w:val="-2"/>
              </w:rPr>
            </w:pPr>
            <w:r>
              <w:rPr>
                <w:b/>
                <w:spacing w:val="-2"/>
              </w:rPr>
              <w:t>)</w:t>
            </w:r>
          </w:p>
          <w:p w:rsidR="004C2EE3" w14:paraId="795BF94F" w14:textId="77777777">
            <w:pPr>
              <w:tabs>
                <w:tab w:val="center" w:pos="4680"/>
              </w:tabs>
              <w:suppressAutoHyphens/>
              <w:rPr>
                <w:b/>
                <w:spacing w:val="-2"/>
              </w:rPr>
            </w:pPr>
            <w:r>
              <w:rPr>
                <w:b/>
                <w:spacing w:val="-2"/>
              </w:rPr>
              <w:t>)</w:t>
            </w:r>
          </w:p>
          <w:p w:rsidR="004C2EE3" w14:paraId="587838F2" w14:textId="77777777">
            <w:pPr>
              <w:tabs>
                <w:tab w:val="center" w:pos="4680"/>
              </w:tabs>
              <w:suppressAutoHyphens/>
              <w:rPr>
                <w:b/>
                <w:spacing w:val="-2"/>
              </w:rPr>
            </w:pPr>
            <w:r>
              <w:rPr>
                <w:b/>
                <w:spacing w:val="-2"/>
              </w:rPr>
              <w:t>)</w:t>
            </w:r>
          </w:p>
          <w:p w:rsidR="004C2EE3" w14:paraId="172D6F76" w14:textId="77777777">
            <w:pPr>
              <w:tabs>
                <w:tab w:val="center" w:pos="4680"/>
              </w:tabs>
              <w:suppressAutoHyphens/>
              <w:rPr>
                <w:b/>
                <w:spacing w:val="-2"/>
              </w:rPr>
            </w:pPr>
            <w:r>
              <w:rPr>
                <w:b/>
                <w:spacing w:val="-2"/>
              </w:rPr>
              <w:t>)</w:t>
            </w:r>
          </w:p>
          <w:p w:rsidR="004C2EE3" w14:paraId="4519C9A6" w14:textId="77777777">
            <w:pPr>
              <w:tabs>
                <w:tab w:val="center" w:pos="4680"/>
              </w:tabs>
              <w:suppressAutoHyphens/>
              <w:rPr>
                <w:spacing w:val="-2"/>
              </w:rPr>
            </w:pPr>
            <w:r>
              <w:rPr>
                <w:b/>
                <w:spacing w:val="-2"/>
              </w:rPr>
              <w:t>)</w:t>
            </w:r>
          </w:p>
        </w:tc>
        <w:tc>
          <w:tcPr>
            <w:tcW w:w="4248" w:type="dxa"/>
          </w:tcPr>
          <w:p w:rsidR="004C2EE3" w14:paraId="0959BF99" w14:textId="77777777">
            <w:pPr>
              <w:tabs>
                <w:tab w:val="center" w:pos="4680"/>
              </w:tabs>
              <w:suppressAutoHyphens/>
              <w:rPr>
                <w:spacing w:val="-2"/>
              </w:rPr>
            </w:pPr>
          </w:p>
          <w:p w:rsidR="004C2EE3" w14:paraId="5317FF56" w14:textId="77777777">
            <w:pPr>
              <w:pStyle w:val="TOAHeading"/>
              <w:tabs>
                <w:tab w:val="center" w:pos="4680"/>
                <w:tab w:val="clear" w:pos="9360"/>
              </w:tabs>
              <w:rPr>
                <w:spacing w:val="-2"/>
              </w:rPr>
            </w:pPr>
          </w:p>
          <w:p w:rsidR="004C2EE3" w14:paraId="5AAB6D44" w14:textId="77777777">
            <w:pPr>
              <w:tabs>
                <w:tab w:val="center" w:pos="4680"/>
              </w:tabs>
              <w:suppressAutoHyphens/>
              <w:rPr>
                <w:spacing w:val="-2"/>
              </w:rPr>
            </w:pPr>
            <w:r>
              <w:rPr>
                <w:spacing w:val="-2"/>
              </w:rPr>
              <w:t>PS Docket No. 15-91</w:t>
            </w:r>
          </w:p>
          <w:p w:rsidR="0097691D" w14:paraId="7D8BC089" w14:textId="77777777">
            <w:pPr>
              <w:tabs>
                <w:tab w:val="center" w:pos="4680"/>
              </w:tabs>
              <w:suppressAutoHyphens/>
              <w:rPr>
                <w:spacing w:val="-2"/>
              </w:rPr>
            </w:pPr>
          </w:p>
          <w:p w:rsidR="0097691D" w14:paraId="75664B1E" w14:textId="77777777">
            <w:pPr>
              <w:tabs>
                <w:tab w:val="center" w:pos="4680"/>
              </w:tabs>
              <w:suppressAutoHyphens/>
              <w:rPr>
                <w:spacing w:val="-2"/>
              </w:rPr>
            </w:pPr>
          </w:p>
          <w:p w:rsidR="0097691D" w14:paraId="705CA7C5" w14:textId="77777777">
            <w:pPr>
              <w:tabs>
                <w:tab w:val="center" w:pos="4680"/>
              </w:tabs>
              <w:suppressAutoHyphens/>
              <w:rPr>
                <w:spacing w:val="-2"/>
              </w:rPr>
            </w:pPr>
            <w:r>
              <w:rPr>
                <w:spacing w:val="-2"/>
              </w:rPr>
              <w:t>PS Docket No. 15-94</w:t>
            </w:r>
          </w:p>
        </w:tc>
      </w:tr>
    </w:tbl>
    <w:p w:rsidR="004C2EE3" w:rsidP="0070224F" w14:paraId="00709DD2" w14:textId="77777777"/>
    <w:p w:rsidR="00841AB1" w:rsidP="00F021FA" w14:paraId="7B632F71" w14:textId="77777777">
      <w:pPr>
        <w:pStyle w:val="StyleBoldCentered"/>
      </w:pPr>
      <w:r>
        <w:t>order</w:t>
      </w:r>
    </w:p>
    <w:p w:rsidR="004C2EE3" w14:paraId="271FFE0F" w14:textId="77777777">
      <w:pPr>
        <w:tabs>
          <w:tab w:val="left" w:pos="-720"/>
        </w:tabs>
        <w:suppressAutoHyphens/>
        <w:spacing w:line="227" w:lineRule="auto"/>
        <w:rPr>
          <w:spacing w:val="-2"/>
        </w:rPr>
      </w:pPr>
    </w:p>
    <w:p w:rsidR="004C2EE3" w:rsidP="00133F79" w14:paraId="11625C25" w14:textId="5F380F92">
      <w:pPr>
        <w:tabs>
          <w:tab w:val="left" w:pos="720"/>
          <w:tab w:val="right" w:pos="9360"/>
        </w:tabs>
        <w:suppressAutoHyphens/>
        <w:spacing w:line="227" w:lineRule="auto"/>
        <w:rPr>
          <w:spacing w:val="-2"/>
        </w:rPr>
      </w:pPr>
      <w:r>
        <w:rPr>
          <w:b/>
          <w:spacing w:val="-2"/>
        </w:rPr>
        <w:t xml:space="preserve">Adopted:  </w:t>
      </w:r>
      <w:r w:rsidR="0097691D">
        <w:rPr>
          <w:b/>
          <w:spacing w:val="-2"/>
        </w:rPr>
        <w:t xml:space="preserve">September </w:t>
      </w:r>
      <w:r w:rsidR="004930E8">
        <w:rPr>
          <w:b/>
          <w:spacing w:val="-2"/>
        </w:rPr>
        <w:t>24</w:t>
      </w:r>
      <w:r w:rsidR="0097691D">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7691D">
        <w:rPr>
          <w:b/>
          <w:spacing w:val="-2"/>
        </w:rPr>
        <w:t xml:space="preserve">September </w:t>
      </w:r>
      <w:r w:rsidR="004930E8">
        <w:rPr>
          <w:b/>
          <w:spacing w:val="-2"/>
        </w:rPr>
        <w:t>24</w:t>
      </w:r>
      <w:r w:rsidR="0097691D">
        <w:rPr>
          <w:b/>
          <w:spacing w:val="-2"/>
        </w:rPr>
        <w:t>, 2019</w:t>
      </w:r>
    </w:p>
    <w:p w:rsidR="00822CE0" w14:paraId="0575B0FE" w14:textId="77777777"/>
    <w:p w:rsidR="004C2EE3" w14:paraId="0F13A092" w14:textId="77777777">
      <w:pPr>
        <w:rPr>
          <w:spacing w:val="-2"/>
        </w:rPr>
      </w:pPr>
      <w:r>
        <w:t xml:space="preserve">By </w:t>
      </w:r>
      <w:r w:rsidR="004E4A22">
        <w:t>the</w:t>
      </w:r>
      <w:r w:rsidR="002A2D2E">
        <w:t xml:space="preserve"> </w:t>
      </w:r>
      <w:r w:rsidR="0097691D">
        <w:rPr>
          <w:spacing w:val="-2"/>
        </w:rPr>
        <w:t>Deputy Chief, Public Safety and Homeland Security Bureau</w:t>
      </w:r>
      <w:r>
        <w:rPr>
          <w:spacing w:val="-2"/>
        </w:rPr>
        <w:t>:</w:t>
      </w:r>
    </w:p>
    <w:p w:rsidR="00822CE0" w14:paraId="7F03BF87" w14:textId="77777777">
      <w:pPr>
        <w:rPr>
          <w:spacing w:val="-2"/>
        </w:rPr>
      </w:pPr>
    </w:p>
    <w:p w:rsidR="00412FC5" w:rsidP="00C36B4C" w14:paraId="4DD78A9D" w14:textId="77777777">
      <w:pPr>
        <w:pStyle w:val="Heading1"/>
      </w:pPr>
      <w:r>
        <w:t>introduction</w:t>
      </w:r>
    </w:p>
    <w:p w:rsidR="0097691D" w:rsidP="0097691D" w14:paraId="60ED8A84" w14:textId="77777777">
      <w:pPr>
        <w:pStyle w:val="ParaNum"/>
      </w:pPr>
      <w:r>
        <w:t>In this Order,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rPr>
        <w:footnoteReference w:id="3"/>
      </w:r>
      <w:r>
        <w:t xml:space="preserve"> to participate in an end-to-end WEA test that the San Francisco Department of Emergency Management (San Francisco) proposed to conduct on October 17, 2019, between 5:</w:t>
      </w:r>
      <w:r w:rsidR="00CD5B57">
        <w:t>15</w:t>
      </w:r>
      <w:r>
        <w:t xml:space="preserve"> and 5:</w:t>
      </w:r>
      <w:r w:rsidR="00CD5B57">
        <w:t>45</w:t>
      </w:r>
      <w:r>
        <w:t xml:space="preserve"> p.m. Pacific Daylight Time (PDT)</w:t>
      </w:r>
      <w:r w:rsidR="007165EE">
        <w:t xml:space="preserve">, with a backup </w:t>
      </w:r>
      <w:r w:rsidR="00434F5E">
        <w:t>test scheduled for October 24, 2019, between 3:00 and 3:30 p.m. PDT,</w:t>
      </w:r>
      <w:r>
        <w:t xml:space="preserve"> within the City and County of San Francisco, California.</w:t>
      </w:r>
      <w:r>
        <w:rPr>
          <w:rStyle w:val="FootnoteReference"/>
        </w:rPr>
        <w:footnoteReference w:id="4"/>
      </w:r>
      <w:r w:rsidR="005B38D1">
        <w:t xml:space="preserve">  For the reasons discussed below, we grant the San Francisco request, subject to certain conditions. </w:t>
      </w:r>
    </w:p>
    <w:p w:rsidR="005B38D1" w:rsidP="005B38D1" w14:paraId="13E7CFDC" w14:textId="77777777">
      <w:pPr>
        <w:pStyle w:val="Heading1"/>
      </w:pPr>
      <w:r>
        <w:t>background</w:t>
      </w:r>
    </w:p>
    <w:p w:rsidR="005B38D1" w:rsidRPr="005B38D1" w:rsidP="005B38D1" w14:paraId="3F1DDF99" w14:textId="77777777">
      <w:pPr>
        <w:pStyle w:val="ParaNum"/>
      </w:pPr>
      <w:r w:rsidRPr="00641BA8">
        <w:rPr>
          <w:szCs w:val="22"/>
        </w:rPr>
        <w:t>The WEA system allows authorized government entities to send geographically targeted emergency alerts to commercial wireless subscribers who have WEA-capable mobile devices, and whose commercial wireless service providers are Participating CMS Providers.</w:t>
      </w:r>
      <w:r>
        <w:rPr>
          <w:rStyle w:val="FootnoteReference"/>
          <w:sz w:val="22"/>
          <w:szCs w:val="22"/>
        </w:rPr>
        <w:footnoteReference w:id="5"/>
      </w:r>
      <w:r w:rsidRPr="00641BA8">
        <w:rPr>
          <w:szCs w:val="22"/>
        </w:rPr>
        <w:t xml:space="preserve">  The Commission’s rules prohibit use of the WEA Attention Signal except during actual emergencies, authorized tests, and certain </w:t>
      </w:r>
      <w:r w:rsidRPr="00641BA8">
        <w:rPr>
          <w:szCs w:val="22"/>
        </w:rPr>
        <w:t>public service announcements.</w:t>
      </w:r>
      <w:r>
        <w:rPr>
          <w:rStyle w:val="FootnoteReference"/>
          <w:sz w:val="22"/>
          <w:szCs w:val="22"/>
        </w:rPr>
        <w:footnoteReference w:id="6"/>
      </w:r>
      <w:r w:rsidRPr="00641BA8">
        <w:rPr>
          <w:szCs w:val="22"/>
        </w:rPr>
        <w:t xml:space="preserve">  Additionally, the Commission’s rules allow testing of WEA functionality only in limited circumstances that currently do not include end-to-end WEA tests to the public.</w:t>
      </w:r>
      <w:r>
        <w:rPr>
          <w:rStyle w:val="FootnoteReference"/>
          <w:sz w:val="22"/>
          <w:szCs w:val="22"/>
        </w:rPr>
        <w:footnoteReference w:id="7"/>
      </w:r>
      <w:r w:rsidRPr="00641BA8">
        <w:rPr>
          <w:szCs w:val="22"/>
        </w:rPr>
        <w:t xml:space="preserve">  On November 1, 2016, the Commission adopted a Report and Order that amends the WEA testing rules to permit emergency managers to conduct end-to-end WEA tests to the public to assess how WEA is working within their jurisdictions.</w:t>
      </w:r>
      <w:r>
        <w:rPr>
          <w:rStyle w:val="FootnoteReference"/>
          <w:sz w:val="22"/>
          <w:szCs w:val="22"/>
        </w:rPr>
        <w:footnoteReference w:id="8"/>
      </w:r>
      <w:r w:rsidRPr="00641BA8">
        <w:rPr>
          <w:szCs w:val="22"/>
        </w:rPr>
        <w:t xml:space="preserve">  The rules allowing such State/Local WEA Tests became effective on May 1, 2019,</w:t>
      </w:r>
      <w:r>
        <w:rPr>
          <w:rStyle w:val="FootnoteReference"/>
          <w:sz w:val="22"/>
          <w:szCs w:val="22"/>
        </w:rPr>
        <w:footnoteReference w:id="9"/>
      </w:r>
      <w:r w:rsidRPr="00641BA8">
        <w:rPr>
          <w:rStyle w:val="FootnoteReference"/>
          <w:sz w:val="22"/>
          <w:szCs w:val="22"/>
        </w:rPr>
        <w:t xml:space="preserve"> </w:t>
      </w:r>
      <w:r w:rsidRPr="00641BA8">
        <w:rPr>
          <w:szCs w:val="22"/>
        </w:rPr>
        <w:t>but the Department of Homeland Security’s Federal Emergency Management Agency (FEMA), which administers the Integrated Public Alert and Warning System (IPAWS) infrastructure through which all alerts are authenticated, validated, and delivered to Participating CMS Providers, has informed the Bureau that IPAWS will not be ready to support additional features, including State/Local WEA Tests, pending further necessary technical changes to IPAWS.</w:t>
      </w:r>
      <w:r>
        <w:rPr>
          <w:rStyle w:val="FootnoteReference"/>
          <w:sz w:val="22"/>
          <w:szCs w:val="22"/>
        </w:rPr>
        <w:footnoteReference w:id="10"/>
      </w:r>
      <w:r w:rsidRPr="00641BA8">
        <w:rPr>
          <w:szCs w:val="22"/>
        </w:rPr>
        <w:t xml:space="preserve">  Accordingly, alert originators wishing to conduct end-to-end WEA tests prior to IPAWS’s readiness to support State/Local WEA Tests must continue to request a waiver to use existing WEA message classifications to permit the alerts to be transmitted to the public.</w:t>
      </w:r>
    </w:p>
    <w:p w:rsidR="005B38D1" w:rsidRPr="00A03FA4" w:rsidP="00602A04" w14:paraId="7817BEA7" w14:textId="77777777">
      <w:pPr>
        <w:pStyle w:val="ParaNum"/>
        <w:widowControl/>
      </w:pPr>
      <w:r>
        <w:rPr>
          <w:szCs w:val="22"/>
        </w:rPr>
        <w:t>The San Francisco Amended Letter requests a waiver of the Commission’s rules to allow Participating CMS Providers to participate in an end-to-end WEA test on Thursday, October 17, 2019, between 5:</w:t>
      </w:r>
      <w:r w:rsidR="007E02D4">
        <w:rPr>
          <w:szCs w:val="22"/>
        </w:rPr>
        <w:t>15</w:t>
      </w:r>
      <w:r>
        <w:rPr>
          <w:szCs w:val="22"/>
        </w:rPr>
        <w:t xml:space="preserve"> and 5:</w:t>
      </w:r>
      <w:r w:rsidR="007E02D4">
        <w:rPr>
          <w:szCs w:val="22"/>
        </w:rPr>
        <w:t>45</w:t>
      </w:r>
      <w:r>
        <w:rPr>
          <w:szCs w:val="22"/>
        </w:rPr>
        <w:t xml:space="preserve"> p.m. PDT</w:t>
      </w:r>
      <w:r w:rsidR="00434F5E">
        <w:rPr>
          <w:szCs w:val="22"/>
        </w:rPr>
        <w:t>, with a backup date of Thursday, October 24, 2019, between 3:00 and 3:30 p.m. PDT</w:t>
      </w:r>
      <w:r>
        <w:rPr>
          <w:szCs w:val="22"/>
        </w:rPr>
        <w:t>.</w:t>
      </w:r>
      <w:r>
        <w:rPr>
          <w:rStyle w:val="FootnoteReference"/>
          <w:szCs w:val="22"/>
        </w:rPr>
        <w:footnoteReference w:id="11"/>
      </w:r>
      <w:r>
        <w:rPr>
          <w:szCs w:val="22"/>
        </w:rPr>
        <w:t xml:space="preserve">  </w:t>
      </w:r>
      <w:r w:rsidR="00436426">
        <w:rPr>
          <w:szCs w:val="22"/>
        </w:rPr>
        <w:t>This proposed test is scheduled to coincide with the 30</w:t>
      </w:r>
      <w:r w:rsidRPr="00436426" w:rsidR="00436426">
        <w:rPr>
          <w:szCs w:val="22"/>
          <w:vertAlign w:val="superscript"/>
        </w:rPr>
        <w:t>th</w:t>
      </w:r>
      <w:r w:rsidR="00436426">
        <w:rPr>
          <w:szCs w:val="22"/>
        </w:rPr>
        <w:t xml:space="preserve"> anniversary of the Loma </w:t>
      </w:r>
      <w:r w:rsidR="00436426">
        <w:rPr>
          <w:szCs w:val="22"/>
        </w:rPr>
        <w:t>Prieta</w:t>
      </w:r>
      <w:r w:rsidR="00436426">
        <w:rPr>
          <w:szCs w:val="22"/>
        </w:rPr>
        <w:t xml:space="preserve"> earthquake which, according to the San Francisco Amended Letter, was the “last and most significant disaster impacting San Francisco,” and the Great California </w:t>
      </w:r>
      <w:r w:rsidR="00436426">
        <w:rPr>
          <w:szCs w:val="22"/>
        </w:rPr>
        <w:t>ShakeOut</w:t>
      </w:r>
      <w:r w:rsidR="00436426">
        <w:rPr>
          <w:szCs w:val="22"/>
        </w:rPr>
        <w:t xml:space="preserve">, </w:t>
      </w:r>
      <w:r w:rsidR="00AA7489">
        <w:rPr>
          <w:szCs w:val="22"/>
        </w:rPr>
        <w:t>an annual</w:t>
      </w:r>
      <w:r w:rsidR="00436426">
        <w:rPr>
          <w:szCs w:val="22"/>
        </w:rPr>
        <w:t xml:space="preserve"> earthquake drill</w:t>
      </w:r>
      <w:r w:rsidR="00AA7489">
        <w:rPr>
          <w:szCs w:val="22"/>
        </w:rPr>
        <w:t xml:space="preserve"> with </w:t>
      </w:r>
      <w:r w:rsidR="008E33D5">
        <w:rPr>
          <w:szCs w:val="22"/>
        </w:rPr>
        <w:t>nearly nine million registered participants statewide</w:t>
      </w:r>
      <w:r w:rsidR="00436426">
        <w:rPr>
          <w:szCs w:val="22"/>
        </w:rPr>
        <w:t>.</w:t>
      </w:r>
      <w:r>
        <w:rPr>
          <w:rStyle w:val="FootnoteReference"/>
          <w:szCs w:val="22"/>
        </w:rPr>
        <w:footnoteReference w:id="12"/>
      </w:r>
      <w:r w:rsidR="00436426">
        <w:rPr>
          <w:szCs w:val="22"/>
        </w:rPr>
        <w:t xml:space="preserve">  </w:t>
      </w:r>
      <w:r w:rsidR="008E33D5">
        <w:rPr>
          <w:szCs w:val="22"/>
        </w:rPr>
        <w:t>According to the San Francisco Amended Letter, “there is up to a 99 percent probability that a magnitude 6.7 or higher earthquake will occur within the state anytime within the next 30 years.”</w:t>
      </w:r>
      <w:r>
        <w:rPr>
          <w:rStyle w:val="FootnoteReference"/>
          <w:szCs w:val="22"/>
        </w:rPr>
        <w:footnoteReference w:id="13"/>
      </w:r>
      <w:r w:rsidR="008E33D5">
        <w:rPr>
          <w:szCs w:val="22"/>
        </w:rPr>
        <w:t xml:space="preserve">  </w:t>
      </w:r>
      <w:r w:rsidR="00887A0A">
        <w:rPr>
          <w:szCs w:val="22"/>
        </w:rPr>
        <w:t>T</w:t>
      </w:r>
      <w:r w:rsidR="00436426">
        <w:rPr>
          <w:szCs w:val="22"/>
        </w:rPr>
        <w:t>he San Francisco Amended Letter</w:t>
      </w:r>
      <w:r w:rsidR="00887A0A">
        <w:rPr>
          <w:szCs w:val="22"/>
        </w:rPr>
        <w:t xml:space="preserve"> emphasizes the opportunities </w:t>
      </w:r>
      <w:r w:rsidR="00D177CD">
        <w:rPr>
          <w:szCs w:val="22"/>
        </w:rPr>
        <w:t xml:space="preserve">presented by </w:t>
      </w:r>
      <w:r w:rsidR="00887A0A">
        <w:rPr>
          <w:szCs w:val="22"/>
        </w:rPr>
        <w:t>both events to highlight the importance of earthquake safety and preparedness in the region</w:t>
      </w:r>
      <w:r w:rsidR="00D177CD">
        <w:rPr>
          <w:szCs w:val="22"/>
        </w:rPr>
        <w:t>, including the critical role that effective alerts and warnings serve to empower residents to make informed decisions and take action during an emergency</w:t>
      </w:r>
      <w:r w:rsidR="00887A0A">
        <w:rPr>
          <w:szCs w:val="22"/>
        </w:rPr>
        <w:t>.</w:t>
      </w:r>
      <w:r>
        <w:rPr>
          <w:rStyle w:val="FootnoteReference"/>
          <w:szCs w:val="22"/>
        </w:rPr>
        <w:footnoteReference w:id="14"/>
      </w:r>
      <w:r w:rsidR="00887A0A">
        <w:rPr>
          <w:szCs w:val="22"/>
        </w:rPr>
        <w:t xml:space="preserve">  </w:t>
      </w:r>
      <w:r w:rsidR="008E33D5">
        <w:rPr>
          <w:szCs w:val="22"/>
        </w:rPr>
        <w:t xml:space="preserve">According to the San Francisco </w:t>
      </w:r>
      <w:r w:rsidR="008E33D5">
        <w:rPr>
          <w:szCs w:val="22"/>
        </w:rPr>
        <w:t>Amended Letter, “[w]</w:t>
      </w:r>
      <w:r w:rsidR="008E33D5">
        <w:rPr>
          <w:szCs w:val="22"/>
        </w:rPr>
        <w:t>ithout</w:t>
      </w:r>
      <w:r w:rsidR="008E33D5">
        <w:rPr>
          <w:szCs w:val="22"/>
        </w:rPr>
        <w:t xml:space="preserve"> this waiver, critical live testing cannot be conducted to evaluate the current capability of WEA within the City and County of San Francisco.”</w:t>
      </w:r>
      <w:r>
        <w:rPr>
          <w:rStyle w:val="FootnoteReference"/>
          <w:szCs w:val="22"/>
        </w:rPr>
        <w:footnoteReference w:id="15"/>
      </w:r>
    </w:p>
    <w:p w:rsidR="00A03FA4" w:rsidRPr="00511454" w:rsidP="005B38D1" w14:paraId="41FA1736" w14:textId="77777777">
      <w:pPr>
        <w:pStyle w:val="ParaNum"/>
      </w:pPr>
      <w:r>
        <w:rPr>
          <w:szCs w:val="22"/>
        </w:rPr>
        <w:t>The proposed WEA test will be conducted within the City and County of San Francisco, California.</w:t>
      </w:r>
      <w:r>
        <w:rPr>
          <w:rStyle w:val="FootnoteReference"/>
          <w:szCs w:val="22"/>
        </w:rPr>
        <w:footnoteReference w:id="16"/>
      </w:r>
      <w:r>
        <w:rPr>
          <w:szCs w:val="22"/>
        </w:rPr>
        <w:t xml:space="preserve">  </w:t>
      </w:r>
      <w:r w:rsidR="00511454">
        <w:rPr>
          <w:szCs w:val="22"/>
        </w:rPr>
        <w:t>The proposed WEA test message to be delivered to mobile devices would be: “TEST</w:t>
      </w:r>
      <w:r w:rsidR="007E02D4">
        <w:rPr>
          <w:szCs w:val="22"/>
        </w:rPr>
        <w:t xml:space="preserve"> </w:t>
      </w:r>
      <w:r w:rsidR="00511454">
        <w:rPr>
          <w:szCs w:val="22"/>
        </w:rPr>
        <w:t xml:space="preserve">SF Wireless Emergency Alert test. 30 </w:t>
      </w:r>
      <w:r w:rsidR="00511454">
        <w:rPr>
          <w:szCs w:val="22"/>
        </w:rPr>
        <w:t>yrs</w:t>
      </w:r>
      <w:r w:rsidR="00511454">
        <w:rPr>
          <w:szCs w:val="22"/>
        </w:rPr>
        <w:t xml:space="preserve"> since ’89 quake. Prepare @ </w:t>
      </w:r>
      <w:hyperlink r:id="rId5" w:history="1">
        <w:r w:rsidRPr="0002690B" w:rsidR="007E02D4">
          <w:rPr>
            <w:rStyle w:val="Hyperlink"/>
            <w:szCs w:val="22"/>
          </w:rPr>
          <w:t>www.SF72.org</w:t>
        </w:r>
      </w:hyperlink>
      <w:r w:rsidR="007E02D4">
        <w:rPr>
          <w:szCs w:val="22"/>
        </w:rPr>
        <w:t xml:space="preserve"> </w:t>
      </w:r>
      <w:r w:rsidRPr="00511454" w:rsidR="00511454">
        <w:rPr>
          <w:szCs w:val="22"/>
        </w:rPr>
        <w:t>TEST</w:t>
      </w:r>
      <w:r w:rsidR="00511454">
        <w:rPr>
          <w:szCs w:val="22"/>
        </w:rPr>
        <w:t>”.</w:t>
      </w:r>
      <w:r>
        <w:rPr>
          <w:rStyle w:val="FootnoteReference"/>
          <w:szCs w:val="22"/>
        </w:rPr>
        <w:footnoteReference w:id="17"/>
      </w:r>
      <w:r w:rsidR="00511454">
        <w:rPr>
          <w:szCs w:val="22"/>
        </w:rPr>
        <w:t xml:space="preserve">  </w:t>
      </w:r>
      <w:r w:rsidR="00B46BEF">
        <w:rPr>
          <w:szCs w:val="22"/>
        </w:rPr>
        <w:t xml:space="preserve">According to the San Francisco Amended Letter, the text of the test message is “strategically designed” to direct recipients of the test </w:t>
      </w:r>
      <w:r w:rsidR="009951CE">
        <w:rPr>
          <w:szCs w:val="22"/>
        </w:rPr>
        <w:t>to</w:t>
      </w:r>
      <w:r w:rsidR="00B46BEF">
        <w:rPr>
          <w:szCs w:val="22"/>
        </w:rPr>
        <w:t xml:space="preserve"> visit the city’s emergency preparedness website, which contains information about the WEA live code test, earthquake preparedness</w:t>
      </w:r>
      <w:r w:rsidR="00551BBA">
        <w:rPr>
          <w:szCs w:val="22"/>
        </w:rPr>
        <w:t xml:space="preserve"> and safety</w:t>
      </w:r>
      <w:r w:rsidR="00B46BEF">
        <w:rPr>
          <w:szCs w:val="22"/>
        </w:rPr>
        <w:t>, registration for additional public information through the city’s subscription-based alert system, and a survey regarding the respondent’s experience receiving the WEA test.</w:t>
      </w:r>
      <w:r>
        <w:rPr>
          <w:rStyle w:val="FootnoteReference"/>
          <w:szCs w:val="22"/>
        </w:rPr>
        <w:footnoteReference w:id="18"/>
      </w:r>
      <w:r w:rsidR="00B46BEF">
        <w:rPr>
          <w:szCs w:val="22"/>
        </w:rPr>
        <w:t xml:space="preserve">  </w:t>
      </w:r>
      <w:r w:rsidR="004225DB">
        <w:rPr>
          <w:szCs w:val="22"/>
        </w:rPr>
        <w:t xml:space="preserve">The </w:t>
      </w:r>
      <w:r w:rsidR="004D5510">
        <w:rPr>
          <w:szCs w:val="22"/>
        </w:rPr>
        <w:t xml:space="preserve">San Francisco </w:t>
      </w:r>
      <w:r w:rsidR="004225DB">
        <w:rPr>
          <w:szCs w:val="22"/>
        </w:rPr>
        <w:t xml:space="preserve">Amended Letter </w:t>
      </w:r>
      <w:r w:rsidR="004D5510">
        <w:rPr>
          <w:szCs w:val="22"/>
        </w:rPr>
        <w:t xml:space="preserve">also </w:t>
      </w:r>
      <w:r w:rsidR="004225DB">
        <w:rPr>
          <w:szCs w:val="22"/>
        </w:rPr>
        <w:t>notes that it has used FEMA’s IPAWS Lab to practice and test the proposed WEA test message.</w:t>
      </w:r>
      <w:r>
        <w:rPr>
          <w:rStyle w:val="FootnoteReference"/>
          <w:szCs w:val="22"/>
        </w:rPr>
        <w:footnoteReference w:id="19"/>
      </w:r>
    </w:p>
    <w:p w:rsidR="00511454" w:rsidRPr="00511454" w:rsidP="005B38D1" w14:paraId="325946EA" w14:textId="77777777">
      <w:pPr>
        <w:pStyle w:val="ParaNum"/>
      </w:pPr>
      <w:r>
        <w:rPr>
          <w:szCs w:val="22"/>
        </w:rPr>
        <w:t>The San Francisco Amended Letter outlines an extensive multimedia public outreach plan to inform residents and other stakeholders about the test.</w:t>
      </w:r>
      <w:r>
        <w:rPr>
          <w:rStyle w:val="FootnoteReference"/>
          <w:szCs w:val="22"/>
        </w:rPr>
        <w:footnoteReference w:id="20"/>
      </w:r>
      <w:r w:rsidR="004225DB">
        <w:rPr>
          <w:szCs w:val="22"/>
        </w:rPr>
        <w:t xml:space="preserve">  By conducting the WEA test on the same day as other earthquake</w:t>
      </w:r>
      <w:r w:rsidR="006C2501">
        <w:rPr>
          <w:szCs w:val="22"/>
        </w:rPr>
        <w:t xml:space="preserve"> </w:t>
      </w:r>
      <w:r w:rsidR="004225DB">
        <w:rPr>
          <w:szCs w:val="22"/>
        </w:rPr>
        <w:t>preparedness</w:t>
      </w:r>
      <w:r w:rsidR="006C2501">
        <w:rPr>
          <w:szCs w:val="22"/>
        </w:rPr>
        <w:t>-related</w:t>
      </w:r>
      <w:r w:rsidR="004225DB">
        <w:rPr>
          <w:szCs w:val="22"/>
        </w:rPr>
        <w:t xml:space="preserve"> events, namely, the </w:t>
      </w:r>
      <w:r w:rsidR="004225DB">
        <w:rPr>
          <w:szCs w:val="22"/>
        </w:rPr>
        <w:t>ShakeOut</w:t>
      </w:r>
      <w:r w:rsidR="004225DB">
        <w:rPr>
          <w:szCs w:val="22"/>
        </w:rPr>
        <w:t xml:space="preserve"> drill and the anniversary of the 1989 Loma </w:t>
      </w:r>
      <w:r w:rsidR="004225DB">
        <w:rPr>
          <w:szCs w:val="22"/>
        </w:rPr>
        <w:t>Prieta</w:t>
      </w:r>
      <w:r w:rsidR="004225DB">
        <w:rPr>
          <w:szCs w:val="22"/>
        </w:rPr>
        <w:t xml:space="preserve"> earthquake, San Francisco states that it can leverage the existing media coverage generated by these events to further inform and educate the public about the test.</w:t>
      </w:r>
      <w:r>
        <w:rPr>
          <w:rStyle w:val="FootnoteReference"/>
          <w:szCs w:val="22"/>
        </w:rPr>
        <w:footnoteReference w:id="21"/>
      </w:r>
      <w:r w:rsidR="004225DB">
        <w:rPr>
          <w:szCs w:val="22"/>
        </w:rPr>
        <w:t xml:space="preserve">  In addition, San Francisco will coordinate with and hold discussions about the test with wireless service provider members of the Cellular Telecommunications Industry Association (CTIA) and</w:t>
      </w:r>
      <w:r w:rsidR="00923A6E">
        <w:rPr>
          <w:szCs w:val="22"/>
        </w:rPr>
        <w:t xml:space="preserve"> </w:t>
      </w:r>
      <w:r w:rsidR="004225DB">
        <w:rPr>
          <w:szCs w:val="22"/>
        </w:rPr>
        <w:t>other stakeholders, including local, state, federal, and private partners in the San Francisco area.</w:t>
      </w:r>
      <w:r>
        <w:rPr>
          <w:rStyle w:val="FootnoteReference"/>
          <w:szCs w:val="22"/>
        </w:rPr>
        <w:footnoteReference w:id="22"/>
      </w:r>
      <w:r w:rsidR="004225DB">
        <w:rPr>
          <w:szCs w:val="22"/>
        </w:rPr>
        <w:t xml:space="preserve">  </w:t>
      </w:r>
      <w:r w:rsidR="00043171">
        <w:rPr>
          <w:szCs w:val="22"/>
        </w:rPr>
        <w:t>San Francisco will also share information relevant to the test with neighboring jurisdictions whose communities may also receive the test due to proximity to the test area, as well as first responders, California Highway Patrol, and 911 call centers, to ensure that the public is aware the activity is only a test.</w:t>
      </w:r>
      <w:r>
        <w:rPr>
          <w:rStyle w:val="FootnoteReference"/>
          <w:szCs w:val="22"/>
        </w:rPr>
        <w:footnoteReference w:id="23"/>
      </w:r>
      <w:r w:rsidR="00043171">
        <w:rPr>
          <w:szCs w:val="22"/>
        </w:rPr>
        <w:t xml:space="preserve">  Lastly, </w:t>
      </w:r>
      <w:r w:rsidR="006C2501">
        <w:rPr>
          <w:szCs w:val="22"/>
        </w:rPr>
        <w:t xml:space="preserve">San Francisco will develop a public-targeted communications strategy that will include social and traditional media, local broadcasters and newspapers, in-person media events during the </w:t>
      </w:r>
      <w:r w:rsidR="006C2501">
        <w:rPr>
          <w:szCs w:val="22"/>
        </w:rPr>
        <w:t>ShakeOut</w:t>
      </w:r>
      <w:r w:rsidR="006C2501">
        <w:rPr>
          <w:szCs w:val="22"/>
        </w:rPr>
        <w:t xml:space="preserve"> drill, and cross-promotion through partner social media and public service platforms.</w:t>
      </w:r>
      <w:r>
        <w:rPr>
          <w:rStyle w:val="FootnoteReference"/>
          <w:szCs w:val="22"/>
        </w:rPr>
        <w:footnoteReference w:id="24"/>
      </w:r>
    </w:p>
    <w:p w:rsidR="00511454" w:rsidP="00511454" w14:paraId="26023FBF" w14:textId="77777777">
      <w:pPr>
        <w:pStyle w:val="Heading1"/>
      </w:pPr>
      <w:r>
        <w:t>discussion</w:t>
      </w:r>
    </w:p>
    <w:p w:rsidR="00511454" w:rsidRPr="0056287F" w:rsidP="00511454" w14:paraId="3F5459D4" w14:textId="77777777">
      <w:pPr>
        <w:pStyle w:val="ParaNum"/>
        <w:widowControl/>
      </w:pPr>
      <w:r w:rsidRPr="00641BA8">
        <w:rPr>
          <w:szCs w:val="22"/>
        </w:rPr>
        <w:t>A provision of the Commission’s rules “may</w:t>
      </w:r>
      <w:r w:rsidRPr="00641BA8">
        <w:rPr>
          <w:spacing w:val="-5"/>
          <w:szCs w:val="22"/>
        </w:rPr>
        <w:t xml:space="preserve"> </w:t>
      </w:r>
      <w:r w:rsidRPr="00641BA8">
        <w:rPr>
          <w:szCs w:val="22"/>
        </w:rPr>
        <w:t>be</w:t>
      </w:r>
      <w:r w:rsidRPr="00641BA8">
        <w:rPr>
          <w:spacing w:val="-5"/>
          <w:szCs w:val="22"/>
        </w:rPr>
        <w:t xml:space="preserve"> </w:t>
      </w:r>
      <w:r w:rsidRPr="00641BA8">
        <w:rPr>
          <w:spacing w:val="-1"/>
          <w:szCs w:val="22"/>
        </w:rPr>
        <w:t>waived</w:t>
      </w:r>
      <w:r w:rsidRPr="00641BA8">
        <w:rPr>
          <w:spacing w:val="-4"/>
          <w:szCs w:val="22"/>
        </w:rPr>
        <w:t xml:space="preserve"> </w:t>
      </w:r>
      <w:r w:rsidRPr="00641BA8">
        <w:rPr>
          <w:szCs w:val="22"/>
        </w:rPr>
        <w:t>by</w:t>
      </w:r>
      <w:r w:rsidRPr="00641BA8">
        <w:rPr>
          <w:spacing w:val="-4"/>
          <w:szCs w:val="22"/>
        </w:rPr>
        <w:t xml:space="preserve"> </w:t>
      </w:r>
      <w:r w:rsidRPr="00641BA8">
        <w:rPr>
          <w:szCs w:val="22"/>
        </w:rPr>
        <w:t>the</w:t>
      </w:r>
      <w:r w:rsidRPr="00641BA8">
        <w:rPr>
          <w:spacing w:val="-4"/>
          <w:szCs w:val="22"/>
        </w:rPr>
        <w:t xml:space="preserve"> </w:t>
      </w:r>
      <w:r w:rsidRPr="00641BA8">
        <w:rPr>
          <w:spacing w:val="-1"/>
          <w:szCs w:val="22"/>
        </w:rPr>
        <w:t>Commission</w:t>
      </w:r>
      <w:r w:rsidRPr="00641BA8">
        <w:rPr>
          <w:spacing w:val="-4"/>
          <w:szCs w:val="22"/>
        </w:rPr>
        <w:t xml:space="preserve"> </w:t>
      </w:r>
      <w:r w:rsidRPr="00641BA8">
        <w:rPr>
          <w:szCs w:val="22"/>
        </w:rPr>
        <w:t>on</w:t>
      </w:r>
      <w:r w:rsidRPr="00641BA8">
        <w:rPr>
          <w:spacing w:val="-4"/>
          <w:szCs w:val="22"/>
        </w:rPr>
        <w:t xml:space="preserve"> </w:t>
      </w:r>
      <w:r w:rsidRPr="00641BA8">
        <w:rPr>
          <w:szCs w:val="22"/>
        </w:rPr>
        <w:t>its</w:t>
      </w:r>
      <w:r w:rsidRPr="00641BA8">
        <w:rPr>
          <w:spacing w:val="-4"/>
          <w:szCs w:val="22"/>
        </w:rPr>
        <w:t xml:space="preserve"> </w:t>
      </w:r>
      <w:r w:rsidRPr="00641BA8">
        <w:rPr>
          <w:szCs w:val="22"/>
        </w:rPr>
        <w:t>own</w:t>
      </w:r>
      <w:r w:rsidRPr="00641BA8">
        <w:rPr>
          <w:spacing w:val="27"/>
          <w:szCs w:val="22"/>
        </w:rPr>
        <w:t xml:space="preserve"> </w:t>
      </w:r>
      <w:r w:rsidRPr="00641BA8">
        <w:rPr>
          <w:spacing w:val="-1"/>
          <w:szCs w:val="22"/>
        </w:rPr>
        <w:t>motion</w:t>
      </w:r>
      <w:r w:rsidRPr="00641BA8">
        <w:rPr>
          <w:spacing w:val="-3"/>
          <w:szCs w:val="22"/>
        </w:rPr>
        <w:t xml:space="preserve"> </w:t>
      </w:r>
      <w:r w:rsidRPr="00641BA8">
        <w:rPr>
          <w:szCs w:val="22"/>
        </w:rPr>
        <w:t>or</w:t>
      </w:r>
      <w:r w:rsidRPr="00641BA8">
        <w:rPr>
          <w:spacing w:val="-3"/>
          <w:szCs w:val="22"/>
        </w:rPr>
        <w:t xml:space="preserve"> </w:t>
      </w:r>
      <w:r w:rsidRPr="00641BA8">
        <w:rPr>
          <w:szCs w:val="22"/>
        </w:rPr>
        <w:t>on</w:t>
      </w:r>
      <w:r w:rsidRPr="00641BA8">
        <w:rPr>
          <w:spacing w:val="-3"/>
          <w:szCs w:val="22"/>
        </w:rPr>
        <w:t xml:space="preserve"> </w:t>
      </w:r>
      <w:r w:rsidRPr="00641BA8">
        <w:rPr>
          <w:szCs w:val="22"/>
        </w:rPr>
        <w:t>petition</w:t>
      </w:r>
      <w:r w:rsidRPr="00641BA8">
        <w:rPr>
          <w:spacing w:val="-3"/>
          <w:szCs w:val="22"/>
        </w:rPr>
        <w:t xml:space="preserve"> </w:t>
      </w:r>
      <w:r w:rsidRPr="00641BA8">
        <w:rPr>
          <w:spacing w:val="-1"/>
          <w:szCs w:val="22"/>
        </w:rPr>
        <w:t>if</w:t>
      </w:r>
      <w:r w:rsidRPr="00641BA8">
        <w:rPr>
          <w:spacing w:val="-3"/>
          <w:szCs w:val="22"/>
        </w:rPr>
        <w:t xml:space="preserve"> </w:t>
      </w:r>
      <w:r w:rsidRPr="00641BA8">
        <w:rPr>
          <w:szCs w:val="22"/>
        </w:rPr>
        <w:t>good</w:t>
      </w:r>
      <w:r w:rsidRPr="00641BA8">
        <w:rPr>
          <w:spacing w:val="-2"/>
          <w:szCs w:val="22"/>
        </w:rPr>
        <w:t xml:space="preserve"> </w:t>
      </w:r>
      <w:r w:rsidRPr="00641BA8">
        <w:rPr>
          <w:szCs w:val="22"/>
        </w:rPr>
        <w:t>cause</w:t>
      </w:r>
      <w:r w:rsidRPr="00641BA8">
        <w:rPr>
          <w:spacing w:val="-4"/>
          <w:szCs w:val="22"/>
        </w:rPr>
        <w:t xml:space="preserve"> </w:t>
      </w:r>
      <w:r w:rsidRPr="00641BA8">
        <w:rPr>
          <w:szCs w:val="22"/>
        </w:rPr>
        <w:t>therefor</w:t>
      </w:r>
      <w:r w:rsidRPr="00641BA8">
        <w:rPr>
          <w:spacing w:val="-4"/>
          <w:szCs w:val="22"/>
        </w:rPr>
        <w:t xml:space="preserve"> </w:t>
      </w:r>
      <w:r w:rsidRPr="00641BA8">
        <w:rPr>
          <w:spacing w:val="-1"/>
          <w:szCs w:val="22"/>
        </w:rPr>
        <w:t>is</w:t>
      </w:r>
      <w:r w:rsidRPr="00641BA8">
        <w:rPr>
          <w:spacing w:val="-3"/>
          <w:szCs w:val="22"/>
        </w:rPr>
        <w:t xml:space="preserve"> </w:t>
      </w:r>
      <w:r w:rsidRPr="00641BA8">
        <w:rPr>
          <w:spacing w:val="-1"/>
          <w:szCs w:val="22"/>
        </w:rPr>
        <w:t>shown.”</w:t>
      </w:r>
      <w:r>
        <w:rPr>
          <w:rStyle w:val="FootnoteReference"/>
          <w:spacing w:val="-1"/>
          <w:sz w:val="22"/>
          <w:szCs w:val="22"/>
        </w:rPr>
        <w:footnoteReference w:id="25"/>
      </w:r>
      <w:r w:rsidRPr="00641BA8">
        <w:rPr>
          <w:szCs w:val="22"/>
        </w:rPr>
        <w:t xml:space="preserve">  The</w:t>
      </w:r>
      <w:r w:rsidRPr="00641BA8">
        <w:rPr>
          <w:spacing w:val="-4"/>
          <w:szCs w:val="22"/>
        </w:rPr>
        <w:t xml:space="preserve"> </w:t>
      </w:r>
      <w:r w:rsidRPr="00641BA8">
        <w:rPr>
          <w:szCs w:val="22"/>
        </w:rPr>
        <w:t>Commission</w:t>
      </w:r>
      <w:r w:rsidRPr="00641BA8">
        <w:rPr>
          <w:spacing w:val="-3"/>
          <w:szCs w:val="22"/>
        </w:rPr>
        <w:t xml:space="preserve"> </w:t>
      </w:r>
      <w:r w:rsidRPr="00641BA8">
        <w:rPr>
          <w:szCs w:val="22"/>
        </w:rPr>
        <w:t>may</w:t>
      </w:r>
      <w:r w:rsidRPr="00641BA8">
        <w:rPr>
          <w:spacing w:val="-4"/>
          <w:szCs w:val="22"/>
        </w:rPr>
        <w:t xml:space="preserve"> </w:t>
      </w:r>
      <w:r w:rsidRPr="00641BA8">
        <w:rPr>
          <w:szCs w:val="22"/>
        </w:rPr>
        <w:t>find</w:t>
      </w:r>
      <w:r w:rsidRPr="00641BA8">
        <w:rPr>
          <w:spacing w:val="-3"/>
          <w:szCs w:val="22"/>
        </w:rPr>
        <w:t xml:space="preserve"> </w:t>
      </w:r>
      <w:r w:rsidRPr="00641BA8">
        <w:rPr>
          <w:szCs w:val="22"/>
        </w:rPr>
        <w:t>good</w:t>
      </w:r>
      <w:r w:rsidRPr="00641BA8">
        <w:rPr>
          <w:spacing w:val="-2"/>
          <w:szCs w:val="22"/>
        </w:rPr>
        <w:t xml:space="preserve"> </w:t>
      </w:r>
      <w:r w:rsidRPr="00641BA8">
        <w:rPr>
          <w:szCs w:val="22"/>
        </w:rPr>
        <w:t>cause to extend</w:t>
      </w:r>
      <w:r w:rsidRPr="00641BA8">
        <w:rPr>
          <w:spacing w:val="-6"/>
          <w:szCs w:val="22"/>
        </w:rPr>
        <w:t xml:space="preserve"> </w:t>
      </w:r>
      <w:r w:rsidRPr="00641BA8">
        <w:rPr>
          <w:szCs w:val="22"/>
        </w:rPr>
        <w:t>a</w:t>
      </w:r>
      <w:r w:rsidRPr="00641BA8">
        <w:rPr>
          <w:spacing w:val="-7"/>
          <w:szCs w:val="22"/>
        </w:rPr>
        <w:t xml:space="preserve"> </w:t>
      </w:r>
      <w:r w:rsidRPr="00641BA8">
        <w:rPr>
          <w:spacing w:val="-1"/>
          <w:szCs w:val="22"/>
        </w:rPr>
        <w:t>waiver</w:t>
      </w:r>
      <w:r w:rsidRPr="00641BA8">
        <w:rPr>
          <w:spacing w:val="-6"/>
          <w:szCs w:val="22"/>
        </w:rPr>
        <w:t xml:space="preserve">, </w:t>
      </w:r>
      <w:r w:rsidRPr="00641BA8">
        <w:rPr>
          <w:szCs w:val="22"/>
        </w:rPr>
        <w:t>“if</w:t>
      </w:r>
      <w:r w:rsidRPr="00641BA8">
        <w:rPr>
          <w:spacing w:val="-6"/>
          <w:szCs w:val="22"/>
        </w:rPr>
        <w:t xml:space="preserve"> </w:t>
      </w:r>
      <w:r w:rsidRPr="00641BA8">
        <w:rPr>
          <w:spacing w:val="-1"/>
          <w:szCs w:val="22"/>
        </w:rPr>
        <w:t>special</w:t>
      </w:r>
      <w:r w:rsidRPr="00641BA8">
        <w:rPr>
          <w:spacing w:val="-5"/>
          <w:szCs w:val="22"/>
        </w:rPr>
        <w:t xml:space="preserve"> </w:t>
      </w:r>
      <w:r w:rsidRPr="00641BA8">
        <w:rPr>
          <w:szCs w:val="22"/>
        </w:rPr>
        <w:t>circumstances</w:t>
      </w:r>
      <w:r w:rsidRPr="00641BA8">
        <w:rPr>
          <w:spacing w:val="-5"/>
          <w:szCs w:val="22"/>
        </w:rPr>
        <w:t xml:space="preserve"> </w:t>
      </w:r>
      <w:r w:rsidRPr="00641BA8">
        <w:rPr>
          <w:spacing w:val="-1"/>
          <w:szCs w:val="22"/>
        </w:rPr>
        <w:t>warrant</w:t>
      </w:r>
      <w:r w:rsidRPr="00641BA8">
        <w:rPr>
          <w:spacing w:val="-5"/>
          <w:szCs w:val="22"/>
        </w:rPr>
        <w:t xml:space="preserve"> </w:t>
      </w:r>
      <w:r w:rsidRPr="00641BA8">
        <w:rPr>
          <w:szCs w:val="22"/>
        </w:rPr>
        <w:t>a</w:t>
      </w:r>
      <w:r w:rsidRPr="00641BA8">
        <w:rPr>
          <w:spacing w:val="-5"/>
          <w:szCs w:val="22"/>
        </w:rPr>
        <w:t xml:space="preserve"> </w:t>
      </w:r>
      <w:r w:rsidRPr="00641BA8">
        <w:rPr>
          <w:spacing w:val="-1"/>
          <w:szCs w:val="22"/>
        </w:rPr>
        <w:t>deviation</w:t>
      </w:r>
      <w:r w:rsidRPr="00641BA8">
        <w:rPr>
          <w:spacing w:val="-6"/>
          <w:szCs w:val="22"/>
        </w:rPr>
        <w:t xml:space="preserve"> </w:t>
      </w:r>
      <w:r w:rsidRPr="00641BA8">
        <w:rPr>
          <w:szCs w:val="22"/>
        </w:rPr>
        <w:t>from</w:t>
      </w:r>
      <w:r w:rsidRPr="00641BA8">
        <w:rPr>
          <w:spacing w:val="-5"/>
          <w:szCs w:val="22"/>
        </w:rPr>
        <w:t xml:space="preserve"> </w:t>
      </w:r>
      <w:r w:rsidRPr="00641BA8">
        <w:rPr>
          <w:szCs w:val="22"/>
        </w:rPr>
        <w:t>the</w:t>
      </w:r>
      <w:r w:rsidRPr="00641BA8">
        <w:rPr>
          <w:spacing w:val="-6"/>
          <w:szCs w:val="22"/>
        </w:rPr>
        <w:t xml:space="preserve"> </w:t>
      </w:r>
      <w:r w:rsidRPr="00641BA8">
        <w:rPr>
          <w:szCs w:val="22"/>
        </w:rPr>
        <w:t>general</w:t>
      </w:r>
      <w:r w:rsidRPr="00641BA8">
        <w:rPr>
          <w:spacing w:val="-5"/>
          <w:szCs w:val="22"/>
        </w:rPr>
        <w:t xml:space="preserve"> </w:t>
      </w:r>
      <w:r w:rsidRPr="00641BA8">
        <w:rPr>
          <w:szCs w:val="22"/>
        </w:rPr>
        <w:t>rule</w:t>
      </w:r>
      <w:r w:rsidRPr="00641BA8">
        <w:rPr>
          <w:spacing w:val="-5"/>
          <w:szCs w:val="22"/>
        </w:rPr>
        <w:t xml:space="preserve"> </w:t>
      </w:r>
      <w:r w:rsidRPr="00641BA8">
        <w:rPr>
          <w:spacing w:val="-1"/>
          <w:szCs w:val="22"/>
        </w:rPr>
        <w:t>and</w:t>
      </w:r>
      <w:r w:rsidRPr="00641BA8">
        <w:rPr>
          <w:spacing w:val="-5"/>
          <w:szCs w:val="22"/>
        </w:rPr>
        <w:t xml:space="preserve"> </w:t>
      </w:r>
      <w:r w:rsidRPr="00641BA8">
        <w:rPr>
          <w:spacing w:val="-1"/>
          <w:szCs w:val="22"/>
        </w:rPr>
        <w:t>such</w:t>
      </w:r>
      <w:r w:rsidRPr="00641BA8">
        <w:rPr>
          <w:spacing w:val="-6"/>
          <w:szCs w:val="22"/>
        </w:rPr>
        <w:t xml:space="preserve"> </w:t>
      </w:r>
      <w:r w:rsidRPr="00641BA8">
        <w:rPr>
          <w:szCs w:val="22"/>
        </w:rPr>
        <w:t xml:space="preserve">deviation </w:t>
      </w:r>
      <w:r w:rsidRPr="00641BA8">
        <w:rPr>
          <w:spacing w:val="-1"/>
          <w:szCs w:val="22"/>
        </w:rPr>
        <w:t>will</w:t>
      </w:r>
      <w:r w:rsidRPr="00641BA8">
        <w:rPr>
          <w:spacing w:val="-4"/>
          <w:szCs w:val="22"/>
        </w:rPr>
        <w:t xml:space="preserve"> </w:t>
      </w:r>
      <w:r w:rsidRPr="00641BA8">
        <w:rPr>
          <w:spacing w:val="-1"/>
          <w:szCs w:val="22"/>
        </w:rPr>
        <w:t>serve</w:t>
      </w:r>
      <w:r w:rsidRPr="00641BA8">
        <w:rPr>
          <w:spacing w:val="-4"/>
          <w:szCs w:val="22"/>
        </w:rPr>
        <w:t xml:space="preserve"> </w:t>
      </w:r>
      <w:r w:rsidRPr="00641BA8">
        <w:rPr>
          <w:szCs w:val="22"/>
        </w:rPr>
        <w:t>the</w:t>
      </w:r>
      <w:r w:rsidRPr="00641BA8">
        <w:rPr>
          <w:spacing w:val="-5"/>
          <w:szCs w:val="22"/>
        </w:rPr>
        <w:t xml:space="preserve"> </w:t>
      </w:r>
      <w:r w:rsidRPr="00641BA8">
        <w:rPr>
          <w:szCs w:val="22"/>
        </w:rPr>
        <w:t>public</w:t>
      </w:r>
      <w:r w:rsidRPr="00641BA8">
        <w:rPr>
          <w:spacing w:val="-3"/>
          <w:szCs w:val="22"/>
        </w:rPr>
        <w:t xml:space="preserve"> </w:t>
      </w:r>
      <w:r w:rsidRPr="00641BA8">
        <w:rPr>
          <w:spacing w:val="-1"/>
          <w:szCs w:val="22"/>
        </w:rPr>
        <w:t>interest.”</w:t>
      </w:r>
      <w:r>
        <w:rPr>
          <w:rStyle w:val="FootnoteReference"/>
          <w:spacing w:val="-1"/>
          <w:sz w:val="22"/>
          <w:szCs w:val="22"/>
        </w:rPr>
        <w:footnoteReference w:id="26"/>
      </w:r>
      <w:r w:rsidRPr="00641BA8">
        <w:rPr>
          <w:spacing w:val="-1"/>
          <w:szCs w:val="22"/>
        </w:rPr>
        <w:t xml:space="preserve">  We</w:t>
      </w:r>
      <w:r w:rsidRPr="00641BA8">
        <w:rPr>
          <w:szCs w:val="22"/>
        </w:rPr>
        <w:t xml:space="preserve"> conclude that there is good cause to grant the </w:t>
      </w:r>
      <w:r>
        <w:rPr>
          <w:szCs w:val="22"/>
        </w:rPr>
        <w:t xml:space="preserve">San Francisco </w:t>
      </w:r>
      <w:r w:rsidRPr="00641BA8">
        <w:rPr>
          <w:szCs w:val="22"/>
        </w:rPr>
        <w:t>waiver request for the WEA end-to-end test.</w:t>
      </w:r>
    </w:p>
    <w:p w:rsidR="00511454" w:rsidP="00511454" w14:paraId="2206F2E2" w14:textId="77ECDEB1">
      <w:pPr>
        <w:pStyle w:val="ParaNum"/>
      </w:pPr>
      <w:r>
        <w:t>In light of San Francisco’s assessment regarding the potential for a 6.7 magnitude or higher earthquake</w:t>
      </w:r>
      <w:r w:rsidR="00DA17C0">
        <w:t xml:space="preserve"> to occur at any time</w:t>
      </w:r>
      <w:r>
        <w:t xml:space="preserve">, and </w:t>
      </w:r>
      <w:r w:rsidR="002951E2">
        <w:t>the</w:t>
      </w:r>
      <w:r>
        <w:t xml:space="preserve"> opportunity to promote earthquake safety and preparedness in connection with the anniversary of the 1989 Loma </w:t>
      </w:r>
      <w:r>
        <w:t>Prieta</w:t>
      </w:r>
      <w:r>
        <w:t xml:space="preserve"> earthquake</w:t>
      </w:r>
      <w:r w:rsidR="007E02D4">
        <w:t xml:space="preserve"> and the annual statewide </w:t>
      </w:r>
      <w:r w:rsidR="007E02D4">
        <w:t>ShakeOut</w:t>
      </w:r>
      <w:r w:rsidR="007E02D4">
        <w:t xml:space="preserve"> exercise</w:t>
      </w:r>
      <w:r>
        <w:t>, we find good cause to permit San Francisco to test the feasibility of using WEA to warn the public of such destructive events</w:t>
      </w:r>
      <w:r w:rsidR="00DC1F3C">
        <w:t>.</w:t>
      </w:r>
      <w:r>
        <w:rPr>
          <w:rStyle w:val="FootnoteReference"/>
        </w:rPr>
        <w:footnoteReference w:id="27"/>
      </w:r>
      <w:r w:rsidR="00DC1F3C">
        <w:t xml:space="preserve">  </w:t>
      </w:r>
      <w:r w:rsidR="00B02812">
        <w:t>As San Francisco describes, effective alert and warning can serve as a critical tool for emergency managers to empower the public to make informed decisions and act to save lives and reduce property loss when faced with a natural disaster.</w:t>
      </w:r>
      <w:r>
        <w:rPr>
          <w:rStyle w:val="FootnoteReference"/>
        </w:rPr>
        <w:footnoteReference w:id="28"/>
      </w:r>
      <w:r w:rsidR="00B02812">
        <w:t xml:space="preserve">  </w:t>
      </w:r>
      <w:r w:rsidRPr="00E645A1" w:rsidR="00CD6F10">
        <w:t xml:space="preserve">Accordingly, rather than wait until </w:t>
      </w:r>
      <w:r w:rsidR="00CD6F10">
        <w:t>IPAWS is ready to support State/Local Tests</w:t>
      </w:r>
      <w:r w:rsidRPr="00E645A1" w:rsidR="00CD6F10">
        <w:t xml:space="preserve">, we believe the proposed test would provide alert initiators and emergency managers information of immediate value, and so conclude that it is in the public interest to grant a limited waiver of the Commission’s WEA rules to allow </w:t>
      </w:r>
      <w:r w:rsidR="00CD6F10">
        <w:t>San Francisco</w:t>
      </w:r>
      <w:r w:rsidRPr="00E645A1" w:rsidR="00CD6F10">
        <w:t xml:space="preserve"> to conduct </w:t>
      </w:r>
      <w:r w:rsidR="00CD6F10">
        <w:t>a</w:t>
      </w:r>
      <w:r w:rsidRPr="00E645A1" w:rsidR="00CD6F10">
        <w:t xml:space="preserve"> WEA end-to-end test</w:t>
      </w:r>
      <w:r w:rsidR="00CD6F10">
        <w:t xml:space="preserve"> as described in the San Francisco Amended Letter</w:t>
      </w:r>
      <w:r w:rsidRPr="00E645A1" w:rsidR="00CD6F10">
        <w:t>.</w:t>
      </w:r>
      <w:r>
        <w:rPr>
          <w:rStyle w:val="FootnoteReference"/>
        </w:rPr>
        <w:footnoteReference w:id="29"/>
      </w:r>
    </w:p>
    <w:p w:rsidR="00B53B3F" w:rsidRPr="00144EE0" w:rsidP="00511454" w14:paraId="7FA08BE8" w14:textId="77777777">
      <w:pPr>
        <w:pStyle w:val="ParaNum"/>
      </w:pPr>
      <w:r w:rsidRPr="00641BA8">
        <w:rPr>
          <w:szCs w:val="22"/>
        </w:rPr>
        <w:t xml:space="preserve">We observe, however, that the proposed </w:t>
      </w:r>
      <w:r>
        <w:rPr>
          <w:szCs w:val="22"/>
        </w:rPr>
        <w:t xml:space="preserve">San Francisco </w:t>
      </w:r>
      <w:r w:rsidRPr="00641BA8">
        <w:rPr>
          <w:szCs w:val="22"/>
        </w:rPr>
        <w:t>WEA test would not be in the public interest if it were presented in a manner that could lead the public to conclude that an actual alert is being transmitted, or would otherwise confuse the public.</w:t>
      </w:r>
      <w:r>
        <w:rPr>
          <w:rStyle w:val="FootnoteReference"/>
          <w:sz w:val="22"/>
          <w:szCs w:val="22"/>
        </w:rPr>
        <w:footnoteReference w:id="30"/>
      </w:r>
      <w:r w:rsidRPr="00641BA8">
        <w:rPr>
          <w:szCs w:val="22"/>
        </w:rPr>
        <w:t xml:space="preserve">  Therefore, we condition this waiver upon the full implementation of the multimedia campaign and outreach plan described in the </w:t>
      </w:r>
      <w:r>
        <w:rPr>
          <w:szCs w:val="22"/>
        </w:rPr>
        <w:t xml:space="preserve">San Francisco </w:t>
      </w:r>
      <w:r w:rsidRPr="00641BA8">
        <w:rPr>
          <w:szCs w:val="22"/>
        </w:rPr>
        <w:t>Amended Letter, including outreach to the public, press, and relevant government agencies, and making clear that members of the public may receive multiple test messages.</w:t>
      </w:r>
    </w:p>
    <w:p w:rsidR="00144EE0" w:rsidRPr="00641BA8" w:rsidP="00144EE0" w14:paraId="4D24523E" w14:textId="77777777">
      <w:pPr>
        <w:pStyle w:val="ParaNum"/>
        <w:rPr>
          <w:szCs w:val="22"/>
        </w:rPr>
      </w:pPr>
      <w:r w:rsidRPr="00641BA8">
        <w:rPr>
          <w:szCs w:val="22"/>
        </w:rPr>
        <w:t xml:space="preserve">We further condition this waiver to require that the test may only be conducted on </w:t>
      </w:r>
      <w:r w:rsidR="00690CEE">
        <w:rPr>
          <w:szCs w:val="22"/>
        </w:rPr>
        <w:t>October 17</w:t>
      </w:r>
      <w:r>
        <w:rPr>
          <w:szCs w:val="22"/>
        </w:rPr>
        <w:t xml:space="preserve">, 2019, </w:t>
      </w:r>
      <w:r w:rsidR="00690CEE">
        <w:rPr>
          <w:szCs w:val="22"/>
        </w:rPr>
        <w:t>between 5:</w:t>
      </w:r>
      <w:r w:rsidR="007E02D4">
        <w:rPr>
          <w:szCs w:val="22"/>
        </w:rPr>
        <w:t>15</w:t>
      </w:r>
      <w:r w:rsidR="00690CEE">
        <w:rPr>
          <w:szCs w:val="22"/>
        </w:rPr>
        <w:t xml:space="preserve"> and 5:</w:t>
      </w:r>
      <w:r w:rsidR="007E02D4">
        <w:rPr>
          <w:szCs w:val="22"/>
        </w:rPr>
        <w:t>45</w:t>
      </w:r>
      <w:r w:rsidR="00690CEE">
        <w:rPr>
          <w:szCs w:val="22"/>
        </w:rPr>
        <w:t xml:space="preserve"> p.m. PDT</w:t>
      </w:r>
      <w:r w:rsidRPr="00641BA8">
        <w:rPr>
          <w:szCs w:val="22"/>
        </w:rPr>
        <w:t xml:space="preserve">, </w:t>
      </w:r>
      <w:r w:rsidR="00436426">
        <w:rPr>
          <w:szCs w:val="22"/>
        </w:rPr>
        <w:t xml:space="preserve">or on the backup date of October 24, 2019, between 3:00 and 3:30 p.m. PDT, </w:t>
      </w:r>
      <w:r w:rsidRPr="00641BA8">
        <w:rPr>
          <w:szCs w:val="22"/>
        </w:rPr>
        <w:t xml:space="preserve">as referenced in the </w:t>
      </w:r>
      <w:r w:rsidR="00690CEE">
        <w:rPr>
          <w:szCs w:val="22"/>
        </w:rPr>
        <w:t xml:space="preserve">San Francisco </w:t>
      </w:r>
      <w:r w:rsidRPr="00641BA8">
        <w:rPr>
          <w:szCs w:val="22"/>
        </w:rPr>
        <w:t>Amended Letter, and may only be conducted for the purposes described therein.  Specifically, the waiver is based upon representations that</w:t>
      </w:r>
      <w:r>
        <w:rPr>
          <w:szCs w:val="22"/>
        </w:rPr>
        <w:t>:</w:t>
      </w:r>
    </w:p>
    <w:p w:rsidR="00144EE0" w:rsidRPr="00641BA8" w:rsidP="00144EE0" w14:paraId="0574043F" w14:textId="77777777">
      <w:pPr>
        <w:pStyle w:val="BodyText"/>
        <w:keepNext/>
        <w:widowControl/>
        <w:numPr>
          <w:ilvl w:val="1"/>
          <w:numId w:val="7"/>
        </w:numPr>
        <w:tabs>
          <w:tab w:val="left" w:pos="1800"/>
        </w:tabs>
        <w:ind w:left="1195" w:right="619" w:firstLine="0"/>
      </w:pPr>
      <w:r w:rsidRPr="00641BA8">
        <w:t>this</w:t>
      </w:r>
      <w:r w:rsidRPr="00641BA8">
        <w:rPr>
          <w:spacing w:val="-6"/>
        </w:rPr>
        <w:t xml:space="preserve"> </w:t>
      </w:r>
      <w:r w:rsidRPr="00641BA8">
        <w:rPr>
          <w:spacing w:val="-1"/>
        </w:rPr>
        <w:t>test</w:t>
      </w:r>
      <w:r w:rsidRPr="00641BA8">
        <w:rPr>
          <w:spacing w:val="-5"/>
        </w:rPr>
        <w:t xml:space="preserve"> </w:t>
      </w:r>
      <w:r w:rsidRPr="00641BA8">
        <w:t>is</w:t>
      </w:r>
      <w:r w:rsidRPr="00641BA8">
        <w:rPr>
          <w:spacing w:val="-6"/>
        </w:rPr>
        <w:t xml:space="preserve"> </w:t>
      </w:r>
      <w:r w:rsidRPr="00641BA8">
        <w:t>necessary</w:t>
      </w:r>
      <w:r w:rsidRPr="00641BA8">
        <w:rPr>
          <w:spacing w:val="-4"/>
        </w:rPr>
        <w:t xml:space="preserve"> </w:t>
      </w:r>
      <w:r w:rsidRPr="00641BA8">
        <w:t>to</w:t>
      </w:r>
      <w:r w:rsidRPr="00641BA8">
        <w:rPr>
          <w:spacing w:val="-5"/>
        </w:rPr>
        <w:t xml:space="preserve"> e</w:t>
      </w:r>
      <w:r w:rsidRPr="00641BA8">
        <w:rPr>
          <w:color w:val="000000"/>
        </w:rPr>
        <w:t xml:space="preserve">nsure that emergency management officials in </w:t>
      </w:r>
      <w:r w:rsidR="00690CEE">
        <w:rPr>
          <w:color w:val="000000"/>
        </w:rPr>
        <w:t xml:space="preserve">the San Francisco </w:t>
      </w:r>
      <w:r w:rsidR="00B46BEF">
        <w:rPr>
          <w:color w:val="000000"/>
        </w:rPr>
        <w:t>h</w:t>
      </w:r>
      <w:r w:rsidRPr="00641BA8">
        <w:rPr>
          <w:color w:val="000000"/>
        </w:rPr>
        <w:t xml:space="preserve">ave a clear understanding of how alerts would perform in their </w:t>
      </w:r>
      <w:r w:rsidR="00690CEE">
        <w:rPr>
          <w:color w:val="000000"/>
        </w:rPr>
        <w:t>city and county</w:t>
      </w:r>
      <w:r w:rsidRPr="00641BA8">
        <w:rPr>
          <w:color w:val="000000"/>
        </w:rPr>
        <w:t>, and the public becomes familiar with the format of WEA messaging</w:t>
      </w:r>
      <w:r w:rsidRPr="00641BA8">
        <w:rPr>
          <w:spacing w:val="-1"/>
        </w:rPr>
        <w:t>;</w:t>
      </w:r>
    </w:p>
    <w:p w:rsidR="00144EE0" w:rsidRPr="00641BA8" w:rsidP="00144EE0" w14:paraId="4ED391B1" w14:textId="77777777">
      <w:pPr>
        <w:spacing w:before="2"/>
        <w:rPr>
          <w:szCs w:val="22"/>
        </w:rPr>
      </w:pPr>
    </w:p>
    <w:p w:rsidR="00144EE0" w:rsidRPr="00641BA8" w:rsidP="00144EE0" w14:paraId="258924F8" w14:textId="77777777">
      <w:pPr>
        <w:pStyle w:val="BodyText"/>
        <w:widowControl/>
        <w:numPr>
          <w:ilvl w:val="1"/>
          <w:numId w:val="7"/>
        </w:numPr>
        <w:tabs>
          <w:tab w:val="left" w:pos="1800"/>
        </w:tabs>
        <w:ind w:left="1195" w:right="619" w:firstLine="0"/>
      </w:pPr>
      <w:r>
        <w:t xml:space="preserve">San Francisco </w:t>
      </w:r>
      <w:r w:rsidRPr="00641BA8">
        <w:t>will coordinate with the relevant Participating CMS Providers and</w:t>
      </w:r>
      <w:r w:rsidRPr="00641BA8">
        <w:rPr>
          <w:spacing w:val="-7"/>
        </w:rPr>
        <w:t xml:space="preserve"> </w:t>
      </w:r>
      <w:r w:rsidRPr="00641BA8">
        <w:t>first</w:t>
      </w:r>
      <w:r w:rsidRPr="00641BA8">
        <w:rPr>
          <w:spacing w:val="-5"/>
        </w:rPr>
        <w:t xml:space="preserve"> </w:t>
      </w:r>
      <w:r w:rsidRPr="00641BA8">
        <w:rPr>
          <w:spacing w:val="-1"/>
        </w:rPr>
        <w:t>responder</w:t>
      </w:r>
      <w:r w:rsidRPr="00641BA8">
        <w:rPr>
          <w:spacing w:val="-6"/>
        </w:rPr>
        <w:t xml:space="preserve"> </w:t>
      </w:r>
      <w:r w:rsidRPr="00641BA8">
        <w:t>organizations</w:t>
      </w:r>
      <w:r w:rsidRPr="00641BA8">
        <w:rPr>
          <w:spacing w:val="-5"/>
        </w:rPr>
        <w:t xml:space="preserve"> </w:t>
      </w:r>
      <w:r w:rsidRPr="00641BA8">
        <w:rPr>
          <w:spacing w:val="-1"/>
        </w:rPr>
        <w:t>such</w:t>
      </w:r>
      <w:r w:rsidRPr="00641BA8">
        <w:rPr>
          <w:spacing w:val="-6"/>
        </w:rPr>
        <w:t xml:space="preserve"> </w:t>
      </w:r>
      <w:r w:rsidRPr="00641BA8">
        <w:rPr>
          <w:spacing w:val="-1"/>
        </w:rPr>
        <w:t>as police</w:t>
      </w:r>
      <w:r w:rsidRPr="00641BA8">
        <w:rPr>
          <w:spacing w:val="-6"/>
        </w:rPr>
        <w:t xml:space="preserve"> </w:t>
      </w:r>
      <w:r w:rsidRPr="00641BA8">
        <w:t>and</w:t>
      </w:r>
      <w:r w:rsidRPr="00641BA8">
        <w:rPr>
          <w:spacing w:val="-5"/>
        </w:rPr>
        <w:t xml:space="preserve"> </w:t>
      </w:r>
      <w:r w:rsidRPr="00641BA8">
        <w:t>fire</w:t>
      </w:r>
      <w:r w:rsidRPr="00641BA8">
        <w:rPr>
          <w:spacing w:val="-4"/>
        </w:rPr>
        <w:t xml:space="preserve"> </w:t>
      </w:r>
      <w:r w:rsidRPr="00641BA8">
        <w:rPr>
          <w:spacing w:val="-1"/>
        </w:rPr>
        <w:t>agencies</w:t>
      </w:r>
      <w:r w:rsidRPr="00641BA8">
        <w:rPr>
          <w:spacing w:val="-6"/>
        </w:rPr>
        <w:t xml:space="preserve"> </w:t>
      </w:r>
      <w:r w:rsidRPr="00641BA8">
        <w:t xml:space="preserve">and 911 </w:t>
      </w:r>
      <w:r>
        <w:t>P</w:t>
      </w:r>
      <w:r w:rsidR="007F1147">
        <w:t xml:space="preserve">ublic </w:t>
      </w:r>
      <w:r>
        <w:t>S</w:t>
      </w:r>
      <w:r w:rsidR="007F1147">
        <w:t xml:space="preserve">afety </w:t>
      </w:r>
      <w:r>
        <w:t>A</w:t>
      </w:r>
      <w:r w:rsidR="007F1147">
        <w:t xml:space="preserve">nswering </w:t>
      </w:r>
      <w:r>
        <w:t>P</w:t>
      </w:r>
      <w:r w:rsidR="007F1147">
        <w:t>oint</w:t>
      </w:r>
      <w:r>
        <w:t xml:space="preserve">s </w:t>
      </w:r>
      <w:r w:rsidRPr="00641BA8">
        <w:rPr>
          <w:spacing w:val="-5"/>
        </w:rPr>
        <w:t xml:space="preserve">within </w:t>
      </w:r>
      <w:r>
        <w:rPr>
          <w:spacing w:val="-5"/>
        </w:rPr>
        <w:t>the City and County of San Francisco</w:t>
      </w:r>
      <w:r>
        <w:rPr>
          <w:spacing w:val="-5"/>
        </w:rPr>
        <w:t xml:space="preserve"> </w:t>
      </w:r>
      <w:r w:rsidRPr="00641BA8">
        <w:rPr>
          <w:spacing w:val="-5"/>
        </w:rPr>
        <w:t xml:space="preserve">and surrounding </w:t>
      </w:r>
      <w:r>
        <w:rPr>
          <w:spacing w:val="-5"/>
        </w:rPr>
        <w:t>jurisdictions</w:t>
      </w:r>
      <w:r w:rsidRPr="00641BA8">
        <w:rPr>
          <w:spacing w:val="-5"/>
        </w:rPr>
        <w:t xml:space="preserve"> </w:t>
      </w:r>
      <w:r w:rsidRPr="00641BA8">
        <w:t>to</w:t>
      </w:r>
      <w:r w:rsidRPr="00641BA8">
        <w:rPr>
          <w:spacing w:val="-5"/>
        </w:rPr>
        <w:t xml:space="preserve"> </w:t>
      </w:r>
      <w:r w:rsidRPr="00641BA8">
        <w:t>ensure</w:t>
      </w:r>
      <w:r w:rsidRPr="00641BA8">
        <w:rPr>
          <w:spacing w:val="-5"/>
        </w:rPr>
        <w:t xml:space="preserve"> </w:t>
      </w:r>
      <w:r w:rsidRPr="00641BA8">
        <w:rPr>
          <w:spacing w:val="-1"/>
        </w:rPr>
        <w:t>that</w:t>
      </w:r>
      <w:r w:rsidRPr="00641BA8">
        <w:rPr>
          <w:spacing w:val="-4"/>
        </w:rPr>
        <w:t xml:space="preserve"> </w:t>
      </w:r>
      <w:r w:rsidRPr="00641BA8">
        <w:t>they</w:t>
      </w:r>
      <w:r w:rsidRPr="00641BA8">
        <w:rPr>
          <w:spacing w:val="-6"/>
        </w:rPr>
        <w:t xml:space="preserve"> </w:t>
      </w:r>
      <w:r w:rsidRPr="00641BA8">
        <w:t>are</w:t>
      </w:r>
      <w:r w:rsidRPr="00641BA8">
        <w:rPr>
          <w:spacing w:val="-5"/>
        </w:rPr>
        <w:t xml:space="preserve"> </w:t>
      </w:r>
      <w:r w:rsidRPr="00641BA8">
        <w:rPr>
          <w:spacing w:val="-1"/>
        </w:rPr>
        <w:t>aware of th</w:t>
      </w:r>
      <w:r w:rsidRPr="00641BA8">
        <w:t>e</w:t>
      </w:r>
      <w:r w:rsidRPr="00641BA8">
        <w:rPr>
          <w:spacing w:val="-4"/>
        </w:rPr>
        <w:t xml:space="preserve"> </w:t>
      </w:r>
      <w:r w:rsidRPr="00641BA8">
        <w:rPr>
          <w:spacing w:val="-1"/>
        </w:rPr>
        <w:t>test</w:t>
      </w:r>
      <w:r w:rsidRPr="00641BA8">
        <w:rPr>
          <w:spacing w:val="-4"/>
        </w:rPr>
        <w:t xml:space="preserve"> </w:t>
      </w:r>
      <w:r w:rsidRPr="00641BA8">
        <w:t>and</w:t>
      </w:r>
      <w:r w:rsidRPr="00641BA8">
        <w:rPr>
          <w:spacing w:val="-4"/>
        </w:rPr>
        <w:t xml:space="preserve"> </w:t>
      </w:r>
      <w:r w:rsidRPr="00641BA8">
        <w:t>can</w:t>
      </w:r>
      <w:r w:rsidRPr="00641BA8">
        <w:rPr>
          <w:spacing w:val="-4"/>
        </w:rPr>
        <w:t xml:space="preserve"> </w:t>
      </w:r>
      <w:r w:rsidRPr="00641BA8">
        <w:t>confirm</w:t>
      </w:r>
      <w:r w:rsidRPr="00641BA8">
        <w:rPr>
          <w:spacing w:val="-4"/>
        </w:rPr>
        <w:t xml:space="preserve"> </w:t>
      </w:r>
      <w:r w:rsidRPr="00641BA8">
        <w:t>to</w:t>
      </w:r>
      <w:r w:rsidRPr="00641BA8">
        <w:rPr>
          <w:spacing w:val="-4"/>
        </w:rPr>
        <w:t xml:space="preserve"> </w:t>
      </w:r>
      <w:r w:rsidRPr="00641BA8">
        <w:t>the</w:t>
      </w:r>
      <w:r w:rsidRPr="00641BA8">
        <w:rPr>
          <w:spacing w:val="-4"/>
        </w:rPr>
        <w:t xml:space="preserve"> </w:t>
      </w:r>
      <w:r w:rsidRPr="00641BA8">
        <w:rPr>
          <w:spacing w:val="-1"/>
        </w:rPr>
        <w:t>public</w:t>
      </w:r>
      <w:r w:rsidRPr="00641BA8">
        <w:rPr>
          <w:spacing w:val="-3"/>
        </w:rPr>
        <w:t xml:space="preserve"> </w:t>
      </w:r>
      <w:r w:rsidRPr="00641BA8">
        <w:t>that</w:t>
      </w:r>
      <w:r w:rsidRPr="00641BA8">
        <w:rPr>
          <w:spacing w:val="-4"/>
        </w:rPr>
        <w:t xml:space="preserve"> </w:t>
      </w:r>
      <w:r w:rsidRPr="00641BA8">
        <w:t>the</w:t>
      </w:r>
      <w:r w:rsidRPr="00641BA8">
        <w:rPr>
          <w:spacing w:val="-4"/>
        </w:rPr>
        <w:t xml:space="preserve"> </w:t>
      </w:r>
      <w:r w:rsidRPr="00641BA8">
        <w:rPr>
          <w:spacing w:val="-1"/>
        </w:rPr>
        <w:t>WEA</w:t>
      </w:r>
      <w:r w:rsidRPr="00641BA8">
        <w:rPr>
          <w:spacing w:val="-4"/>
        </w:rPr>
        <w:t xml:space="preserve"> </w:t>
      </w:r>
      <w:r w:rsidRPr="00641BA8">
        <w:t>message is</w:t>
      </w:r>
      <w:r w:rsidRPr="00641BA8">
        <w:rPr>
          <w:spacing w:val="-4"/>
        </w:rPr>
        <w:t xml:space="preserve"> </w:t>
      </w:r>
      <w:r w:rsidRPr="00641BA8">
        <w:t>a</w:t>
      </w:r>
      <w:r w:rsidRPr="00641BA8">
        <w:rPr>
          <w:spacing w:val="-3"/>
        </w:rPr>
        <w:t xml:space="preserve"> </w:t>
      </w:r>
      <w:r w:rsidRPr="00641BA8">
        <w:rPr>
          <w:spacing w:val="-1"/>
        </w:rPr>
        <w:t>test;</w:t>
      </w:r>
    </w:p>
    <w:p w:rsidR="00144EE0" w:rsidRPr="00641BA8" w:rsidP="00144EE0" w14:paraId="195C06A1" w14:textId="77777777">
      <w:pPr>
        <w:spacing w:before="2"/>
        <w:rPr>
          <w:szCs w:val="22"/>
        </w:rPr>
      </w:pPr>
    </w:p>
    <w:p w:rsidR="00144EE0" w:rsidRPr="00641BA8" w:rsidP="00144EE0" w14:paraId="7A76FB5E" w14:textId="77777777">
      <w:pPr>
        <w:pStyle w:val="BodyText"/>
        <w:numPr>
          <w:ilvl w:val="1"/>
          <w:numId w:val="7"/>
        </w:numPr>
        <w:tabs>
          <w:tab w:val="left" w:pos="1800"/>
        </w:tabs>
        <w:ind w:left="1170" w:right="693" w:firstLine="30"/>
      </w:pPr>
      <w:r w:rsidRPr="00641BA8">
        <w:rPr>
          <w:spacing w:val="-1"/>
        </w:rPr>
        <w:t>pre-test</w:t>
      </w:r>
      <w:r w:rsidRPr="00641BA8">
        <w:rPr>
          <w:spacing w:val="-9"/>
        </w:rPr>
        <w:t xml:space="preserve"> </w:t>
      </w:r>
      <w:r w:rsidRPr="00641BA8">
        <w:rPr>
          <w:spacing w:val="-1"/>
        </w:rPr>
        <w:t>publicity</w:t>
      </w:r>
      <w:r w:rsidRPr="00641BA8">
        <w:rPr>
          <w:spacing w:val="-9"/>
        </w:rPr>
        <w:t xml:space="preserve"> </w:t>
      </w:r>
      <w:r w:rsidRPr="00641BA8">
        <w:t>efforts will include a comprehensive multimedia campaign to ensure public understanding of the function and utility of WEA, the date and time of the test, and clear notification that the WEA alert will be just a test;</w:t>
      </w:r>
    </w:p>
    <w:p w:rsidR="00144EE0" w:rsidRPr="00641BA8" w:rsidP="00144EE0" w14:paraId="41963DC9" w14:textId="77777777">
      <w:pPr>
        <w:pStyle w:val="ListParagraph"/>
        <w:rPr>
          <w:szCs w:val="22"/>
        </w:rPr>
      </w:pPr>
    </w:p>
    <w:p w:rsidR="00144EE0" w:rsidRPr="00641BA8" w:rsidP="00144EE0" w14:paraId="3BCD0C94" w14:textId="77777777">
      <w:pPr>
        <w:pStyle w:val="BodyText"/>
        <w:keepNext/>
        <w:widowControl/>
        <w:numPr>
          <w:ilvl w:val="1"/>
          <w:numId w:val="7"/>
        </w:numPr>
        <w:tabs>
          <w:tab w:val="left" w:pos="1800"/>
        </w:tabs>
        <w:ind w:left="1170" w:right="693" w:firstLine="30"/>
      </w:pPr>
      <w:r w:rsidRPr="00641BA8">
        <w:t xml:space="preserve">use of “test” wording as described by the </w:t>
      </w:r>
      <w:r w:rsidR="00690CEE">
        <w:t xml:space="preserve">San Francisco </w:t>
      </w:r>
      <w:r w:rsidRPr="00641BA8">
        <w:t>Amended Letter will be used in the test message; and</w:t>
      </w:r>
    </w:p>
    <w:p w:rsidR="00144EE0" w:rsidRPr="00641BA8" w:rsidP="00144EE0" w14:paraId="44686B53" w14:textId="77777777">
      <w:pPr>
        <w:pStyle w:val="ListParagraph"/>
        <w:keepNext/>
        <w:widowControl/>
        <w:rPr>
          <w:szCs w:val="22"/>
        </w:rPr>
      </w:pPr>
    </w:p>
    <w:p w:rsidR="00144EE0" w:rsidP="00690CEE" w14:paraId="74EA15A8" w14:textId="77777777">
      <w:pPr>
        <w:pStyle w:val="BodyText"/>
        <w:keepNext/>
        <w:widowControl/>
        <w:numPr>
          <w:ilvl w:val="1"/>
          <w:numId w:val="7"/>
        </w:numPr>
        <w:tabs>
          <w:tab w:val="left" w:pos="1800"/>
        </w:tabs>
        <w:ind w:left="1170" w:right="693" w:firstLine="30"/>
      </w:pPr>
      <w:r w:rsidRPr="00641BA8">
        <w:t>the WEA test is not intended as a substitute for other scheduled WEA tests.</w:t>
      </w:r>
    </w:p>
    <w:p w:rsidR="00690CEE" w:rsidP="00690CEE" w14:paraId="534DCB4F" w14:textId="77777777">
      <w:pPr>
        <w:pStyle w:val="ListParagraph"/>
      </w:pPr>
    </w:p>
    <w:p w:rsidR="00690CEE" w:rsidRPr="00641BA8" w:rsidP="00690CEE" w14:paraId="6A7D8A83" w14:textId="77777777">
      <w:pPr>
        <w:pStyle w:val="ParaNum"/>
        <w:rPr>
          <w:szCs w:val="22"/>
        </w:rPr>
      </w:pPr>
      <w:r w:rsidRPr="00641BA8">
        <w:rPr>
          <w:szCs w:val="22"/>
        </w:rPr>
        <w:t xml:space="preserve">We also require that </w:t>
      </w:r>
      <w:bookmarkStart w:id="1" w:name="_Hlk523327683"/>
      <w:r w:rsidRPr="00641BA8">
        <w:rPr>
          <w:szCs w:val="22"/>
        </w:rPr>
        <w:t xml:space="preserve">the test and any post-test analysis and reports </w:t>
      </w:r>
      <w:bookmarkEnd w:id="1"/>
      <w:r w:rsidRPr="00641BA8">
        <w:rPr>
          <w:szCs w:val="22"/>
        </w:rPr>
        <w:t xml:space="preserve">that </w:t>
      </w:r>
      <w:r>
        <w:rPr>
          <w:szCs w:val="22"/>
        </w:rPr>
        <w:t xml:space="preserve">San Francisco </w:t>
      </w:r>
      <w:r w:rsidRPr="00641BA8">
        <w:rPr>
          <w:szCs w:val="22"/>
        </w:rPr>
        <w:t xml:space="preserve">may conduct or cause to be produced are done in a manner consistent with customers’ expectations of </w:t>
      </w:r>
      <w:r w:rsidRPr="00641BA8">
        <w:rPr>
          <w:szCs w:val="22"/>
        </w:rPr>
        <w:t>privacy, confidentiality of Participating CMS Providers’ network information, and the overall security of the WEA systems and infrastructure.</w:t>
      </w:r>
      <w:r>
        <w:rPr>
          <w:rStyle w:val="FootnoteReference"/>
          <w:sz w:val="22"/>
          <w:szCs w:val="22"/>
        </w:rPr>
        <w:footnoteReference w:id="31"/>
      </w:r>
      <w:r w:rsidRPr="00641BA8">
        <w:rPr>
          <w:szCs w:val="22"/>
        </w:rPr>
        <w:t xml:space="preserve">  We encourage </w:t>
      </w:r>
      <w:r>
        <w:rPr>
          <w:szCs w:val="22"/>
        </w:rPr>
        <w:t xml:space="preserve">San Francisco </w:t>
      </w:r>
      <w:r w:rsidRPr="00641BA8">
        <w:rPr>
          <w:szCs w:val="22"/>
        </w:rPr>
        <w:t>to report its test results in electronic format to the Bureau.  Finally, we encourage members of the public who wish to share feedback on their experience with the test to do so by filing them with the FCC’s Public Safety Support Center a</w:t>
      </w:r>
      <w:r>
        <w:rPr>
          <w:szCs w:val="22"/>
        </w:rPr>
        <w:t>t</w:t>
      </w:r>
      <w:r>
        <w:t xml:space="preserve"> </w:t>
      </w:r>
      <w:hyperlink r:id="rId6" w:history="1">
        <w:r>
          <w:rPr>
            <w:rStyle w:val="Hyperlink"/>
          </w:rPr>
          <w:t>https://www.fcc.gov/general/public-safety-support-center</w:t>
        </w:r>
      </w:hyperlink>
      <w:r w:rsidRPr="00641BA8">
        <w:rPr>
          <w:szCs w:val="22"/>
        </w:rPr>
        <w:t>.</w:t>
      </w:r>
    </w:p>
    <w:p w:rsidR="00690CEE" w:rsidRPr="00641BA8" w:rsidP="00690CEE" w14:paraId="6D37A43F" w14:textId="77777777">
      <w:pPr>
        <w:pStyle w:val="Heading1"/>
        <w:rPr>
          <w:rFonts w:ascii="Times New Roman" w:hAnsi="Times New Roman"/>
          <w:szCs w:val="22"/>
        </w:rPr>
      </w:pPr>
      <w:r w:rsidRPr="00641BA8">
        <w:rPr>
          <w:rFonts w:ascii="Times New Roman" w:hAnsi="Times New Roman"/>
          <w:szCs w:val="22"/>
        </w:rPr>
        <w:t>ordering clause</w:t>
      </w:r>
    </w:p>
    <w:p w:rsidR="00690CEE" w:rsidRPr="00641BA8" w:rsidP="00690CEE" w14:paraId="0AA4EADE" w14:textId="77777777">
      <w:pPr>
        <w:pStyle w:val="ParaNum"/>
        <w:keepNext/>
        <w:widowControl/>
        <w:rPr>
          <w:szCs w:val="22"/>
        </w:rPr>
      </w:pPr>
      <w:r w:rsidRPr="00641BA8">
        <w:rPr>
          <w:szCs w:val="22"/>
        </w:rPr>
        <w:t>Accordingly, IT IS ORDERED that, pursuant to Section 4(</w:t>
      </w:r>
      <w:r w:rsidRPr="00641BA8">
        <w:rPr>
          <w:szCs w:val="22"/>
        </w:rPr>
        <w:t>i</w:t>
      </w:r>
      <w:r w:rsidRPr="00641BA8">
        <w:rPr>
          <w:szCs w:val="22"/>
        </w:rPr>
        <w:t>) of the Communications Act of 1934, as amended, 47 U.S.C. § 154(</w:t>
      </w:r>
      <w:r w:rsidRPr="00641BA8">
        <w:rPr>
          <w:szCs w:val="22"/>
        </w:rPr>
        <w:t>i</w:t>
      </w:r>
      <w:r w:rsidRPr="00641BA8">
        <w:rPr>
          <w:szCs w:val="22"/>
        </w:rPr>
        <w:t>), and Section 1.3 of the Commission’s rules, 47 CFR § 1.3, Sections 10.400, 10.520(d), 10.530(b), and 11.45 of the Commission’s rules, 47 CFR §§</w:t>
      </w:r>
      <w:r w:rsidR="00436426">
        <w:rPr>
          <w:szCs w:val="22"/>
        </w:rPr>
        <w:t xml:space="preserve"> </w:t>
      </w:r>
      <w:r w:rsidRPr="00641BA8">
        <w:rPr>
          <w:szCs w:val="22"/>
        </w:rPr>
        <w:t xml:space="preserve">10.400, 10.520(d), 10.530(b), and 11.45 of the Commission’s rules, ARE WAIVED, to allow a one-time test of the WEA </w:t>
      </w:r>
      <w:r>
        <w:rPr>
          <w:szCs w:val="22"/>
        </w:rPr>
        <w:t>within San Francisco County</w:t>
      </w:r>
      <w:r w:rsidRPr="00641BA8">
        <w:rPr>
          <w:szCs w:val="22"/>
        </w:rPr>
        <w:t>, C</w:t>
      </w:r>
      <w:r>
        <w:rPr>
          <w:szCs w:val="22"/>
        </w:rPr>
        <w:t>alifornia</w:t>
      </w:r>
      <w:r w:rsidRPr="00641BA8">
        <w:rPr>
          <w:szCs w:val="22"/>
        </w:rPr>
        <w:t xml:space="preserve">, on </w:t>
      </w:r>
      <w:r>
        <w:rPr>
          <w:szCs w:val="22"/>
        </w:rPr>
        <w:t>October 17, 2019, between 5:</w:t>
      </w:r>
      <w:r w:rsidR="001D5AE1">
        <w:rPr>
          <w:szCs w:val="22"/>
        </w:rPr>
        <w:t>15</w:t>
      </w:r>
      <w:r>
        <w:rPr>
          <w:szCs w:val="22"/>
        </w:rPr>
        <w:t xml:space="preserve"> and 5:</w:t>
      </w:r>
      <w:r w:rsidR="001D5AE1">
        <w:rPr>
          <w:szCs w:val="22"/>
        </w:rPr>
        <w:t>45</w:t>
      </w:r>
      <w:r>
        <w:rPr>
          <w:szCs w:val="22"/>
        </w:rPr>
        <w:t xml:space="preserve"> p.m. PDT, </w:t>
      </w:r>
      <w:r w:rsidR="00436426">
        <w:rPr>
          <w:szCs w:val="22"/>
        </w:rPr>
        <w:t xml:space="preserve">with a backup date of October 24, 2019, between 3:00 and 3:30 p.m. PDT, </w:t>
      </w:r>
      <w:r w:rsidRPr="00641BA8">
        <w:rPr>
          <w:szCs w:val="22"/>
        </w:rPr>
        <w:t>which test must be conducted subject to the conditions described herein.  This action is taken under delegated authority pursuant to Sections 0.191 and 0.392 of the Commission’s rules, 47 CFR §§ 0.191 and 0.392.</w:t>
      </w:r>
    </w:p>
    <w:p w:rsidR="00690CEE" w:rsidP="00690CEE" w14:paraId="73D3025D" w14:textId="77777777">
      <w:pPr>
        <w:pStyle w:val="ParaNum"/>
        <w:numPr>
          <w:ilvl w:val="0"/>
          <w:numId w:val="0"/>
        </w:numPr>
      </w:pPr>
    </w:p>
    <w:p w:rsidR="00690CEE" w:rsidRPr="00436ED9" w:rsidP="00690CEE" w14:paraId="010EA113"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690CEE" w:rsidRPr="00436ED9" w:rsidP="00690CEE" w14:paraId="29460FF9" w14:textId="77777777">
      <w:pPr>
        <w:keepNext/>
        <w:widowControl/>
        <w:rPr>
          <w:szCs w:val="22"/>
        </w:rPr>
      </w:pPr>
    </w:p>
    <w:p w:rsidR="00690CEE" w:rsidRPr="00436ED9" w:rsidP="00690CEE" w14:paraId="7FDF9487" w14:textId="77777777">
      <w:pPr>
        <w:keepNext/>
        <w:widowControl/>
        <w:rPr>
          <w:szCs w:val="22"/>
        </w:rPr>
      </w:pPr>
    </w:p>
    <w:p w:rsidR="00690CEE" w:rsidRPr="00436ED9" w:rsidP="00690CEE" w14:paraId="3F51F8EA" w14:textId="77777777">
      <w:pPr>
        <w:rPr>
          <w:szCs w:val="22"/>
        </w:rPr>
      </w:pPr>
    </w:p>
    <w:p w:rsidR="00690CEE" w:rsidRPr="00436ED9" w:rsidP="00690CEE" w14:paraId="46C70099" w14:textId="77777777">
      <w:pPr>
        <w:spacing w:before="2"/>
        <w:rPr>
          <w:szCs w:val="22"/>
        </w:rPr>
      </w:pPr>
    </w:p>
    <w:p w:rsidR="00690CEE" w:rsidRPr="00436ED9" w:rsidP="00690CEE" w14:paraId="5B6ED462" w14:textId="77777777">
      <w:pPr>
        <w:pStyle w:val="BodyText"/>
        <w:ind w:left="4297" w:right="3533"/>
        <w:jc w:val="center"/>
      </w:pPr>
      <w:bookmarkStart w:id="2" w:name="sp_999_4"/>
      <w:bookmarkStart w:id="3" w:name="SDU_4"/>
      <w:bookmarkStart w:id="4" w:name="_Hlk8895269"/>
      <w:bookmarkEnd w:id="2"/>
      <w:bookmarkEnd w:id="3"/>
      <w:r>
        <w:t>Nicole McGinnis</w:t>
      </w:r>
    </w:p>
    <w:p w:rsidR="00690CEE" w:rsidP="00690CEE" w14:paraId="45D69588" w14:textId="77777777">
      <w:pPr>
        <w:pStyle w:val="BodyText"/>
        <w:ind w:left="4680" w:right="271" w:hanging="360"/>
        <w:rPr>
          <w:spacing w:val="-7"/>
        </w:rPr>
      </w:pPr>
      <w:r>
        <w:t xml:space="preserve">Deputy </w:t>
      </w:r>
      <w:r w:rsidRPr="00436ED9">
        <w:t>Chief</w:t>
      </w:r>
      <w:r w:rsidRPr="00436ED9">
        <w:rPr>
          <w:spacing w:val="-7"/>
        </w:rPr>
        <w:t xml:space="preserve"> </w:t>
      </w:r>
    </w:p>
    <w:p w:rsidR="00690CEE" w:rsidRPr="00436ED9" w:rsidP="00690CEE" w14:paraId="54336BC1"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690CEE" w:rsidRPr="005A36E9" w:rsidP="00690CEE" w14:paraId="53B9B3CA" w14:textId="77777777">
      <w:pPr>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p>
    <w:bookmarkEnd w:id="4"/>
    <w:p w:rsidR="00690CEE" w:rsidRPr="00511454" w:rsidP="00690CEE" w14:paraId="16331CB5" w14:textId="77777777">
      <w:pPr>
        <w:pStyle w:val="ParaNum"/>
        <w:numPr>
          <w:ilvl w:val="0"/>
          <w:numId w:val="0"/>
        </w:numPr>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67BD0A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0180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930E8" w14:paraId="48543E2E" w14:textId="5D686D0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B38D1" w14:paraId="5AF784EF" w14:textId="5413A61D">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7C2D" w14:paraId="18E14AD6" w14:textId="77777777">
      <w:r>
        <w:separator/>
      </w:r>
    </w:p>
  </w:footnote>
  <w:footnote w:type="continuationSeparator" w:id="1">
    <w:p w:rsidR="00E77C2D" w:rsidP="00C721AC" w14:paraId="3488C515" w14:textId="77777777">
      <w:pPr>
        <w:spacing w:before="120"/>
        <w:rPr>
          <w:sz w:val="20"/>
        </w:rPr>
      </w:pPr>
      <w:r>
        <w:rPr>
          <w:sz w:val="20"/>
        </w:rPr>
        <w:t xml:space="preserve">(Continued from previous page)  </w:t>
      </w:r>
      <w:r>
        <w:rPr>
          <w:sz w:val="20"/>
        </w:rPr>
        <w:separator/>
      </w:r>
    </w:p>
  </w:footnote>
  <w:footnote w:type="continuationNotice" w:id="2">
    <w:p w:rsidR="00E77C2D" w:rsidP="00C721AC" w14:paraId="025FEB7F" w14:textId="77777777">
      <w:pPr>
        <w:jc w:val="right"/>
        <w:rPr>
          <w:sz w:val="20"/>
        </w:rPr>
      </w:pPr>
      <w:r>
        <w:rPr>
          <w:sz w:val="20"/>
        </w:rPr>
        <w:t>(continued….)</w:t>
      </w:r>
    </w:p>
  </w:footnote>
  <w:footnote w:id="3">
    <w:p w:rsidR="0097691D" w:rsidP="0097691D" w14:paraId="73CE1C83"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97691D" w:rsidRPr="0097691D" w14:paraId="4528B8F6" w14:textId="77777777">
      <w:pPr>
        <w:pStyle w:val="FootnoteText"/>
      </w:pPr>
      <w:r>
        <w:rPr>
          <w:rStyle w:val="FootnoteReference"/>
        </w:rPr>
        <w:footnoteRef/>
      </w:r>
      <w:r>
        <w:t xml:space="preserve"> </w:t>
      </w:r>
      <w:r>
        <w:rPr>
          <w:i/>
        </w:rPr>
        <w:t xml:space="preserve">See </w:t>
      </w:r>
      <w:r>
        <w:t xml:space="preserve">Letter from Mary Ellen Carroll, Executive Director, San Francisco Department of Emergency Management, to Michael J. Wilhelm, Chief, Policy and Licensing Division, Public Safety and Homeland Security Bureau, Federal Communications Commission (filed Aug. 26, 2019) (on file in PS Docket No. 15-91), </w:t>
      </w:r>
      <w:r>
        <w:rPr>
          <w:i/>
        </w:rPr>
        <w:t>as amended by</w:t>
      </w:r>
      <w:r>
        <w:t xml:space="preserve"> Letter from Mary Ellen Carroll, Executive Director, San Francisco Department of Emergency Management, to Michael J. Wilhelm, Chief, Policy and Licensing Division, Public Safety and Homeland Security Bureau, Federal Communications Commission (filed Sept. </w:t>
      </w:r>
      <w:r w:rsidR="0011249D">
        <w:t>19</w:t>
      </w:r>
      <w:r>
        <w:t xml:space="preserve">, 2019) (on file in PS Docket No. 15-91) </w:t>
      </w:r>
      <w:r w:rsidR="005B38D1">
        <w:t xml:space="preserve">(San Francisco Amended Letter).  </w:t>
      </w:r>
    </w:p>
  </w:footnote>
  <w:footnote w:id="5">
    <w:p w:rsidR="005B38D1" w:rsidRPr="00B0643B" w:rsidP="005B38D1" w14:paraId="464C9A72" w14:textId="77777777">
      <w:pPr>
        <w:pStyle w:val="FootnoteText"/>
      </w:pPr>
      <w:r w:rsidRPr="00B90802">
        <w:rPr>
          <w:rStyle w:val="FootnoteReference"/>
        </w:rPr>
        <w:footnoteRef/>
      </w:r>
      <w:r w:rsidRPr="00B0643B">
        <w:t xml:space="preserve"> </w:t>
      </w:r>
      <w:r w:rsidRPr="00681200">
        <w:rPr>
          <w:i/>
        </w:rPr>
        <w:t>Commercial Mobile Alert System</w:t>
      </w:r>
      <w:r w:rsidRPr="00B0643B">
        <w:t xml:space="preserve">, PS Docket No. 07-287, Third Report and Order, 23 FCC </w:t>
      </w:r>
      <w:r w:rsidRPr="00B0643B">
        <w:t>Rcd</w:t>
      </w:r>
      <w:r w:rsidRPr="00B0643B">
        <w:t xml:space="preserve"> 12561, 12575, para. 32 (2008) (stating the requirements for wireless providers volunteering to participate in WEA).</w:t>
      </w:r>
    </w:p>
  </w:footnote>
  <w:footnote w:id="6">
    <w:p w:rsidR="005B38D1" w:rsidRPr="00B0643B" w:rsidP="005B38D1" w14:paraId="03CDE288"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p>
  </w:footnote>
  <w:footnote w:id="7">
    <w:p w:rsidR="005B38D1" w:rsidRPr="00B0643B" w:rsidP="005B38D1" w14:paraId="0C782A17"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8">
    <w:p w:rsidR="005B38D1" w:rsidRPr="00B0643B" w:rsidP="005B38D1" w14:paraId="78F36E0C"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 xml:space="preserve">31 FCC </w:t>
      </w:r>
      <w:r w:rsidRPr="00B0643B">
        <w:rPr>
          <w:iCs/>
        </w:rPr>
        <w:t>Rcd</w:t>
      </w:r>
      <w:r w:rsidRPr="00B0643B">
        <w:rPr>
          <w:iCs/>
        </w:rPr>
        <w:t xml:space="preserve"> 11112</w:t>
      </w:r>
      <w:r w:rsidRPr="00B0643B">
        <w:t>, 11154-11157, paras. 65-68 (2016).</w:t>
      </w:r>
    </w:p>
  </w:footnote>
  <w:footnote w:id="9">
    <w:p w:rsidR="005B38D1" w:rsidRPr="002A285F" w:rsidP="005B38D1" w14:paraId="2DD1BD51"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5B38D1" w:rsidP="005B38D1" w14:paraId="6258A91C" w14:textId="77777777">
      <w:pPr>
        <w:pStyle w:val="FootnoteText"/>
      </w:pPr>
      <w:r>
        <w:rPr>
          <w:rStyle w:val="FootnoteReference"/>
        </w:rPr>
        <w:footnoteRef/>
      </w:r>
      <w:r>
        <w:t xml:space="preserve"> </w:t>
      </w:r>
      <w:r>
        <w:rPr>
          <w:i/>
        </w:rPr>
        <w:t xml:space="preserve">See </w:t>
      </w:r>
      <w:r w:rsidRPr="007740FF">
        <w:rPr>
          <w:i/>
        </w:rPr>
        <w:t>P</w:t>
      </w:r>
      <w:r>
        <w:rPr>
          <w:i/>
        </w:rPr>
        <w:t xml:space="preserve">ublic Safety &amp; Homeland Security Bureau Announces Delay in Availability of Certain Improvements to Wireless Emergency Alerts, </w:t>
      </w:r>
      <w:r>
        <w:t xml:space="preserve">Public </w:t>
      </w:r>
      <w:r w:rsidRPr="00760375">
        <w:t>Notice, DA 19-534 (PSHSB Jun</w:t>
      </w:r>
      <w:r>
        <w:t>e</w:t>
      </w:r>
      <w:r w:rsidRPr="00760375">
        <w:t xml:space="preserve"> 7, 2019);</w:t>
      </w:r>
      <w:r>
        <w:t xml:space="preserve"> </w:t>
      </w:r>
      <w:r>
        <w:rPr>
          <w:i/>
        </w:rPr>
        <w:t>Advisory Regarding May 1 Deadline for Improvements to Wireless Emergency Alerts and Guidance for State/Local Alert Originators</w:t>
      </w:r>
      <w:r>
        <w:t>,</w:t>
      </w:r>
      <w:r>
        <w:rPr>
          <w:i/>
        </w:rPr>
        <w:t xml:space="preserve"> </w:t>
      </w:r>
      <w:r>
        <w:t>Public Notice, DA 19</w:t>
      </w:r>
      <w:r w:rsidRPr="00EF145B">
        <w:t>-358</w:t>
      </w:r>
      <w:r>
        <w:t>, at 2</w:t>
      </w:r>
      <w:r w:rsidRPr="00EF145B">
        <w:t xml:space="preserve"> </w:t>
      </w:r>
      <w:r>
        <w:t>(PSHSB Apr. 30, 2019).</w:t>
      </w:r>
    </w:p>
  </w:footnote>
  <w:footnote w:id="11">
    <w:p w:rsidR="005B38D1" w14:paraId="7E5C8B75" w14:textId="77777777">
      <w:pPr>
        <w:pStyle w:val="FootnoteText"/>
      </w:pPr>
      <w:r>
        <w:rPr>
          <w:rStyle w:val="FootnoteReference"/>
        </w:rPr>
        <w:footnoteRef/>
      </w:r>
      <w:r>
        <w:t xml:space="preserve"> San Francisco Amended Letter at 1.</w:t>
      </w:r>
    </w:p>
  </w:footnote>
  <w:footnote w:id="12">
    <w:p w:rsidR="00436426" w:rsidRPr="00436426" w14:paraId="3F5F041C" w14:textId="77777777">
      <w:pPr>
        <w:pStyle w:val="FootnoteText"/>
      </w:pPr>
      <w:r>
        <w:rPr>
          <w:rStyle w:val="FootnoteReference"/>
        </w:rPr>
        <w:footnoteRef/>
      </w:r>
      <w:r>
        <w:t xml:space="preserve"> </w:t>
      </w:r>
      <w:r>
        <w:rPr>
          <w:i/>
        </w:rPr>
        <w:t>Id</w:t>
      </w:r>
      <w:r>
        <w:t>. at 1-2.</w:t>
      </w:r>
    </w:p>
  </w:footnote>
  <w:footnote w:id="13">
    <w:p w:rsidR="008E33D5" w:rsidRPr="00D177CD" w:rsidP="008E33D5" w14:paraId="3B2D82B5" w14:textId="77777777">
      <w:pPr>
        <w:pStyle w:val="FootnoteText"/>
      </w:pPr>
      <w:r>
        <w:rPr>
          <w:rStyle w:val="FootnoteReference"/>
        </w:rPr>
        <w:footnoteRef/>
      </w:r>
      <w:r>
        <w:t xml:space="preserve"> </w:t>
      </w:r>
      <w:r>
        <w:rPr>
          <w:i/>
        </w:rPr>
        <w:t>Id</w:t>
      </w:r>
      <w:r>
        <w:t>. at 1.</w:t>
      </w:r>
    </w:p>
  </w:footnote>
  <w:footnote w:id="14">
    <w:p w:rsidR="00887A0A" w:rsidRPr="00887A0A" w14:paraId="5BFC401B" w14:textId="77777777">
      <w:pPr>
        <w:pStyle w:val="FootnoteText"/>
        <w:rPr>
          <w:i/>
        </w:rPr>
      </w:pPr>
      <w:r>
        <w:rPr>
          <w:rStyle w:val="FootnoteReference"/>
        </w:rPr>
        <w:footnoteRef/>
      </w:r>
      <w:r>
        <w:t xml:space="preserve"> </w:t>
      </w:r>
      <w:r>
        <w:rPr>
          <w:i/>
        </w:rPr>
        <w:t>Id.</w:t>
      </w:r>
    </w:p>
  </w:footnote>
  <w:footnote w:id="15">
    <w:p w:rsidR="008E33D5" w:rsidRPr="008E33D5" w14:paraId="77342A4A" w14:textId="77777777">
      <w:pPr>
        <w:pStyle w:val="FootnoteText"/>
      </w:pPr>
      <w:r>
        <w:rPr>
          <w:rStyle w:val="FootnoteReference"/>
        </w:rPr>
        <w:footnoteRef/>
      </w:r>
      <w:r>
        <w:t xml:space="preserve"> </w:t>
      </w:r>
      <w:r>
        <w:rPr>
          <w:i/>
        </w:rPr>
        <w:t>Id</w:t>
      </w:r>
      <w:r>
        <w:t xml:space="preserve">. at 1-2. </w:t>
      </w:r>
    </w:p>
  </w:footnote>
  <w:footnote w:id="16">
    <w:p w:rsidR="00A03FA4" w14:paraId="27475AF6" w14:textId="77777777">
      <w:pPr>
        <w:pStyle w:val="FootnoteText"/>
      </w:pPr>
      <w:r>
        <w:rPr>
          <w:rStyle w:val="FootnoteReference"/>
        </w:rPr>
        <w:footnoteRef/>
      </w:r>
      <w:r>
        <w:t xml:space="preserve"> </w:t>
      </w:r>
      <w:r w:rsidR="00B46BEF">
        <w:rPr>
          <w:i/>
        </w:rPr>
        <w:t>Id</w:t>
      </w:r>
      <w:r w:rsidR="00B46BEF">
        <w:t>.</w:t>
      </w:r>
      <w:r>
        <w:t xml:space="preserve"> at 1.</w:t>
      </w:r>
    </w:p>
  </w:footnote>
  <w:footnote w:id="17">
    <w:p w:rsidR="00511454" w14:paraId="77794F6E" w14:textId="77777777">
      <w:pPr>
        <w:pStyle w:val="FootnoteText"/>
      </w:pPr>
      <w:r>
        <w:rPr>
          <w:rStyle w:val="FootnoteReference"/>
        </w:rPr>
        <w:footnoteRef/>
      </w:r>
      <w:r>
        <w:t xml:space="preserve"> </w:t>
      </w:r>
      <w:r w:rsidR="00B46BEF">
        <w:rPr>
          <w:i/>
        </w:rPr>
        <w:t>Id</w:t>
      </w:r>
      <w:r w:rsidR="00B46BEF">
        <w:t>.</w:t>
      </w:r>
      <w:r>
        <w:t xml:space="preserve"> at </w:t>
      </w:r>
      <w:r w:rsidR="007E02D4">
        <w:t>2</w:t>
      </w:r>
      <w:r>
        <w:t>.  The proposed message is exactly 90 characters.</w:t>
      </w:r>
    </w:p>
  </w:footnote>
  <w:footnote w:id="18">
    <w:p w:rsidR="00B46BEF" w:rsidRPr="00B46BEF" w14:paraId="03E9146B" w14:textId="77777777">
      <w:pPr>
        <w:pStyle w:val="FootnoteText"/>
      </w:pPr>
      <w:r>
        <w:rPr>
          <w:rStyle w:val="FootnoteReference"/>
        </w:rPr>
        <w:footnoteRef/>
      </w:r>
      <w:r>
        <w:t xml:space="preserve"> </w:t>
      </w:r>
      <w:r>
        <w:rPr>
          <w:i/>
        </w:rPr>
        <w:t>Id</w:t>
      </w:r>
      <w:r>
        <w:t xml:space="preserve">. </w:t>
      </w:r>
    </w:p>
  </w:footnote>
  <w:footnote w:id="19">
    <w:p w:rsidR="004225DB" w:rsidRPr="004225DB" w14:paraId="1FC0FE40" w14:textId="77777777">
      <w:pPr>
        <w:pStyle w:val="FootnoteText"/>
      </w:pPr>
      <w:r>
        <w:rPr>
          <w:rStyle w:val="FootnoteReference"/>
        </w:rPr>
        <w:footnoteRef/>
      </w:r>
      <w:r>
        <w:t xml:space="preserve"> </w:t>
      </w:r>
      <w:r>
        <w:rPr>
          <w:i/>
        </w:rPr>
        <w:t>Id</w:t>
      </w:r>
      <w:r>
        <w:t xml:space="preserve">. </w:t>
      </w:r>
    </w:p>
  </w:footnote>
  <w:footnote w:id="20">
    <w:p w:rsidR="00511454" w14:paraId="49E6ABA0" w14:textId="77777777">
      <w:pPr>
        <w:pStyle w:val="FootnoteText"/>
      </w:pPr>
      <w:r>
        <w:rPr>
          <w:rStyle w:val="FootnoteReference"/>
        </w:rPr>
        <w:footnoteRef/>
      </w:r>
      <w:r>
        <w:t xml:space="preserve"> </w:t>
      </w:r>
      <w:r w:rsidR="004225DB">
        <w:rPr>
          <w:i/>
        </w:rPr>
        <w:t>Id</w:t>
      </w:r>
      <w:r w:rsidR="004225DB">
        <w:t>.</w:t>
      </w:r>
      <w:r>
        <w:t xml:space="preserve"> at </w:t>
      </w:r>
      <w:r w:rsidR="004225DB">
        <w:t>1-</w:t>
      </w:r>
      <w:r w:rsidR="007E02D4">
        <w:t>3</w:t>
      </w:r>
      <w:r>
        <w:t xml:space="preserve">. </w:t>
      </w:r>
    </w:p>
  </w:footnote>
  <w:footnote w:id="21">
    <w:p w:rsidR="004225DB" w:rsidRPr="004225DB" w14:paraId="3152F2D1" w14:textId="77777777">
      <w:pPr>
        <w:pStyle w:val="FootnoteText"/>
      </w:pPr>
      <w:r>
        <w:rPr>
          <w:rStyle w:val="FootnoteReference"/>
        </w:rPr>
        <w:footnoteRef/>
      </w:r>
      <w:r>
        <w:t xml:space="preserve"> </w:t>
      </w:r>
      <w:r>
        <w:rPr>
          <w:i/>
        </w:rPr>
        <w:t>Id</w:t>
      </w:r>
      <w:r>
        <w:t>. at 2-3.</w:t>
      </w:r>
    </w:p>
  </w:footnote>
  <w:footnote w:id="22">
    <w:p w:rsidR="004225DB" w:rsidRPr="004225DB" w14:paraId="5639FFA9" w14:textId="77777777">
      <w:pPr>
        <w:pStyle w:val="FootnoteText"/>
      </w:pPr>
      <w:r>
        <w:rPr>
          <w:rStyle w:val="FootnoteReference"/>
        </w:rPr>
        <w:footnoteRef/>
      </w:r>
      <w:r>
        <w:t xml:space="preserve"> </w:t>
      </w:r>
      <w:r>
        <w:rPr>
          <w:i/>
        </w:rPr>
        <w:t>Id</w:t>
      </w:r>
      <w:r>
        <w:t xml:space="preserve">. at 3. </w:t>
      </w:r>
    </w:p>
  </w:footnote>
  <w:footnote w:id="23">
    <w:p w:rsidR="00043171" w:rsidRPr="00043171" w14:paraId="0A11D808" w14:textId="77777777">
      <w:pPr>
        <w:pStyle w:val="FootnoteText"/>
      </w:pPr>
      <w:r>
        <w:rPr>
          <w:rStyle w:val="FootnoteReference"/>
        </w:rPr>
        <w:footnoteRef/>
      </w:r>
      <w:r>
        <w:t xml:space="preserve"> </w:t>
      </w:r>
      <w:r>
        <w:rPr>
          <w:i/>
        </w:rPr>
        <w:t>Id</w:t>
      </w:r>
      <w:r>
        <w:t xml:space="preserve">. </w:t>
      </w:r>
    </w:p>
  </w:footnote>
  <w:footnote w:id="24">
    <w:p w:rsidR="006C2501" w:rsidRPr="006C2501" w14:paraId="69995204" w14:textId="77777777">
      <w:pPr>
        <w:pStyle w:val="FootnoteText"/>
      </w:pPr>
      <w:r>
        <w:rPr>
          <w:rStyle w:val="FootnoteReference"/>
        </w:rPr>
        <w:footnoteRef/>
      </w:r>
      <w:r>
        <w:t xml:space="preserve"> </w:t>
      </w:r>
      <w:r>
        <w:rPr>
          <w:i/>
        </w:rPr>
        <w:t>Id</w:t>
      </w:r>
      <w:r>
        <w:t>.</w:t>
      </w:r>
    </w:p>
  </w:footnote>
  <w:footnote w:id="25">
    <w:p w:rsidR="00511454" w:rsidRPr="00675326" w:rsidP="00511454" w14:paraId="39EC5C9D"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6">
    <w:p w:rsidR="00511454" w:rsidRPr="00B0643B" w:rsidP="00511454" w14:paraId="3BA9C1DC"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7">
    <w:p w:rsidR="00DC1F3C" w14:paraId="7A7EF20E" w14:textId="77777777">
      <w:pPr>
        <w:pStyle w:val="FootnoteText"/>
      </w:pPr>
      <w:r>
        <w:rPr>
          <w:rStyle w:val="FootnoteReference"/>
        </w:rPr>
        <w:footnoteRef/>
      </w:r>
      <w:r>
        <w:t xml:space="preserve"> San Francisco Amended Letter at 1</w:t>
      </w:r>
      <w:r w:rsidR="007E02D4">
        <w:t>-2</w:t>
      </w:r>
      <w:r>
        <w:t>.</w:t>
      </w:r>
    </w:p>
  </w:footnote>
  <w:footnote w:id="28">
    <w:p w:rsidR="00B02812" w14:paraId="7318FAD2" w14:textId="77777777">
      <w:pPr>
        <w:pStyle w:val="FootnoteText"/>
      </w:pPr>
      <w:r>
        <w:rPr>
          <w:rStyle w:val="FootnoteReference"/>
        </w:rPr>
        <w:footnoteRef/>
      </w:r>
      <w:r>
        <w:t xml:space="preserve"> San Francisco Amended Letter at 1.</w:t>
      </w:r>
    </w:p>
  </w:footnote>
  <w:footnote w:id="29">
    <w:p w:rsidR="00CD6F10" w:rsidP="00CD6F10" w14:paraId="205B2E52" w14:textId="77777777">
      <w:pPr>
        <w:pStyle w:val="FootnoteText"/>
      </w:pPr>
      <w:r>
        <w:rPr>
          <w:rStyle w:val="FootnoteReference"/>
        </w:rPr>
        <w:footnoteRef/>
      </w:r>
      <w:r>
        <w:t xml:space="preserve"> This waiver does not extend to any other circumstances involving the broadcast or transmission of the WEA Attention Signal.</w:t>
      </w:r>
    </w:p>
  </w:footnote>
  <w:footnote w:id="30">
    <w:p w:rsidR="00B53B3F" w:rsidRPr="00B0643B" w:rsidP="00B53B3F" w14:paraId="650CC625"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31">
    <w:p w:rsidR="00690CEE" w:rsidRPr="00B0643B" w:rsidP="00690CEE" w14:paraId="361A68C9"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32BDB7" w14:textId="52A840CF">
    <w:pPr>
      <w:pStyle w:val="Header"/>
      <w:rPr>
        <w:b w:val="0"/>
      </w:rPr>
    </w:pPr>
    <w:r>
      <w:tab/>
      <w:t>Federal Communications Commission</w:t>
    </w:r>
    <w:r>
      <w:tab/>
    </w:r>
    <w:r w:rsidR="001E6825">
      <w:t>DA 19-</w:t>
    </w:r>
    <w:r w:rsidR="002C7C7B">
      <w:t>944</w:t>
    </w:r>
  </w:p>
  <w:p w:rsidR="00D25FB5" w14:paraId="6BA4CF0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CA7063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C84BBD" w14:textId="6384AC5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7691D">
      <w:rPr>
        <w:spacing w:val="-2"/>
      </w:rPr>
      <w:t>DA 19-</w:t>
    </w:r>
    <w:r>
      <w:rPr>
        <w:spacing w:val="-2"/>
      </w:rPr>
      <w:t>944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1D"/>
    <w:rsid w:val="00012512"/>
    <w:rsid w:val="0002690B"/>
    <w:rsid w:val="00036039"/>
    <w:rsid w:val="00037F90"/>
    <w:rsid w:val="00043171"/>
    <w:rsid w:val="000875BF"/>
    <w:rsid w:val="00096D8C"/>
    <w:rsid w:val="000C0B65"/>
    <w:rsid w:val="000E05FE"/>
    <w:rsid w:val="000E3D42"/>
    <w:rsid w:val="0011249D"/>
    <w:rsid w:val="00122BD5"/>
    <w:rsid w:val="00131ED4"/>
    <w:rsid w:val="00133F79"/>
    <w:rsid w:val="00144EE0"/>
    <w:rsid w:val="00194A66"/>
    <w:rsid w:val="001D5AE1"/>
    <w:rsid w:val="001D6BCF"/>
    <w:rsid w:val="001E01CA"/>
    <w:rsid w:val="001E6825"/>
    <w:rsid w:val="00213A94"/>
    <w:rsid w:val="00275CF5"/>
    <w:rsid w:val="0028301F"/>
    <w:rsid w:val="00285017"/>
    <w:rsid w:val="002951E2"/>
    <w:rsid w:val="002A285F"/>
    <w:rsid w:val="002A2D2E"/>
    <w:rsid w:val="002C00E8"/>
    <w:rsid w:val="002C3BE8"/>
    <w:rsid w:val="002C7C7B"/>
    <w:rsid w:val="002F55DC"/>
    <w:rsid w:val="00343749"/>
    <w:rsid w:val="003660ED"/>
    <w:rsid w:val="003B0550"/>
    <w:rsid w:val="003B694F"/>
    <w:rsid w:val="003F171C"/>
    <w:rsid w:val="00412FC5"/>
    <w:rsid w:val="00422276"/>
    <w:rsid w:val="004225DB"/>
    <w:rsid w:val="004242F1"/>
    <w:rsid w:val="00434F5E"/>
    <w:rsid w:val="00436426"/>
    <w:rsid w:val="00436ED9"/>
    <w:rsid w:val="00445A00"/>
    <w:rsid w:val="00451B0F"/>
    <w:rsid w:val="004930E8"/>
    <w:rsid w:val="004C2EE3"/>
    <w:rsid w:val="004D5510"/>
    <w:rsid w:val="004E4A22"/>
    <w:rsid w:val="00511454"/>
    <w:rsid w:val="00511968"/>
    <w:rsid w:val="005128DC"/>
    <w:rsid w:val="00551BBA"/>
    <w:rsid w:val="00554A0C"/>
    <w:rsid w:val="0055614C"/>
    <w:rsid w:val="0056287F"/>
    <w:rsid w:val="00566D06"/>
    <w:rsid w:val="005A36E9"/>
    <w:rsid w:val="005B38D1"/>
    <w:rsid w:val="005E14C2"/>
    <w:rsid w:val="00602A04"/>
    <w:rsid w:val="00607BA5"/>
    <w:rsid w:val="0061180A"/>
    <w:rsid w:val="00626EB6"/>
    <w:rsid w:val="00641BA8"/>
    <w:rsid w:val="00655D03"/>
    <w:rsid w:val="00675326"/>
    <w:rsid w:val="00681200"/>
    <w:rsid w:val="00683388"/>
    <w:rsid w:val="00683F84"/>
    <w:rsid w:val="00690CEE"/>
    <w:rsid w:val="006A6A81"/>
    <w:rsid w:val="006B00FB"/>
    <w:rsid w:val="006C2501"/>
    <w:rsid w:val="006F7393"/>
    <w:rsid w:val="0070224F"/>
    <w:rsid w:val="007115F7"/>
    <w:rsid w:val="007165EE"/>
    <w:rsid w:val="00760375"/>
    <w:rsid w:val="007740FF"/>
    <w:rsid w:val="00785689"/>
    <w:rsid w:val="0079754B"/>
    <w:rsid w:val="007A1E6D"/>
    <w:rsid w:val="007B0EB2"/>
    <w:rsid w:val="007E02D4"/>
    <w:rsid w:val="007F1147"/>
    <w:rsid w:val="00810B6F"/>
    <w:rsid w:val="00822CE0"/>
    <w:rsid w:val="00841AB1"/>
    <w:rsid w:val="0087084D"/>
    <w:rsid w:val="00887A0A"/>
    <w:rsid w:val="008C68F1"/>
    <w:rsid w:val="008E33D5"/>
    <w:rsid w:val="00902D82"/>
    <w:rsid w:val="00921803"/>
    <w:rsid w:val="00923A6E"/>
    <w:rsid w:val="00926503"/>
    <w:rsid w:val="009726D8"/>
    <w:rsid w:val="0097691D"/>
    <w:rsid w:val="009951CE"/>
    <w:rsid w:val="009D7308"/>
    <w:rsid w:val="009F76DB"/>
    <w:rsid w:val="00A03FA4"/>
    <w:rsid w:val="00A32C3B"/>
    <w:rsid w:val="00A45F4F"/>
    <w:rsid w:val="00A600A9"/>
    <w:rsid w:val="00AA55B7"/>
    <w:rsid w:val="00AA5B9E"/>
    <w:rsid w:val="00AA7489"/>
    <w:rsid w:val="00AB2407"/>
    <w:rsid w:val="00AB53DF"/>
    <w:rsid w:val="00B02812"/>
    <w:rsid w:val="00B0643B"/>
    <w:rsid w:val="00B07E5C"/>
    <w:rsid w:val="00B46BEF"/>
    <w:rsid w:val="00B53B3F"/>
    <w:rsid w:val="00B811F7"/>
    <w:rsid w:val="00BA5DC6"/>
    <w:rsid w:val="00BA6196"/>
    <w:rsid w:val="00BC6D8C"/>
    <w:rsid w:val="00C1552C"/>
    <w:rsid w:val="00C34006"/>
    <w:rsid w:val="00C36B4C"/>
    <w:rsid w:val="00C426B1"/>
    <w:rsid w:val="00C66160"/>
    <w:rsid w:val="00C721AC"/>
    <w:rsid w:val="00C90D6A"/>
    <w:rsid w:val="00CA247E"/>
    <w:rsid w:val="00CA6D21"/>
    <w:rsid w:val="00CC72B6"/>
    <w:rsid w:val="00CD5B57"/>
    <w:rsid w:val="00CD6F10"/>
    <w:rsid w:val="00D0218D"/>
    <w:rsid w:val="00D13FE9"/>
    <w:rsid w:val="00D177CD"/>
    <w:rsid w:val="00D25FB5"/>
    <w:rsid w:val="00D44223"/>
    <w:rsid w:val="00DA17C0"/>
    <w:rsid w:val="00DA2529"/>
    <w:rsid w:val="00DB130A"/>
    <w:rsid w:val="00DB2EBB"/>
    <w:rsid w:val="00DC10A1"/>
    <w:rsid w:val="00DC1F3C"/>
    <w:rsid w:val="00DC655F"/>
    <w:rsid w:val="00DD0B59"/>
    <w:rsid w:val="00DD7EBD"/>
    <w:rsid w:val="00DF124F"/>
    <w:rsid w:val="00DF62B6"/>
    <w:rsid w:val="00E07225"/>
    <w:rsid w:val="00E5409F"/>
    <w:rsid w:val="00E645A1"/>
    <w:rsid w:val="00E77C2D"/>
    <w:rsid w:val="00E94367"/>
    <w:rsid w:val="00EE6488"/>
    <w:rsid w:val="00EF145B"/>
    <w:rsid w:val="00F021FA"/>
    <w:rsid w:val="00F471EC"/>
    <w:rsid w:val="00F62E97"/>
    <w:rsid w:val="00F64209"/>
    <w:rsid w:val="00F93BF5"/>
    <w:rsid w:val="00FD7C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5435E2D-691A-47C7-B832-79AB45B8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97691D"/>
  </w:style>
  <w:style w:type="character" w:customStyle="1" w:styleId="UnresolvedMention">
    <w:name w:val="Unresolved Mention"/>
    <w:basedOn w:val="DefaultParagraphFont"/>
    <w:uiPriority w:val="99"/>
    <w:semiHidden/>
    <w:unhideWhenUsed/>
    <w:rsid w:val="00511454"/>
    <w:rPr>
      <w:color w:val="605E5C"/>
      <w:shd w:val="clear" w:color="auto" w:fill="E1DFDD"/>
    </w:rPr>
  </w:style>
  <w:style w:type="character" w:customStyle="1" w:styleId="ParaNumChar">
    <w:name w:val="ParaNum Char"/>
    <w:link w:val="ParaNum"/>
    <w:locked/>
    <w:rsid w:val="00511454"/>
    <w:rPr>
      <w:snapToGrid w:val="0"/>
      <w:kern w:val="28"/>
      <w:sz w:val="22"/>
    </w:rPr>
  </w:style>
  <w:style w:type="paragraph" w:styleId="BodyText">
    <w:name w:val="Body Text"/>
    <w:basedOn w:val="Normal"/>
    <w:link w:val="BodyTextChar"/>
    <w:uiPriority w:val="1"/>
    <w:qFormat/>
    <w:rsid w:val="00144EE0"/>
    <w:pPr>
      <w:ind w:left="120"/>
    </w:pPr>
    <w:rPr>
      <w:snapToGrid/>
      <w:kern w:val="0"/>
      <w:szCs w:val="22"/>
    </w:rPr>
  </w:style>
  <w:style w:type="character" w:customStyle="1" w:styleId="BodyTextChar">
    <w:name w:val="Body Text Char"/>
    <w:basedOn w:val="DefaultParagraphFont"/>
    <w:link w:val="BodyText"/>
    <w:uiPriority w:val="1"/>
    <w:rsid w:val="00144EE0"/>
    <w:rPr>
      <w:sz w:val="22"/>
      <w:szCs w:val="22"/>
    </w:rPr>
  </w:style>
  <w:style w:type="paragraph" w:styleId="ListParagraph">
    <w:name w:val="List Paragraph"/>
    <w:basedOn w:val="Normal"/>
    <w:uiPriority w:val="34"/>
    <w:qFormat/>
    <w:rsid w:val="00144EE0"/>
    <w:pPr>
      <w:ind w:left="720"/>
      <w:contextualSpacing/>
    </w:pPr>
  </w:style>
  <w:style w:type="character" w:styleId="CommentReference">
    <w:name w:val="annotation reference"/>
    <w:basedOn w:val="DefaultParagraphFont"/>
    <w:rsid w:val="00554A0C"/>
    <w:rPr>
      <w:sz w:val="16"/>
      <w:szCs w:val="16"/>
    </w:rPr>
  </w:style>
  <w:style w:type="paragraph" w:styleId="CommentText">
    <w:name w:val="annotation text"/>
    <w:basedOn w:val="Normal"/>
    <w:link w:val="CommentTextChar"/>
    <w:rsid w:val="00554A0C"/>
    <w:rPr>
      <w:sz w:val="20"/>
    </w:rPr>
  </w:style>
  <w:style w:type="character" w:customStyle="1" w:styleId="CommentTextChar">
    <w:name w:val="Comment Text Char"/>
    <w:basedOn w:val="DefaultParagraphFont"/>
    <w:link w:val="CommentText"/>
    <w:rsid w:val="00554A0C"/>
    <w:rPr>
      <w:snapToGrid w:val="0"/>
      <w:kern w:val="28"/>
    </w:rPr>
  </w:style>
  <w:style w:type="paragraph" w:styleId="CommentSubject">
    <w:name w:val="annotation subject"/>
    <w:basedOn w:val="CommentText"/>
    <w:next w:val="CommentText"/>
    <w:link w:val="CommentSubjectChar"/>
    <w:rsid w:val="00554A0C"/>
    <w:rPr>
      <w:b/>
      <w:bCs/>
    </w:rPr>
  </w:style>
  <w:style w:type="character" w:customStyle="1" w:styleId="CommentSubjectChar">
    <w:name w:val="Comment Subject Char"/>
    <w:basedOn w:val="CommentTextChar"/>
    <w:link w:val="CommentSubject"/>
    <w:rsid w:val="00554A0C"/>
    <w:rPr>
      <w:b/>
      <w:bCs/>
      <w:snapToGrid w:val="0"/>
      <w:kern w:val="28"/>
    </w:rPr>
  </w:style>
  <w:style w:type="paragraph" w:styleId="BalloonText">
    <w:name w:val="Balloon Text"/>
    <w:basedOn w:val="Normal"/>
    <w:link w:val="BalloonTextChar"/>
    <w:rsid w:val="00554A0C"/>
    <w:rPr>
      <w:rFonts w:ascii="Segoe UI" w:hAnsi="Segoe UI" w:cs="Segoe UI"/>
      <w:sz w:val="18"/>
      <w:szCs w:val="18"/>
    </w:rPr>
  </w:style>
  <w:style w:type="character" w:customStyle="1" w:styleId="BalloonTextChar">
    <w:name w:val="Balloon Text Char"/>
    <w:basedOn w:val="DefaultParagraphFont"/>
    <w:link w:val="BalloonText"/>
    <w:rsid w:val="00554A0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SF72.org" TargetMode="External" /><Relationship Id="rId6" Type="http://schemas.openxmlformats.org/officeDocument/2006/relationships/hyperlink" Target="https://www.fcc.gov/general/public-safety-support-center"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