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B73B55">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B83BA2">
              <w:t>3</w:t>
            </w:r>
            <w:r w:rsidR="00EB19A2">
              <w:t>380396</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 xml:space="preserve">Adopted: </w:t>
      </w:r>
      <w:r w:rsidR="00C754EA">
        <w:rPr>
          <w:b/>
          <w:spacing w:val="-2"/>
          <w:szCs w:val="22"/>
        </w:rPr>
        <w:t>September 26</w:t>
      </w:r>
      <w:r>
        <w:rPr>
          <w:b/>
          <w:spacing w:val="-2"/>
          <w:szCs w:val="22"/>
        </w:rPr>
        <w:t>, 2019</w:t>
      </w:r>
      <w:r>
        <w:rPr>
          <w:b/>
          <w:spacing w:val="-2"/>
          <w:szCs w:val="22"/>
        </w:rPr>
        <w:tab/>
      </w:r>
      <w:r>
        <w:rPr>
          <w:b/>
          <w:spacing w:val="-2"/>
          <w:szCs w:val="22"/>
        </w:rPr>
        <w:tab/>
        <w:t xml:space="preserve">Released: </w:t>
      </w:r>
      <w:r w:rsidR="00C754EA">
        <w:rPr>
          <w:b/>
          <w:spacing w:val="-2"/>
          <w:szCs w:val="22"/>
        </w:rPr>
        <w:t>September 26</w:t>
      </w:r>
      <w:r>
        <w:rPr>
          <w:b/>
          <w:spacing w:val="-2"/>
          <w:szCs w:val="22"/>
        </w:rPr>
        <w:t>, 2019</w:t>
      </w:r>
    </w:p>
    <w:p w:rsidR="00AB71F2" w:rsidP="00AB71F2">
      <w:pPr>
        <w:rPr>
          <w:szCs w:val="22"/>
        </w:rPr>
      </w:pPr>
    </w:p>
    <w:p w:rsidR="00AB71F2" w:rsidP="00B73B55">
      <w:pPr>
        <w:spacing w:after="120"/>
        <w:rPr>
          <w:szCs w:val="22"/>
        </w:rPr>
      </w:pPr>
      <w:r>
        <w:rPr>
          <w:szCs w:val="22"/>
        </w:rPr>
        <w:t>By the Deputy Chief, Consumer Policy Division, Consumer and Governmental Affairs Bureau:</w:t>
      </w:r>
      <w:bookmarkStart w:id="0" w:name="_GoBack"/>
      <w:bookmarkEnd w:id="0"/>
    </w:p>
    <w:p w:rsidR="00AB71F2" w:rsidP="00B73B55">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83BA2">
        <w:rPr>
          <w:szCs w:val="22"/>
        </w:rPr>
        <w:t>Telplex</w:t>
      </w:r>
      <w:r w:rsidRPr="00237F60" w:rsidR="00B83BA2">
        <w:rPr>
          <w:szCs w:val="22"/>
        </w:rPr>
        <w:t>’s</w:t>
      </w:r>
      <w:r w:rsidRPr="00237F60" w:rsidR="00B83BA2">
        <w:rPr>
          <w:szCs w:val="22"/>
        </w:rPr>
        <w:t xml:space="preserve"> actions violated the Commission’s slamming rules, and we therefore grant Complainant</w:t>
      </w:r>
      <w:r w:rsidR="00B83BA2">
        <w:rPr>
          <w:szCs w:val="22"/>
        </w:rPr>
        <w:t>’s</w:t>
      </w:r>
      <w:r w:rsidRPr="00237F60" w:rsidR="00B83BA2">
        <w:rPr>
          <w:szCs w:val="22"/>
        </w:rPr>
        <w:t xml:space="preserve"> complaint.</w:t>
      </w:r>
    </w:p>
    <w:p w:rsidR="00B83BA2" w:rsidP="00B73B55">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1D73F3" w:rsidP="00847D23">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sidR="00AB71F2">
        <w:rPr>
          <w:szCs w:val="22"/>
        </w:rPr>
        <w:t xml:space="preserve"> </w:t>
      </w:r>
      <w:r w:rsidR="00CF2AA9">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p>
    <w:p w:rsidR="000460DE" w:rsidRPr="000460DE" w:rsidP="00847D23">
      <w:pPr>
        <w:numPr>
          <w:ilvl w:val="0"/>
          <w:numId w:val="7"/>
        </w:numPr>
        <w:snapToGrid w:val="0"/>
        <w:spacing w:after="120"/>
        <w:ind w:left="0" w:firstLine="720"/>
        <w:rPr>
          <w:szCs w:val="22"/>
        </w:rPr>
      </w:pPr>
      <w:r w:rsidRPr="002A45AF">
        <w:rPr>
          <w:szCs w:val="22"/>
        </w:rPr>
        <w:t>We received Complainant</w:t>
      </w:r>
      <w:r w:rsidRPr="002A45AF" w:rsidR="00B83BA2">
        <w:rPr>
          <w:szCs w:val="22"/>
        </w:rPr>
        <w:t>’s</w:t>
      </w:r>
      <w:r w:rsidRPr="002A45AF">
        <w:rPr>
          <w:szCs w:val="22"/>
        </w:rPr>
        <w:t xml:space="preserve"> complaint alleging that Complainant</w:t>
      </w:r>
      <w:r w:rsidRPr="002A45AF" w:rsidR="00B83BA2">
        <w:rPr>
          <w:szCs w:val="22"/>
        </w:rPr>
        <w:t>’s</w:t>
      </w:r>
      <w:r w:rsidRPr="002A45AF">
        <w:rPr>
          <w:szCs w:val="22"/>
        </w:rPr>
        <w:t xml:space="preserve"> telecommunications service provider had been changed </w:t>
      </w:r>
      <w:r w:rsidRPr="002A45AF" w:rsidR="009F6F0E">
        <w:rPr>
          <w:szCs w:val="22"/>
        </w:rPr>
        <w:t xml:space="preserve">to </w:t>
      </w:r>
      <w:r w:rsidRPr="002A45AF" w:rsidR="009F6F0E">
        <w:rPr>
          <w:szCs w:val="22"/>
        </w:rPr>
        <w:t>Telplex</w:t>
      </w:r>
      <w:r w:rsidRPr="002A45AF" w:rsidR="009F6F0E">
        <w:rPr>
          <w:szCs w:val="22"/>
        </w:rPr>
        <w:t xml:space="preserve"> </w:t>
      </w:r>
      <w:r w:rsidRPr="002A45AF">
        <w:rPr>
          <w:szCs w:val="22"/>
        </w:rPr>
        <w:t>without Complainant</w:t>
      </w:r>
      <w:r w:rsidRPr="002A45AF" w:rsidR="00B83BA2">
        <w:rPr>
          <w:szCs w:val="22"/>
        </w:rPr>
        <w:t>’s</w:t>
      </w:r>
      <w:r w:rsidRPr="002A45AF">
        <w:rPr>
          <w:szCs w:val="22"/>
        </w:rPr>
        <w:t xml:space="preserve"> authorization</w:t>
      </w:r>
      <w:r w:rsidRPr="002A45AF" w:rsidR="00311848">
        <w:rPr>
          <w:szCs w:val="22"/>
        </w:rPr>
        <w:t>.</w:t>
      </w:r>
      <w:r>
        <w:rPr>
          <w:rStyle w:val="FootnoteReference"/>
          <w:szCs w:val="22"/>
        </w:rPr>
        <w:footnoteReference w:id="11"/>
      </w:r>
      <w:r w:rsidR="001D73F3">
        <w:rPr>
          <w:szCs w:val="22"/>
        </w:rPr>
        <w:t xml:space="preserve"> </w:t>
      </w:r>
      <w:r w:rsidRPr="002A45AF" w:rsidR="00311848">
        <w:rPr>
          <w:szCs w:val="22"/>
        </w:rPr>
        <w:t xml:space="preserve"> </w:t>
      </w:r>
      <w:r w:rsidRPr="002A45AF" w:rsidR="00B83BA2">
        <w:rPr>
          <w:szCs w:val="22"/>
        </w:rPr>
        <w:t xml:space="preserve">In </w:t>
      </w:r>
      <w:r w:rsidRPr="002A45AF" w:rsidR="00305DCB">
        <w:rPr>
          <w:szCs w:val="22"/>
        </w:rPr>
        <w:t>the complaint</w:t>
      </w:r>
      <w:r w:rsidRPr="002A45AF" w:rsidR="00B83BA2">
        <w:rPr>
          <w:szCs w:val="22"/>
        </w:rPr>
        <w:t xml:space="preserve">, Complainant </w:t>
      </w:r>
      <w:r w:rsidRPr="002A45AF" w:rsidR="00305DCB">
        <w:rPr>
          <w:szCs w:val="22"/>
        </w:rPr>
        <w:t xml:space="preserve">also </w:t>
      </w:r>
      <w:r w:rsidRPr="002A45AF" w:rsidR="00B83BA2">
        <w:rPr>
          <w:szCs w:val="22"/>
        </w:rPr>
        <w:t>allege</w:t>
      </w:r>
      <w:r w:rsidRPr="002A45AF" w:rsidR="00305DCB">
        <w:rPr>
          <w:szCs w:val="22"/>
        </w:rPr>
        <w:t>s</w:t>
      </w:r>
      <w:r w:rsidRPr="002A45AF" w:rsidR="00B83BA2">
        <w:rPr>
          <w:szCs w:val="22"/>
        </w:rPr>
        <w:t xml:space="preserve"> that</w:t>
      </w:r>
      <w:r w:rsidRPr="002A45AF" w:rsidR="00BA7C1E">
        <w:rPr>
          <w:szCs w:val="22"/>
        </w:rPr>
        <w:t xml:space="preserve"> </w:t>
      </w:r>
      <w:r w:rsidRPr="002A45AF" w:rsidR="00BA7C1E">
        <w:rPr>
          <w:szCs w:val="22"/>
        </w:rPr>
        <w:t>Telplex’s</w:t>
      </w:r>
      <w:r w:rsidRPr="002A45AF" w:rsidR="00BA7C1E">
        <w:rPr>
          <w:szCs w:val="22"/>
        </w:rPr>
        <w:t xml:space="preserve"> telemarketer contacted</w:t>
      </w:r>
      <w:r w:rsidRPr="002A45AF" w:rsidR="00B83BA2">
        <w:rPr>
          <w:szCs w:val="22"/>
        </w:rPr>
        <w:t xml:space="preserve"> </w:t>
      </w:r>
      <w:r w:rsidRPr="002A45AF" w:rsidR="00BA7C1E">
        <w:rPr>
          <w:szCs w:val="22"/>
        </w:rPr>
        <w:t>his medical office, representing h</w:t>
      </w:r>
      <w:r w:rsidR="00342416">
        <w:rPr>
          <w:szCs w:val="22"/>
        </w:rPr>
        <w:t>imself</w:t>
      </w:r>
      <w:r w:rsidRPr="002A45AF" w:rsidR="00BA7C1E">
        <w:rPr>
          <w:szCs w:val="22"/>
        </w:rPr>
        <w:t xml:space="preserve"> as an AT&amp;T employee.  Complainant specifically state</w:t>
      </w:r>
      <w:r w:rsidR="001A53ED">
        <w:rPr>
          <w:szCs w:val="22"/>
        </w:rPr>
        <w:t>s</w:t>
      </w:r>
      <w:r w:rsidRPr="002A45AF" w:rsidR="00BA7C1E">
        <w:rPr>
          <w:szCs w:val="22"/>
        </w:rPr>
        <w:t xml:space="preserve"> that “</w:t>
      </w:r>
      <w:r w:rsidRPr="002A45AF" w:rsidR="00BA7C1E">
        <w:rPr>
          <w:color w:val="2F3941"/>
          <w:szCs w:val="22"/>
          <w:shd w:val="clear" w:color="auto" w:fill="FFFFFF"/>
        </w:rPr>
        <w:t>Telplex</w:t>
      </w:r>
      <w:r w:rsidRPr="002A45AF" w:rsidR="00BA7C1E">
        <w:rPr>
          <w:color w:val="2F3941"/>
          <w:szCs w:val="22"/>
          <w:shd w:val="clear" w:color="auto" w:fill="FFFFFF"/>
        </w:rPr>
        <w:t xml:space="preserve"> advised his staff that they were calling from AT&amp;T and they were going to provide a new plan for the office to bring down the rates of the service and to save.  The staff member stated that she would check with the physician before she provided any authorization.”</w:t>
      </w:r>
      <w:r>
        <w:rPr>
          <w:rStyle w:val="FootnoteReference"/>
          <w:szCs w:val="22"/>
          <w:shd w:val="clear" w:color="auto" w:fill="FFFFFF"/>
        </w:rPr>
        <w:footnoteReference w:id="12"/>
      </w:r>
      <w:r w:rsidRPr="002A45AF" w:rsidR="00BA7C1E">
        <w:rPr>
          <w:color w:val="2F3941"/>
          <w:szCs w:val="22"/>
          <w:shd w:val="clear" w:color="auto" w:fill="FFFFFF"/>
        </w:rPr>
        <w:t xml:space="preserve">  </w:t>
      </w:r>
      <w:r w:rsidR="001D73F3">
        <w:rPr>
          <w:color w:val="2F3941"/>
          <w:szCs w:val="22"/>
          <w:shd w:val="clear" w:color="auto" w:fill="FFFFFF"/>
        </w:rPr>
        <w:t>The record shows that t</w:t>
      </w:r>
      <w:r w:rsidRPr="002A45AF" w:rsidR="00BA7C1E">
        <w:rPr>
          <w:color w:val="2F3941"/>
          <w:szCs w:val="22"/>
          <w:shd w:val="clear" w:color="auto" w:fill="FFFFFF"/>
        </w:rPr>
        <w:t xml:space="preserve">he staff member identified herself as a medical assistant with the office.  </w:t>
      </w:r>
    </w:p>
    <w:p w:rsidR="00BA7C1E" w:rsidRPr="002A45AF" w:rsidP="00847D23">
      <w:pPr>
        <w:numPr>
          <w:ilvl w:val="0"/>
          <w:numId w:val="7"/>
        </w:numPr>
        <w:snapToGrid w:val="0"/>
        <w:spacing w:after="120"/>
        <w:ind w:left="0" w:firstLine="720"/>
        <w:rPr>
          <w:szCs w:val="22"/>
        </w:rPr>
      </w:pPr>
      <w:r>
        <w:rPr>
          <w:color w:val="2F3941"/>
          <w:szCs w:val="22"/>
          <w:shd w:val="clear" w:color="auto" w:fill="FFFFFF"/>
        </w:rPr>
        <w:t>According to Complainant, “</w:t>
      </w:r>
      <w:r w:rsidRPr="002A45AF">
        <w:rPr>
          <w:color w:val="2F3941"/>
          <w:szCs w:val="22"/>
        </w:rPr>
        <w:t>Telplex</w:t>
      </w:r>
      <w:r w:rsidRPr="002A45AF">
        <w:rPr>
          <w:color w:val="2F3941"/>
          <w:szCs w:val="22"/>
        </w:rPr>
        <w:t xml:space="preserve"> called back again, representing themselves as AT&amp;T.</w:t>
      </w:r>
      <w:r>
        <w:rPr>
          <w:color w:val="2F3941"/>
          <w:szCs w:val="22"/>
        </w:rPr>
        <w:t>”</w:t>
      </w:r>
      <w:r w:rsidRPr="002A45AF">
        <w:rPr>
          <w:color w:val="2F3941"/>
          <w:szCs w:val="22"/>
        </w:rPr>
        <w:t xml:space="preserve"> </w:t>
      </w:r>
      <w:r w:rsidR="00F576B9">
        <w:rPr>
          <w:color w:val="2F3941"/>
          <w:szCs w:val="22"/>
        </w:rPr>
        <w:t xml:space="preserve"> </w:t>
      </w:r>
      <w:r>
        <w:rPr>
          <w:color w:val="2F3941"/>
          <w:szCs w:val="22"/>
        </w:rPr>
        <w:t>At that time t</w:t>
      </w:r>
      <w:r w:rsidRPr="002A45AF">
        <w:rPr>
          <w:color w:val="2F3941"/>
          <w:szCs w:val="22"/>
        </w:rPr>
        <w:t xml:space="preserve">he </w:t>
      </w:r>
      <w:r>
        <w:rPr>
          <w:color w:val="2F3941"/>
          <w:szCs w:val="22"/>
        </w:rPr>
        <w:t>medical of</w:t>
      </w:r>
      <w:r w:rsidRPr="002A45AF">
        <w:rPr>
          <w:color w:val="2F3941"/>
          <w:szCs w:val="22"/>
        </w:rPr>
        <w:t xml:space="preserve">fice </w:t>
      </w:r>
      <w:r>
        <w:rPr>
          <w:color w:val="2F3941"/>
          <w:szCs w:val="22"/>
        </w:rPr>
        <w:t xml:space="preserve">staff </w:t>
      </w:r>
      <w:r w:rsidRPr="002A45AF">
        <w:rPr>
          <w:color w:val="2F3941"/>
          <w:szCs w:val="22"/>
        </w:rPr>
        <w:t xml:space="preserve">requested a written proposal for the new plan to show to </w:t>
      </w:r>
      <w:r w:rsidR="00F576B9">
        <w:rPr>
          <w:color w:val="2F3941"/>
          <w:szCs w:val="22"/>
        </w:rPr>
        <w:t>the doctor in charge of the practice</w:t>
      </w:r>
      <w:r w:rsidRPr="002A45AF">
        <w:rPr>
          <w:color w:val="2F3941"/>
          <w:szCs w:val="22"/>
        </w:rPr>
        <w:t>.</w:t>
      </w:r>
      <w:r>
        <w:rPr>
          <w:color w:val="2F3941"/>
          <w:szCs w:val="22"/>
        </w:rPr>
        <w:t xml:space="preserve">  Complainant states that he </w:t>
      </w:r>
      <w:r w:rsidR="00F576B9">
        <w:rPr>
          <w:color w:val="2F3941"/>
          <w:szCs w:val="22"/>
        </w:rPr>
        <w:t>was unaware that</w:t>
      </w:r>
      <w:r>
        <w:rPr>
          <w:color w:val="2F3941"/>
          <w:szCs w:val="22"/>
        </w:rPr>
        <w:t xml:space="preserve"> </w:t>
      </w:r>
      <w:r>
        <w:rPr>
          <w:color w:val="2F3941"/>
          <w:szCs w:val="22"/>
        </w:rPr>
        <w:t>Telplex</w:t>
      </w:r>
      <w:r>
        <w:rPr>
          <w:color w:val="2F3941"/>
          <w:szCs w:val="22"/>
        </w:rPr>
        <w:t xml:space="preserve"> had switched his office’s service until he received a welcome letter from </w:t>
      </w:r>
      <w:r>
        <w:rPr>
          <w:color w:val="2F3941"/>
          <w:szCs w:val="22"/>
        </w:rPr>
        <w:t>Telplex</w:t>
      </w:r>
      <w:r>
        <w:rPr>
          <w:color w:val="2F3941"/>
          <w:szCs w:val="22"/>
        </w:rPr>
        <w:t xml:space="preserve">.  He maintains that he called </w:t>
      </w:r>
      <w:r>
        <w:rPr>
          <w:color w:val="2F3941"/>
          <w:szCs w:val="22"/>
        </w:rPr>
        <w:t>Telplex</w:t>
      </w:r>
      <w:r>
        <w:rPr>
          <w:color w:val="2F3941"/>
          <w:szCs w:val="22"/>
        </w:rPr>
        <w:t xml:space="preserve"> right away and advised the company that there was no authorization for the switch.  </w:t>
      </w:r>
      <w:r w:rsidR="001A53ED">
        <w:rPr>
          <w:color w:val="2F3941"/>
          <w:szCs w:val="22"/>
        </w:rPr>
        <w:t>Complainant</w:t>
      </w:r>
      <w:r>
        <w:rPr>
          <w:color w:val="2F3941"/>
          <w:szCs w:val="22"/>
        </w:rPr>
        <w:t xml:space="preserve"> states that </w:t>
      </w:r>
      <w:r>
        <w:rPr>
          <w:color w:val="2F3941"/>
          <w:szCs w:val="22"/>
        </w:rPr>
        <w:t>Telplex</w:t>
      </w:r>
      <w:r>
        <w:rPr>
          <w:color w:val="2F3941"/>
          <w:szCs w:val="22"/>
        </w:rPr>
        <w:t xml:space="preserve"> </w:t>
      </w:r>
      <w:r w:rsidR="0067532A">
        <w:rPr>
          <w:color w:val="2F3941"/>
          <w:szCs w:val="22"/>
        </w:rPr>
        <w:t xml:space="preserve">then </w:t>
      </w:r>
      <w:r>
        <w:rPr>
          <w:color w:val="2F3941"/>
          <w:szCs w:val="22"/>
        </w:rPr>
        <w:t>“advised his staff that if they did NOT pay the bill, the lines would be turned off.</w:t>
      </w:r>
      <w:r w:rsidR="00BF1E19">
        <w:rPr>
          <w:color w:val="2F3941"/>
          <w:szCs w:val="22"/>
        </w:rPr>
        <w:t>”</w:t>
      </w:r>
      <w:r>
        <w:rPr>
          <w:color w:val="2F3941"/>
          <w:szCs w:val="22"/>
        </w:rPr>
        <w:t xml:space="preserve">  The medical practice</w:t>
      </w:r>
      <w:r w:rsidR="00BF1E19">
        <w:rPr>
          <w:color w:val="2F3941"/>
          <w:szCs w:val="22"/>
        </w:rPr>
        <w:t>’</w:t>
      </w:r>
      <w:r>
        <w:rPr>
          <w:color w:val="2F3941"/>
          <w:szCs w:val="22"/>
        </w:rPr>
        <w:t xml:space="preserve">s </w:t>
      </w:r>
      <w:r w:rsidR="00BF1E19">
        <w:rPr>
          <w:color w:val="2F3941"/>
          <w:szCs w:val="22"/>
        </w:rPr>
        <w:t xml:space="preserve">telephone </w:t>
      </w:r>
      <w:r>
        <w:rPr>
          <w:color w:val="2F3941"/>
          <w:szCs w:val="22"/>
        </w:rPr>
        <w:t>service</w:t>
      </w:r>
      <w:r w:rsidR="00F576B9">
        <w:rPr>
          <w:color w:val="2F3941"/>
          <w:szCs w:val="22"/>
        </w:rPr>
        <w:t>s</w:t>
      </w:r>
      <w:r>
        <w:rPr>
          <w:color w:val="2F3941"/>
          <w:szCs w:val="22"/>
        </w:rPr>
        <w:t xml:space="preserve"> were then turned off on July 1, 201</w:t>
      </w:r>
      <w:r w:rsidR="00F576B9">
        <w:rPr>
          <w:color w:val="2F3941"/>
          <w:szCs w:val="22"/>
        </w:rPr>
        <w:t>9</w:t>
      </w:r>
      <w:r w:rsidR="00F22472">
        <w:rPr>
          <w:color w:val="2F3941"/>
          <w:szCs w:val="22"/>
        </w:rPr>
        <w:t>,</w:t>
      </w:r>
      <w:r w:rsidR="00F576B9">
        <w:rPr>
          <w:color w:val="2F3941"/>
          <w:szCs w:val="22"/>
        </w:rPr>
        <w:t xml:space="preserve"> </w:t>
      </w:r>
      <w:r w:rsidR="00F22472">
        <w:rPr>
          <w:color w:val="2F3941"/>
          <w:szCs w:val="22"/>
        </w:rPr>
        <w:t>which meant that the doctor’s</w:t>
      </w:r>
      <w:r w:rsidR="00F576B9">
        <w:rPr>
          <w:color w:val="2F3941"/>
          <w:szCs w:val="22"/>
        </w:rPr>
        <w:t xml:space="preserve"> regular patients could not make appointments and the county</w:t>
      </w:r>
      <w:r w:rsidR="00BF1E19">
        <w:rPr>
          <w:color w:val="2F3941"/>
          <w:szCs w:val="22"/>
        </w:rPr>
        <w:t>’s</w:t>
      </w:r>
      <w:r w:rsidR="00F576B9">
        <w:rPr>
          <w:color w:val="2F3941"/>
          <w:szCs w:val="22"/>
        </w:rPr>
        <w:t xml:space="preserve"> trauma unit could not reach</w:t>
      </w:r>
      <w:r w:rsidR="0067532A">
        <w:rPr>
          <w:color w:val="2F3941"/>
          <w:szCs w:val="22"/>
        </w:rPr>
        <w:t xml:space="preserve"> the medical practice</w:t>
      </w:r>
      <w:r w:rsidR="00F576B9">
        <w:rPr>
          <w:color w:val="2F3941"/>
          <w:szCs w:val="22"/>
        </w:rPr>
        <w:t>.</w:t>
      </w:r>
      <w:r>
        <w:rPr>
          <w:rStyle w:val="FootnoteReference"/>
          <w:szCs w:val="22"/>
        </w:rPr>
        <w:footnoteReference w:id="13"/>
      </w:r>
      <w:r w:rsidR="004F7A19">
        <w:rPr>
          <w:color w:val="2F3941"/>
          <w:szCs w:val="22"/>
        </w:rPr>
        <w:t xml:space="preserve">  With the complaint, Complainant provided copies of the invoices his office received from </w:t>
      </w:r>
      <w:r w:rsidR="004F7A19">
        <w:rPr>
          <w:color w:val="2F3941"/>
          <w:szCs w:val="22"/>
        </w:rPr>
        <w:t>Telplex</w:t>
      </w:r>
      <w:r w:rsidR="004F7A19">
        <w:rPr>
          <w:color w:val="2F3941"/>
          <w:szCs w:val="22"/>
        </w:rPr>
        <w:t xml:space="preserve">. </w:t>
      </w:r>
      <w:r>
        <w:rPr>
          <w:color w:val="2F3941"/>
          <w:szCs w:val="22"/>
        </w:rPr>
        <w:t xml:space="preserve">  </w:t>
      </w:r>
    </w:p>
    <w:p w:rsidR="000460DE" w:rsidRPr="000460DE" w:rsidP="000460DE">
      <w:pPr>
        <w:numPr>
          <w:ilvl w:val="0"/>
          <w:numId w:val="7"/>
        </w:numPr>
        <w:snapToGrid w:val="0"/>
        <w:spacing w:after="120"/>
        <w:ind w:left="0" w:firstLine="720"/>
        <w:rPr>
          <w:szCs w:val="22"/>
        </w:rPr>
      </w:pPr>
      <w:r>
        <w:rPr>
          <w:szCs w:val="22"/>
        </w:rPr>
        <w:t xml:space="preserve">Pursuant to our rules, we notified </w:t>
      </w:r>
      <w:r>
        <w:rPr>
          <w:szCs w:val="22"/>
        </w:rPr>
        <w:t>Telplex</w:t>
      </w:r>
      <w:r>
        <w:rPr>
          <w:szCs w:val="22"/>
        </w:rPr>
        <w:t xml:space="preserve"> of the complaint</w:t>
      </w:r>
      <w:r w:rsidR="00FE6960">
        <w:rPr>
          <w:szCs w:val="22"/>
        </w:rPr>
        <w:t>,</w:t>
      </w:r>
      <w:r>
        <w:rPr>
          <w:szCs w:val="22"/>
        </w:rPr>
        <w:t xml:space="preserve"> and </w:t>
      </w:r>
      <w:r>
        <w:rPr>
          <w:szCs w:val="22"/>
        </w:rPr>
        <w:t>Telplex</w:t>
      </w:r>
      <w:r>
        <w:rPr>
          <w:szCs w:val="22"/>
        </w:rPr>
        <w:t xml:space="preserve"> responded.</w:t>
      </w:r>
      <w:r>
        <w:rPr>
          <w:rStyle w:val="FootnoteReference"/>
          <w:szCs w:val="22"/>
        </w:rPr>
        <w:footnoteReference w:id="14"/>
      </w:r>
      <w:r>
        <w:rPr>
          <w:szCs w:val="22"/>
        </w:rPr>
        <w:t xml:space="preserve">  </w:t>
      </w:r>
      <w:r>
        <w:rPr>
          <w:szCs w:val="22"/>
        </w:rPr>
        <w:t>Telplex</w:t>
      </w:r>
      <w:r>
        <w:rPr>
          <w:szCs w:val="22"/>
        </w:rPr>
        <w:t xml:space="preserve"> state</w:t>
      </w:r>
      <w:r w:rsidR="0067532A">
        <w:rPr>
          <w:szCs w:val="22"/>
        </w:rPr>
        <w:t>s</w:t>
      </w:r>
      <w:r>
        <w:rPr>
          <w:szCs w:val="22"/>
        </w:rPr>
        <w:t xml:space="preserve"> that authorization was received and confirmed through </w:t>
      </w:r>
      <w:r w:rsidR="00305DCB">
        <w:rPr>
          <w:szCs w:val="22"/>
        </w:rPr>
        <w:t xml:space="preserve">a </w:t>
      </w:r>
      <w:r>
        <w:rPr>
          <w:szCs w:val="22"/>
        </w:rPr>
        <w:t xml:space="preserve">TPV.  </w:t>
      </w:r>
      <w:r w:rsidR="00CF2AA9">
        <w:rPr>
          <w:szCs w:val="22"/>
        </w:rPr>
        <w:t>It also state</w:t>
      </w:r>
      <w:r w:rsidR="0067532A">
        <w:rPr>
          <w:szCs w:val="22"/>
        </w:rPr>
        <w:t>s</w:t>
      </w:r>
      <w:r w:rsidR="00CF2AA9">
        <w:rPr>
          <w:szCs w:val="22"/>
        </w:rPr>
        <w:t xml:space="preserve"> that </w:t>
      </w:r>
      <w:r w:rsidR="00A87E8F">
        <w:rPr>
          <w:szCs w:val="24"/>
        </w:rPr>
        <w:t>Complainant’s</w:t>
      </w:r>
      <w:r w:rsidR="00CF2AA9">
        <w:rPr>
          <w:szCs w:val="24"/>
        </w:rPr>
        <w:t xml:space="preserve"> </w:t>
      </w:r>
      <w:r w:rsidR="0056687D">
        <w:rPr>
          <w:szCs w:val="24"/>
        </w:rPr>
        <w:t>“unverified allegations, made without any personal knowledge, are directly contradicted by two third-party verifications occurring immediately after the sales representative spoke with the . . . employee, who expressly authorized the carrier change, and did so expressly ‘understand[</w:t>
      </w:r>
      <w:r w:rsidR="0056687D">
        <w:rPr>
          <w:szCs w:val="24"/>
        </w:rPr>
        <w:t>ing</w:t>
      </w:r>
      <w:r w:rsidR="0056687D">
        <w:rPr>
          <w:szCs w:val="24"/>
        </w:rPr>
        <w:t xml:space="preserve">] the </w:t>
      </w:r>
      <w:r w:rsidR="0056687D">
        <w:rPr>
          <w:szCs w:val="24"/>
        </w:rPr>
        <w:t>representative called you on behalf of TELPLEX COMMUNICATIONS and not AT&amp;T and TELPLEX COMMUNICATIONS and AT&amp;T are two SEPARATE companies COMPETING with each other.’”</w:t>
      </w:r>
      <w:r>
        <w:rPr>
          <w:rStyle w:val="FootnoteReference"/>
          <w:szCs w:val="24"/>
        </w:rPr>
        <w:footnoteReference w:id="15"/>
      </w:r>
      <w:r w:rsidR="002B6E9B">
        <w:rPr>
          <w:szCs w:val="24"/>
        </w:rPr>
        <w:t xml:space="preserve">  </w:t>
      </w:r>
      <w:r w:rsidR="002B6E9B">
        <w:rPr>
          <w:szCs w:val="24"/>
        </w:rPr>
        <w:t>Telplex</w:t>
      </w:r>
      <w:r w:rsidR="002B6E9B">
        <w:rPr>
          <w:szCs w:val="24"/>
        </w:rPr>
        <w:t xml:space="preserve"> </w:t>
      </w:r>
      <w:r w:rsidR="0067532A">
        <w:rPr>
          <w:szCs w:val="24"/>
        </w:rPr>
        <w:t>further</w:t>
      </w:r>
      <w:r w:rsidR="002B6E9B">
        <w:rPr>
          <w:szCs w:val="24"/>
        </w:rPr>
        <w:t xml:space="preserve"> argue</w:t>
      </w:r>
      <w:r w:rsidR="0067532A">
        <w:rPr>
          <w:szCs w:val="24"/>
        </w:rPr>
        <w:t>s</w:t>
      </w:r>
      <w:r w:rsidR="002B6E9B">
        <w:rPr>
          <w:szCs w:val="24"/>
        </w:rPr>
        <w:t xml:space="preserve"> that it is not required to guarantee the actual authority of the individual claiming to grant authorization for a service change, nor is </w:t>
      </w:r>
      <w:r w:rsidR="002B6E9B">
        <w:rPr>
          <w:szCs w:val="24"/>
        </w:rPr>
        <w:t>Telplex</w:t>
      </w:r>
      <w:r w:rsidR="002B6E9B">
        <w:rPr>
          <w:szCs w:val="24"/>
        </w:rPr>
        <w:t xml:space="preserve"> liable if the individual does not in fact have actual authority</w:t>
      </w:r>
      <w:r w:rsidR="002B6E9B">
        <w:rPr>
          <w:i/>
          <w:szCs w:val="24"/>
        </w:rPr>
        <w:t>.</w:t>
      </w:r>
      <w:r>
        <w:rPr>
          <w:rStyle w:val="FootnoteReference"/>
          <w:szCs w:val="24"/>
        </w:rPr>
        <w:footnoteReference w:id="16"/>
      </w:r>
      <w:r w:rsidRPr="00F22472" w:rsidR="002B6E9B">
        <w:rPr>
          <w:szCs w:val="24"/>
        </w:rPr>
        <w:t xml:space="preserve"> </w:t>
      </w:r>
      <w:r w:rsidR="002B6E9B">
        <w:rPr>
          <w:i/>
          <w:szCs w:val="24"/>
        </w:rPr>
        <w:t xml:space="preserve"> </w:t>
      </w:r>
      <w:r w:rsidR="001D73F3">
        <w:rPr>
          <w:szCs w:val="24"/>
        </w:rPr>
        <w:t xml:space="preserve">In addition to the TPV, </w:t>
      </w:r>
      <w:r w:rsidR="001D73F3">
        <w:rPr>
          <w:szCs w:val="24"/>
        </w:rPr>
        <w:t>Telplex</w:t>
      </w:r>
      <w:r w:rsidR="001D73F3">
        <w:rPr>
          <w:szCs w:val="24"/>
        </w:rPr>
        <w:t xml:space="preserve"> </w:t>
      </w:r>
      <w:r w:rsidR="00BA7C1E">
        <w:rPr>
          <w:szCs w:val="24"/>
        </w:rPr>
        <w:t>provided</w:t>
      </w:r>
      <w:r w:rsidR="00DB3243">
        <w:rPr>
          <w:szCs w:val="24"/>
        </w:rPr>
        <w:t xml:space="preserve"> </w:t>
      </w:r>
      <w:r w:rsidR="001D73F3">
        <w:rPr>
          <w:szCs w:val="24"/>
        </w:rPr>
        <w:t>a</w:t>
      </w:r>
      <w:r w:rsidR="00BA7C1E">
        <w:rPr>
          <w:szCs w:val="24"/>
        </w:rPr>
        <w:t xml:space="preserve"> </w:t>
      </w:r>
      <w:r w:rsidR="001D73F3">
        <w:rPr>
          <w:szCs w:val="24"/>
        </w:rPr>
        <w:t xml:space="preserve">“quality control” </w:t>
      </w:r>
      <w:r w:rsidR="00BA7C1E">
        <w:rPr>
          <w:szCs w:val="24"/>
        </w:rPr>
        <w:t xml:space="preserve">checklist that </w:t>
      </w:r>
      <w:r w:rsidR="00BA7C1E">
        <w:rPr>
          <w:szCs w:val="24"/>
        </w:rPr>
        <w:t>Telplex</w:t>
      </w:r>
      <w:r w:rsidR="00BA7C1E">
        <w:rPr>
          <w:szCs w:val="24"/>
        </w:rPr>
        <w:t xml:space="preserve"> says its telemarketers follow</w:t>
      </w:r>
      <w:r w:rsidR="001D73F3">
        <w:rPr>
          <w:szCs w:val="24"/>
        </w:rPr>
        <w:t xml:space="preserve"> when marketing its services</w:t>
      </w:r>
      <w:r w:rsidR="00F16BEA">
        <w:rPr>
          <w:szCs w:val="24"/>
        </w:rPr>
        <w:t>,</w:t>
      </w:r>
      <w:r w:rsidR="00DB3243">
        <w:rPr>
          <w:szCs w:val="24"/>
        </w:rPr>
        <w:t xml:space="preserve"> </w:t>
      </w:r>
      <w:r w:rsidR="00F22472">
        <w:rPr>
          <w:szCs w:val="24"/>
        </w:rPr>
        <w:t>along with</w:t>
      </w:r>
      <w:r w:rsidR="00DB3243">
        <w:rPr>
          <w:szCs w:val="24"/>
        </w:rPr>
        <w:t xml:space="preserve"> the transcript of the TPV call that followed the initial sales call.</w:t>
      </w:r>
      <w:r w:rsidR="001D73F3">
        <w:rPr>
          <w:szCs w:val="24"/>
        </w:rPr>
        <w:t xml:space="preserve"> </w:t>
      </w:r>
      <w:r>
        <w:rPr>
          <w:szCs w:val="22"/>
        </w:rPr>
        <w:t xml:space="preserve"> </w:t>
      </w:r>
      <w:r w:rsidRPr="000460DE" w:rsidR="00CA752A">
        <w:rPr>
          <w:szCs w:val="24"/>
        </w:rPr>
        <w:t>Telplex</w:t>
      </w:r>
      <w:r w:rsidRPr="000460DE" w:rsidR="00305DCB">
        <w:rPr>
          <w:szCs w:val="24"/>
        </w:rPr>
        <w:t xml:space="preserve"> </w:t>
      </w:r>
      <w:r w:rsidRPr="000460DE" w:rsidR="00CA752A">
        <w:rPr>
          <w:szCs w:val="24"/>
        </w:rPr>
        <w:t>d</w:t>
      </w:r>
      <w:r w:rsidRPr="000460DE" w:rsidR="008F5FAB">
        <w:rPr>
          <w:szCs w:val="24"/>
        </w:rPr>
        <w:t>id</w:t>
      </w:r>
      <w:r w:rsidRPr="000460DE" w:rsidR="00CA752A">
        <w:rPr>
          <w:szCs w:val="24"/>
        </w:rPr>
        <w:t xml:space="preserve"> not</w:t>
      </w:r>
      <w:r w:rsidRPr="000460DE" w:rsidR="00305DCB">
        <w:rPr>
          <w:szCs w:val="24"/>
        </w:rPr>
        <w:t>, however,</w:t>
      </w:r>
      <w:r w:rsidRPr="000460DE" w:rsidR="00CA752A">
        <w:rPr>
          <w:szCs w:val="24"/>
        </w:rPr>
        <w:t xml:space="preserve"> provide </w:t>
      </w:r>
      <w:r w:rsidR="0067532A">
        <w:rPr>
          <w:szCs w:val="24"/>
        </w:rPr>
        <w:t>a</w:t>
      </w:r>
      <w:r w:rsidRPr="000460DE" w:rsidR="00CA752A">
        <w:rPr>
          <w:szCs w:val="24"/>
        </w:rPr>
        <w:t xml:space="preserve"> sales call recording</w:t>
      </w:r>
      <w:r w:rsidRPr="000460DE" w:rsidR="00A87E8F">
        <w:rPr>
          <w:szCs w:val="24"/>
        </w:rPr>
        <w:t xml:space="preserve"> </w:t>
      </w:r>
      <w:r w:rsidRPr="000460DE" w:rsidR="00E342E6">
        <w:rPr>
          <w:szCs w:val="24"/>
        </w:rPr>
        <w:t>or other</w:t>
      </w:r>
      <w:r w:rsidRPr="000460DE" w:rsidR="001B1CAF">
        <w:rPr>
          <w:szCs w:val="24"/>
        </w:rPr>
        <w:t xml:space="preserve"> </w:t>
      </w:r>
      <w:r w:rsidRPr="000460DE" w:rsidR="00A87E8F">
        <w:rPr>
          <w:szCs w:val="24"/>
        </w:rPr>
        <w:t>evidence</w:t>
      </w:r>
      <w:r w:rsidRPr="000460DE" w:rsidR="004C7C92">
        <w:rPr>
          <w:szCs w:val="24"/>
        </w:rPr>
        <w:t xml:space="preserve"> rel</w:t>
      </w:r>
      <w:r w:rsidR="00B73B55">
        <w:rPr>
          <w:szCs w:val="24"/>
        </w:rPr>
        <w:t>ated</w:t>
      </w:r>
      <w:r w:rsidRPr="000460DE" w:rsidR="004C7C92">
        <w:rPr>
          <w:szCs w:val="24"/>
        </w:rPr>
        <w:t xml:space="preserve"> to the sales call</w:t>
      </w:r>
      <w:r w:rsidR="00324EF7">
        <w:rPr>
          <w:szCs w:val="24"/>
        </w:rPr>
        <w:t>, such as the script used by the telemarketer,</w:t>
      </w:r>
      <w:r w:rsidRPr="000460DE" w:rsidR="004C7C92">
        <w:rPr>
          <w:szCs w:val="24"/>
        </w:rPr>
        <w:t xml:space="preserve"> </w:t>
      </w:r>
      <w:r w:rsidRPr="000460DE" w:rsidR="001B1CAF">
        <w:rPr>
          <w:szCs w:val="24"/>
        </w:rPr>
        <w:t>to rebut Complainant’s claim</w:t>
      </w:r>
      <w:r w:rsidRPr="000460DE" w:rsidR="008F7313">
        <w:rPr>
          <w:szCs w:val="24"/>
        </w:rPr>
        <w:t xml:space="preserve"> of misrepresentation.</w:t>
      </w:r>
      <w:r w:rsidRPr="000460DE" w:rsidR="00A87E8F">
        <w:rPr>
          <w:szCs w:val="24"/>
        </w:rPr>
        <w:t xml:space="preserve"> </w:t>
      </w:r>
      <w:r w:rsidRPr="000460DE" w:rsidR="004C7C92">
        <w:rPr>
          <w:szCs w:val="24"/>
        </w:rPr>
        <w:t xml:space="preserve"> </w:t>
      </w:r>
    </w:p>
    <w:p w:rsidR="00AB71F2" w:rsidP="000460DE">
      <w:pPr>
        <w:numPr>
          <w:ilvl w:val="0"/>
          <w:numId w:val="7"/>
        </w:numPr>
        <w:snapToGrid w:val="0"/>
        <w:spacing w:after="120"/>
        <w:ind w:left="0" w:firstLine="720"/>
        <w:rPr>
          <w:szCs w:val="22"/>
        </w:rPr>
      </w:pPr>
      <w:r w:rsidRPr="000460DE">
        <w:rPr>
          <w:szCs w:val="24"/>
        </w:rPr>
        <w:t xml:space="preserve">The Division carefully reviewed all </w:t>
      </w:r>
      <w:r w:rsidRPr="000460DE" w:rsidR="000B22F5">
        <w:rPr>
          <w:szCs w:val="24"/>
        </w:rPr>
        <w:t xml:space="preserve">the </w:t>
      </w:r>
      <w:r w:rsidRPr="000460DE">
        <w:rPr>
          <w:szCs w:val="24"/>
        </w:rPr>
        <w:t xml:space="preserve">evidence in the record provided by both the Complainant and </w:t>
      </w:r>
      <w:r w:rsidRPr="000460DE">
        <w:rPr>
          <w:szCs w:val="24"/>
        </w:rPr>
        <w:t>Telplex</w:t>
      </w:r>
      <w:r w:rsidRPr="000460DE">
        <w:rPr>
          <w:szCs w:val="24"/>
        </w:rPr>
        <w:t xml:space="preserve">. </w:t>
      </w:r>
      <w:r w:rsidR="000460DE">
        <w:rPr>
          <w:szCs w:val="22"/>
        </w:rPr>
        <w:t xml:space="preserve"> </w:t>
      </w:r>
      <w:r w:rsidRPr="000460DE" w:rsidR="00D33E46">
        <w:rPr>
          <w:szCs w:val="22"/>
        </w:rPr>
        <w:t>Based on the evidence in the record, w</w:t>
      </w:r>
      <w:r w:rsidRPr="000460DE" w:rsidR="005D20F0">
        <w:rPr>
          <w:szCs w:val="22"/>
        </w:rPr>
        <w:t xml:space="preserve">e </w:t>
      </w:r>
      <w:r w:rsidRPr="000460DE" w:rsidR="00305DCB">
        <w:rPr>
          <w:szCs w:val="22"/>
        </w:rPr>
        <w:t>find Complainant’s allegation of a sales call misrepresentation to be credible</w:t>
      </w:r>
      <w:r w:rsidRPr="000460DE" w:rsidR="00FE6960">
        <w:rPr>
          <w:szCs w:val="22"/>
        </w:rPr>
        <w:t xml:space="preserve"> due to its specificity and consistency with other complaints we have reviewed</w:t>
      </w:r>
      <w:r w:rsidRPr="000460DE" w:rsidR="00305DCB">
        <w:rPr>
          <w:szCs w:val="22"/>
        </w:rPr>
        <w:t xml:space="preserve">.  We </w:t>
      </w:r>
      <w:r w:rsidRPr="000460DE" w:rsidR="001B1CAF">
        <w:rPr>
          <w:szCs w:val="22"/>
        </w:rPr>
        <w:t>further find</w:t>
      </w:r>
      <w:r w:rsidRPr="000460DE" w:rsidR="00305DCB">
        <w:rPr>
          <w:szCs w:val="22"/>
        </w:rPr>
        <w:t xml:space="preserve"> that </w:t>
      </w:r>
      <w:r w:rsidRPr="000460DE" w:rsidR="00305DCB">
        <w:rPr>
          <w:szCs w:val="22"/>
        </w:rPr>
        <w:t>Telplex</w:t>
      </w:r>
      <w:r w:rsidRPr="000460DE" w:rsidR="00305DCB">
        <w:rPr>
          <w:szCs w:val="22"/>
        </w:rPr>
        <w:t xml:space="preserve"> has failed to provide persuasive evidence to rebut Complainant’s claim</w:t>
      </w:r>
      <w:r w:rsidRPr="000460DE" w:rsidR="001B1CAF">
        <w:rPr>
          <w:szCs w:val="22"/>
        </w:rPr>
        <w:t xml:space="preserve"> and therefore that Complainant’s authorization to change carriers is invalid</w:t>
      </w:r>
      <w:r w:rsidRPr="000460DE" w:rsidR="00305DCB">
        <w:rPr>
          <w:szCs w:val="22"/>
        </w:rPr>
        <w:t xml:space="preserve">. </w:t>
      </w:r>
      <w:r w:rsidRPr="000460DE" w:rsidR="001B1CAF">
        <w:rPr>
          <w:szCs w:val="22"/>
        </w:rPr>
        <w:t xml:space="preserve"> </w:t>
      </w:r>
      <w:r w:rsidRPr="000460DE" w:rsidR="00D33E46">
        <w:rPr>
          <w:szCs w:val="22"/>
        </w:rPr>
        <w:t>W</w:t>
      </w:r>
      <w:r w:rsidRPr="000460DE" w:rsidR="005D20F0">
        <w:rPr>
          <w:szCs w:val="22"/>
        </w:rPr>
        <w:t>e</w:t>
      </w:r>
      <w:r w:rsidRPr="000460DE" w:rsidR="00D33E46">
        <w:rPr>
          <w:szCs w:val="22"/>
        </w:rPr>
        <w:t xml:space="preserve"> therefore</w:t>
      </w:r>
      <w:r w:rsidRPr="000460DE" w:rsidR="005D20F0">
        <w:rPr>
          <w:szCs w:val="22"/>
        </w:rPr>
        <w:t xml:space="preserve"> </w:t>
      </w:r>
      <w:r w:rsidRPr="000460DE" w:rsidR="00D33E46">
        <w:rPr>
          <w:szCs w:val="22"/>
        </w:rPr>
        <w:t>find</w:t>
      </w:r>
      <w:r w:rsidRPr="000460DE" w:rsidR="005D20F0">
        <w:rPr>
          <w:szCs w:val="22"/>
        </w:rPr>
        <w:t xml:space="preserve"> that </w:t>
      </w:r>
      <w:r w:rsidRPr="000460DE" w:rsidR="00B83BA2">
        <w:rPr>
          <w:szCs w:val="22"/>
        </w:rPr>
        <w:t>Telplex’s</w:t>
      </w:r>
      <w:r w:rsidRPr="000460DE" w:rsidR="00B83BA2">
        <w:rPr>
          <w:szCs w:val="22"/>
        </w:rPr>
        <w:t xml:space="preserve"> actions resulted in an unauthorized change in Complainant’s </w:t>
      </w:r>
      <w:r w:rsidRPr="000460DE">
        <w:rPr>
          <w:szCs w:val="22"/>
        </w:rPr>
        <w:t>telecommunications service provider, as defined by the rules</w:t>
      </w:r>
      <w:r w:rsidR="00D54E72">
        <w:rPr>
          <w:szCs w:val="22"/>
        </w:rPr>
        <w:t xml:space="preserve">, and we discuss </w:t>
      </w:r>
      <w:r w:rsidR="00D54E72">
        <w:rPr>
          <w:szCs w:val="22"/>
        </w:rPr>
        <w:t>Telplex’s</w:t>
      </w:r>
      <w:r w:rsidR="00D54E72">
        <w:rPr>
          <w:szCs w:val="22"/>
        </w:rPr>
        <w:t xml:space="preserve"> liability below.</w:t>
      </w:r>
      <w:r>
        <w:rPr>
          <w:rStyle w:val="FootnoteReference"/>
          <w:szCs w:val="22"/>
        </w:rPr>
        <w:footnoteReference w:id="17"/>
      </w:r>
      <w:r w:rsidRPr="000460DE">
        <w:rPr>
          <w:szCs w:val="22"/>
        </w:rPr>
        <w:t xml:space="preserve"> </w:t>
      </w:r>
    </w:p>
    <w:p w:rsidR="00D20DC8" w:rsidRPr="00D20DC8" w:rsidP="00D20DC8">
      <w:pPr>
        <w:numPr>
          <w:ilvl w:val="0"/>
          <w:numId w:val="7"/>
        </w:numPr>
        <w:snapToGrid w:val="0"/>
        <w:spacing w:after="120"/>
        <w:ind w:left="0" w:firstLine="720"/>
        <w:rPr>
          <w:szCs w:val="22"/>
        </w:rPr>
      </w:pPr>
      <w:r>
        <w:rPr>
          <w:szCs w:val="22"/>
        </w:rPr>
        <w:t>Telplex</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8"/>
      </w:r>
      <w:r>
        <w:rPr>
          <w:szCs w:val="22"/>
        </w:rPr>
        <w:t xml:space="preserve">  We have determined that Complainant is entitled to absolution for the charges incurred during the first thirty days after the unauthorized change occurred and that </w:t>
      </w:r>
      <w:r>
        <w:t xml:space="preserve">neither the Complainant’s authorized carrier nor </w:t>
      </w:r>
      <w:r>
        <w:rPr>
          <w:szCs w:val="22"/>
        </w:rPr>
        <w:t>Telplex</w:t>
      </w:r>
      <w:r>
        <w:rPr>
          <w:szCs w:val="22"/>
        </w:rPr>
        <w:t xml:space="preserve"> may pursue any collection against Complainant for those charges.</w:t>
      </w:r>
      <w:r>
        <w:rPr>
          <w:rStyle w:val="FootnoteReference"/>
          <w:szCs w:val="22"/>
        </w:rPr>
        <w:footnoteReference w:id="19"/>
      </w:r>
      <w:r>
        <w:rPr>
          <w:szCs w:val="22"/>
        </w:rPr>
        <w:t xml:space="preserve">  Any charges imposed by </w:t>
      </w:r>
      <w:r>
        <w:rPr>
          <w:szCs w:val="22"/>
        </w:rPr>
        <w:t>Telplex</w:t>
      </w:r>
      <w:r>
        <w:rPr>
          <w:szCs w:val="22"/>
        </w:rPr>
        <w:t xml:space="preserve"> on the subscriber for service provided after this 30-day period shall be paid by the subscriber at the rates the subscriber was paying to his/her authorized carrier at the time of the unauthorized change.</w:t>
      </w:r>
      <w:r>
        <w:rPr>
          <w:rStyle w:val="FootnoteReference"/>
          <w:szCs w:val="22"/>
        </w:rPr>
        <w:footnoteReference w:id="20"/>
      </w:r>
    </w:p>
    <w:p w:rsidR="00AB71F2" w:rsidP="00305DCB">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Pr>
          <w:szCs w:val="22"/>
        </w:rPr>
        <w:t>Telplex</w:t>
      </w:r>
      <w:r>
        <w:rPr>
          <w:szCs w:val="22"/>
        </w:rPr>
        <w:t xml:space="preserve"> Communications </w:t>
      </w:r>
      <w:r w:rsidR="00A87E8F">
        <w:rPr>
          <w:szCs w:val="22"/>
        </w:rPr>
        <w:t>IS</w:t>
      </w:r>
      <w:r>
        <w:rPr>
          <w:szCs w:val="22"/>
        </w:rPr>
        <w:t xml:space="preserve"> </w:t>
      </w:r>
      <w:r w:rsidR="00A87E8F">
        <w:rPr>
          <w:szCs w:val="22"/>
        </w:rPr>
        <w:t>GRANTED</w:t>
      </w:r>
      <w:r>
        <w:rPr>
          <w:szCs w:val="22"/>
        </w:rPr>
        <w:t>.</w:t>
      </w:r>
    </w:p>
    <w:p w:rsidR="00847D23" w:rsidP="00D46AA1">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first thirty days after the unauthorized change occurred and that </w:t>
      </w:r>
      <w:r>
        <w:rPr>
          <w:szCs w:val="22"/>
        </w:rPr>
        <w:t>Telplex</w:t>
      </w:r>
      <w:r>
        <w:rPr>
          <w:szCs w:val="22"/>
        </w:rPr>
        <w:t xml:space="preserve"> Communications</w:t>
      </w:r>
      <w:r w:rsidRPr="00FD2C3C">
        <w:rPr>
          <w:szCs w:val="22"/>
        </w:rPr>
        <w:t xml:space="preserve"> may not pursue any collection against Complainant for those charges.</w:t>
      </w:r>
    </w:p>
    <w:p w:rsidR="00AB71F2" w:rsidRPr="00DB138B" w:rsidP="00847D23">
      <w:pPr>
        <w:widowControl/>
        <w:snapToGrid w:val="0"/>
        <w:spacing w:after="120"/>
        <w:rPr>
          <w:szCs w:val="22"/>
        </w:rPr>
      </w:pPr>
      <w:r>
        <w:rPr>
          <w:szCs w:val="22"/>
        </w:rPr>
        <w:br w:type="page"/>
      </w:r>
    </w:p>
    <w:p w:rsidR="00AB71F2" w:rsidRPr="00305DCB" w:rsidP="00305DCB">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F053DA">
      <w:pPr>
        <w:spacing w:after="120"/>
        <w:ind w:left="3600" w:right="270"/>
        <w:rPr>
          <w:szCs w:val="22"/>
        </w:rPr>
      </w:pPr>
      <w:r>
        <w:rPr>
          <w:szCs w:val="22"/>
        </w:rPr>
        <w:t>FEDERAL COMMUNICATIONS COMMISSION</w:t>
      </w:r>
    </w:p>
    <w:p w:rsidR="00AB71F2" w:rsidP="005328A1">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11pt;mso-left-percent:-10001;mso-position-horizontal-relative:char;mso-position-vertical-relative:line;mso-top-percent:-10001">
            <v:imagedata r:id="rId5" o:title=""/>
            <w10:wrap type="none"/>
          </v:shape>
        </w:pict>
      </w:r>
    </w:p>
    <w:p w:rsidR="00EB19A2" w:rsidP="005328A1">
      <w:pPr>
        <w:ind w:right="270"/>
        <w:rPr>
          <w:szCs w:val="22"/>
        </w:rPr>
      </w:pPr>
    </w:p>
    <w:p w:rsidR="00AB71F2" w:rsidP="00AB71F2">
      <w:pPr>
        <w:ind w:left="540"/>
        <w:rPr>
          <w:szCs w:val="22"/>
        </w:rPr>
      </w:pP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1935">
      <w:r>
        <w:separator/>
      </w:r>
    </w:p>
  </w:footnote>
  <w:footnote w:type="continuationSeparator" w:id="1">
    <w:p w:rsidR="00251935" w:rsidP="00C721AC">
      <w:pPr>
        <w:spacing w:before="120"/>
        <w:rPr>
          <w:sz w:val="20"/>
        </w:rPr>
      </w:pPr>
      <w:r>
        <w:rPr>
          <w:sz w:val="20"/>
        </w:rPr>
        <w:t xml:space="preserve">(Continued from previous page)  </w:t>
      </w:r>
      <w:r>
        <w:rPr>
          <w:sz w:val="20"/>
        </w:rPr>
        <w:separator/>
      </w:r>
    </w:p>
  </w:footnote>
  <w:footnote w:type="continuationNotice" w:id="2">
    <w:p w:rsidR="00251935"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3</w:t>
      </w:r>
      <w:r w:rsidR="00EB19A2">
        <w:t>380396</w:t>
      </w:r>
      <w:r w:rsidR="006533AA">
        <w:t xml:space="preserve"> (filed </w:t>
      </w:r>
      <w:r w:rsidR="00EB19A2">
        <w:t>July 9</w:t>
      </w:r>
      <w:r w:rsidR="006533AA">
        <w:t xml:space="preserve">,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w:t>
      </w:r>
      <w:r w:rsidRPr="009F6F0E" w:rsidR="009F6F0E">
        <w:rPr>
          <w:i/>
        </w:rPr>
        <w:t>Id</w:t>
      </w:r>
      <w:r w:rsidR="009F6F0E">
        <w:t>.</w:t>
      </w:r>
      <w:r>
        <w:t xml:space="preserve">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1D73F3" w:rsidP="001D73F3">
      <w:pPr>
        <w:pStyle w:val="FootnoteText"/>
      </w:pPr>
      <w:r>
        <w:rPr>
          <w:rStyle w:val="FootnoteReference"/>
        </w:rPr>
        <w:footnoteRef/>
      </w:r>
      <w:r>
        <w:t xml:space="preserve"> </w:t>
      </w:r>
      <w:r w:rsidRPr="00305DCB">
        <w:rPr>
          <w:i/>
        </w:rPr>
        <w:t>See</w:t>
      </w:r>
      <w:r>
        <w:t xml:space="preserve"> Informal Complaint No. 3380396.</w:t>
      </w:r>
    </w:p>
  </w:footnote>
  <w:footnote w:id="12">
    <w:p w:rsidR="00F576B9">
      <w:pPr>
        <w:pStyle w:val="FootnoteText"/>
      </w:pPr>
      <w:r>
        <w:rPr>
          <w:rStyle w:val="FootnoteReference"/>
        </w:rPr>
        <w:footnoteRef/>
      </w:r>
      <w:r>
        <w:t xml:space="preserve"> </w:t>
      </w:r>
      <w:r w:rsidRPr="00F576B9">
        <w:rPr>
          <w:i/>
        </w:rPr>
        <w:t>Id</w:t>
      </w:r>
      <w:r>
        <w:t>.</w:t>
      </w:r>
    </w:p>
  </w:footnote>
  <w:footnote w:id="13">
    <w:p w:rsidR="00641F04">
      <w:pPr>
        <w:pStyle w:val="FootnoteText"/>
      </w:pPr>
      <w:r>
        <w:rPr>
          <w:rStyle w:val="FootnoteReference"/>
        </w:rPr>
        <w:footnoteRef/>
      </w:r>
      <w:r>
        <w:t xml:space="preserve"> </w:t>
      </w:r>
      <w:r w:rsidRPr="00641F04">
        <w:rPr>
          <w:i/>
        </w:rPr>
        <w:t>Id</w:t>
      </w:r>
      <w:r>
        <w:t>.</w:t>
      </w:r>
    </w:p>
  </w:footnote>
  <w:footnote w:id="14">
    <w:p w:rsidR="00AB71F2" w:rsidP="00AB71F2">
      <w:pPr>
        <w:pStyle w:val="FootnoteText"/>
        <w:tabs>
          <w:tab w:val="left" w:pos="0"/>
        </w:tabs>
      </w:pPr>
      <w:r>
        <w:rPr>
          <w:rStyle w:val="FootnoteReference"/>
        </w:rPr>
        <w:footnoteRef/>
      </w:r>
      <w:r>
        <w:t xml:space="preserve"> 47 CFR § 1.719 (Commission procedure for informal complaints filed pursuant to </w:t>
      </w:r>
      <w:r w:rsidR="00305DCB">
        <w:t>s</w:t>
      </w:r>
      <w:r>
        <w:t xml:space="preserve">ection 258 of the Act); </w:t>
      </w:r>
      <w:r>
        <w:rPr>
          <w:i/>
        </w:rPr>
        <w:t>id</w:t>
      </w:r>
      <w:r>
        <w:t>. § 64.1150 (procedures for resolution of unauthorized changes in preferred carrier).</w:t>
      </w:r>
    </w:p>
  </w:footnote>
  <w:footnote w:id="15">
    <w:p w:rsidR="0056687D">
      <w:pPr>
        <w:pStyle w:val="FootnoteText"/>
      </w:pPr>
      <w:r>
        <w:rPr>
          <w:rStyle w:val="FootnoteReference"/>
        </w:rPr>
        <w:footnoteRef/>
      </w:r>
      <w:r>
        <w:t xml:space="preserve"> </w:t>
      </w:r>
      <w:r w:rsidR="00595EB8">
        <w:t>Telplex</w:t>
      </w:r>
      <w:r w:rsidR="00595EB8">
        <w:t xml:space="preserve"> Response to Informal Complaint No. 3380396 at 1 (filed Aug. 9, 2019)</w:t>
      </w:r>
      <w:r w:rsidR="000B22F5">
        <w:t xml:space="preserve"> (</w:t>
      </w:r>
      <w:r w:rsidR="000B22F5">
        <w:t>Telplex</w:t>
      </w:r>
      <w:r w:rsidR="000B22F5">
        <w:t xml:space="preserve"> Response)</w:t>
      </w:r>
      <w:r w:rsidR="00595EB8">
        <w:t xml:space="preserve">. </w:t>
      </w:r>
    </w:p>
  </w:footnote>
  <w:footnote w:id="16">
    <w:p w:rsidR="002B6E9B">
      <w:pPr>
        <w:pStyle w:val="FootnoteText"/>
      </w:pPr>
      <w:r>
        <w:rPr>
          <w:rStyle w:val="FootnoteReference"/>
        </w:rPr>
        <w:footnoteRef/>
      </w:r>
      <w:r>
        <w:t xml:space="preserve"> </w:t>
      </w:r>
      <w:r>
        <w:t>Telplex</w:t>
      </w:r>
      <w:r>
        <w:t xml:space="preserve"> Response at 2-3.</w:t>
      </w:r>
    </w:p>
  </w:footnote>
  <w:footnote w:id="17">
    <w:p w:rsidR="00D54E72" w:rsidP="00D54E72">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8">
    <w:p w:rsidR="00D20DC8" w:rsidP="00D20DC8">
      <w:pPr>
        <w:pStyle w:val="FootnoteText"/>
      </w:pPr>
      <w:r>
        <w:rPr>
          <w:rStyle w:val="FootnoteReference"/>
        </w:rPr>
        <w:footnoteRef/>
      </w:r>
      <w:r>
        <w:t xml:space="preserve"> </w:t>
      </w:r>
      <w:r>
        <w:rPr>
          <w:i/>
        </w:rPr>
        <w:t xml:space="preserve">See id. </w:t>
      </w:r>
      <w:r>
        <w:t>§ 64.1160(b).</w:t>
      </w:r>
    </w:p>
  </w:footnote>
  <w:footnote w:id="19">
    <w:p w:rsidR="00D20DC8" w:rsidP="00D20DC8">
      <w:pPr>
        <w:pStyle w:val="FootnoteText"/>
      </w:pPr>
      <w:r>
        <w:rPr>
          <w:rStyle w:val="FootnoteReference"/>
        </w:rPr>
        <w:footnoteRef/>
      </w:r>
      <w:r>
        <w:t xml:space="preserve"> </w:t>
      </w:r>
      <w:r>
        <w:rPr>
          <w:i/>
        </w:rPr>
        <w:t xml:space="preserve">See id. </w:t>
      </w:r>
      <w:r>
        <w:t>§ 64.1160(d).</w:t>
      </w:r>
    </w:p>
  </w:footnote>
  <w:footnote w:id="20">
    <w:p w:rsidR="00D20DC8" w:rsidP="00D20DC8">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C754EA">
      <w:t>961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sidR="00C754EA">
      <w:rPr>
        <w:spacing w:val="-2"/>
      </w:rPr>
      <w:t>961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237AB"/>
    <w:rsid w:val="00036039"/>
    <w:rsid w:val="00037F90"/>
    <w:rsid w:val="000460DE"/>
    <w:rsid w:val="00060FC4"/>
    <w:rsid w:val="000875BF"/>
    <w:rsid w:val="00096D8C"/>
    <w:rsid w:val="000B22F5"/>
    <w:rsid w:val="000B4543"/>
    <w:rsid w:val="000C0B65"/>
    <w:rsid w:val="000E05FE"/>
    <w:rsid w:val="000E3D42"/>
    <w:rsid w:val="00106F6E"/>
    <w:rsid w:val="00122BD5"/>
    <w:rsid w:val="00133F79"/>
    <w:rsid w:val="00194A66"/>
    <w:rsid w:val="001A53ED"/>
    <w:rsid w:val="001B1CAF"/>
    <w:rsid w:val="001B7EAB"/>
    <w:rsid w:val="001D02F5"/>
    <w:rsid w:val="001D6BCF"/>
    <w:rsid w:val="001D73F3"/>
    <w:rsid w:val="001E01CA"/>
    <w:rsid w:val="00237F60"/>
    <w:rsid w:val="00251935"/>
    <w:rsid w:val="00275CF5"/>
    <w:rsid w:val="0028301F"/>
    <w:rsid w:val="00285017"/>
    <w:rsid w:val="002A2D2E"/>
    <w:rsid w:val="002A45AF"/>
    <w:rsid w:val="002B6E9B"/>
    <w:rsid w:val="002C00E8"/>
    <w:rsid w:val="00305DCB"/>
    <w:rsid w:val="00311848"/>
    <w:rsid w:val="00324EF7"/>
    <w:rsid w:val="00342416"/>
    <w:rsid w:val="00343749"/>
    <w:rsid w:val="003660ED"/>
    <w:rsid w:val="00380442"/>
    <w:rsid w:val="003B0550"/>
    <w:rsid w:val="003B694F"/>
    <w:rsid w:val="003D6481"/>
    <w:rsid w:val="003F171C"/>
    <w:rsid w:val="00412FC5"/>
    <w:rsid w:val="00422276"/>
    <w:rsid w:val="004242F1"/>
    <w:rsid w:val="00445A00"/>
    <w:rsid w:val="00451B0F"/>
    <w:rsid w:val="004C2EE3"/>
    <w:rsid w:val="004C7C92"/>
    <w:rsid w:val="004E4A22"/>
    <w:rsid w:val="004F7A19"/>
    <w:rsid w:val="00511968"/>
    <w:rsid w:val="005328A1"/>
    <w:rsid w:val="0055614C"/>
    <w:rsid w:val="0056687D"/>
    <w:rsid w:val="00566D06"/>
    <w:rsid w:val="00595EB8"/>
    <w:rsid w:val="005D20F0"/>
    <w:rsid w:val="005E14C2"/>
    <w:rsid w:val="00607BA5"/>
    <w:rsid w:val="0061180A"/>
    <w:rsid w:val="00626EB6"/>
    <w:rsid w:val="00641F04"/>
    <w:rsid w:val="006533AA"/>
    <w:rsid w:val="00655D03"/>
    <w:rsid w:val="0067532A"/>
    <w:rsid w:val="00683388"/>
    <w:rsid w:val="00683F84"/>
    <w:rsid w:val="006A6A81"/>
    <w:rsid w:val="006D19EC"/>
    <w:rsid w:val="006D44BD"/>
    <w:rsid w:val="006D7353"/>
    <w:rsid w:val="006F7393"/>
    <w:rsid w:val="0070224F"/>
    <w:rsid w:val="007115F7"/>
    <w:rsid w:val="00785689"/>
    <w:rsid w:val="0079754B"/>
    <w:rsid w:val="007A1E6D"/>
    <w:rsid w:val="007B0EB2"/>
    <w:rsid w:val="007D10ED"/>
    <w:rsid w:val="007D357A"/>
    <w:rsid w:val="00810B6F"/>
    <w:rsid w:val="00822CE0"/>
    <w:rsid w:val="00841AB1"/>
    <w:rsid w:val="00847D23"/>
    <w:rsid w:val="00856C22"/>
    <w:rsid w:val="008C68F1"/>
    <w:rsid w:val="008F5FAB"/>
    <w:rsid w:val="008F7313"/>
    <w:rsid w:val="00921803"/>
    <w:rsid w:val="00926503"/>
    <w:rsid w:val="0093379B"/>
    <w:rsid w:val="009726D8"/>
    <w:rsid w:val="009D7308"/>
    <w:rsid w:val="009E714E"/>
    <w:rsid w:val="009F6F0E"/>
    <w:rsid w:val="009F76DB"/>
    <w:rsid w:val="00A138E2"/>
    <w:rsid w:val="00A32C3B"/>
    <w:rsid w:val="00A45F4F"/>
    <w:rsid w:val="00A600A9"/>
    <w:rsid w:val="00A87E8F"/>
    <w:rsid w:val="00AA55B7"/>
    <w:rsid w:val="00AA5B9E"/>
    <w:rsid w:val="00AB2407"/>
    <w:rsid w:val="00AB53DF"/>
    <w:rsid w:val="00AB71F2"/>
    <w:rsid w:val="00AE3A7B"/>
    <w:rsid w:val="00B07E5C"/>
    <w:rsid w:val="00B73B55"/>
    <w:rsid w:val="00B811F7"/>
    <w:rsid w:val="00B83BA2"/>
    <w:rsid w:val="00BA5BB7"/>
    <w:rsid w:val="00BA5DC6"/>
    <w:rsid w:val="00BA6196"/>
    <w:rsid w:val="00BA7C1E"/>
    <w:rsid w:val="00BC6D8C"/>
    <w:rsid w:val="00BF1E19"/>
    <w:rsid w:val="00C34006"/>
    <w:rsid w:val="00C36B4C"/>
    <w:rsid w:val="00C426B1"/>
    <w:rsid w:val="00C66160"/>
    <w:rsid w:val="00C721AC"/>
    <w:rsid w:val="00C754EA"/>
    <w:rsid w:val="00C80625"/>
    <w:rsid w:val="00C90D6A"/>
    <w:rsid w:val="00CA247E"/>
    <w:rsid w:val="00CA6D21"/>
    <w:rsid w:val="00CA752A"/>
    <w:rsid w:val="00CC5A9C"/>
    <w:rsid w:val="00CC72B6"/>
    <w:rsid w:val="00CE5BF4"/>
    <w:rsid w:val="00CF2AA9"/>
    <w:rsid w:val="00D0218D"/>
    <w:rsid w:val="00D20DC8"/>
    <w:rsid w:val="00D25FB5"/>
    <w:rsid w:val="00D26A9E"/>
    <w:rsid w:val="00D33E46"/>
    <w:rsid w:val="00D44223"/>
    <w:rsid w:val="00D46AA1"/>
    <w:rsid w:val="00D54E72"/>
    <w:rsid w:val="00DA2529"/>
    <w:rsid w:val="00DB130A"/>
    <w:rsid w:val="00DB138B"/>
    <w:rsid w:val="00DB2EBB"/>
    <w:rsid w:val="00DB3243"/>
    <w:rsid w:val="00DB4AEC"/>
    <w:rsid w:val="00DC10A1"/>
    <w:rsid w:val="00DC655F"/>
    <w:rsid w:val="00DD0B59"/>
    <w:rsid w:val="00DD7EBD"/>
    <w:rsid w:val="00DF62B6"/>
    <w:rsid w:val="00E07225"/>
    <w:rsid w:val="00E342E6"/>
    <w:rsid w:val="00E5409F"/>
    <w:rsid w:val="00EB19A2"/>
    <w:rsid w:val="00EE6488"/>
    <w:rsid w:val="00EF3395"/>
    <w:rsid w:val="00F021FA"/>
    <w:rsid w:val="00F053DA"/>
    <w:rsid w:val="00F16BEA"/>
    <w:rsid w:val="00F22472"/>
    <w:rsid w:val="00F576B9"/>
    <w:rsid w:val="00F62E97"/>
    <w:rsid w:val="00F64209"/>
    <w:rsid w:val="00F93BF5"/>
    <w:rsid w:val="00FD2C3C"/>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 w:type="paragraph" w:styleId="NormalWeb">
    <w:name w:val="Normal (Web)"/>
    <w:basedOn w:val="Normal"/>
    <w:uiPriority w:val="99"/>
    <w:unhideWhenUsed/>
    <w:rsid w:val="00BA7C1E"/>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