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169D" w:rsidP="00D1169D">
      <w:pPr>
        <w:pStyle w:val="Title"/>
        <w:outlineLvl w:val="0"/>
        <w:rPr>
          <w:szCs w:val="22"/>
        </w:rPr>
      </w:pPr>
      <w:bookmarkStart w:id="0" w:name="_GoBack"/>
      <w:bookmarkEnd w:id="0"/>
      <w:r>
        <w:rPr>
          <w:szCs w:val="22"/>
        </w:rPr>
        <w:t>Before the</w:t>
      </w:r>
    </w:p>
    <w:p w:rsidR="00D1169D" w:rsidP="00D1169D">
      <w:pPr>
        <w:pStyle w:val="Subtitle"/>
        <w:ind w:firstLine="0"/>
        <w:outlineLvl w:val="0"/>
      </w:pPr>
      <w:r>
        <w:t>Federal Communications Commission</w:t>
      </w:r>
    </w:p>
    <w:p w:rsidR="00D1169D" w:rsidP="00D1169D">
      <w:pPr>
        <w:jc w:val="center"/>
        <w:outlineLvl w:val="0"/>
        <w:rPr>
          <w:b/>
        </w:rPr>
      </w:pPr>
      <w:r>
        <w:rPr>
          <w:b/>
        </w:rPr>
        <w:t>Washington, D.C. 20554</w:t>
      </w:r>
    </w:p>
    <w:p w:rsidR="00D1169D" w:rsidP="00D1169D">
      <w:pPr>
        <w:tabs>
          <w:tab w:val="left" w:pos="-720"/>
        </w:tabs>
        <w:suppressAutoHyphens/>
        <w:spacing w:line="223" w:lineRule="auto"/>
        <w:rPr>
          <w:spacing w:val="-2"/>
        </w:rPr>
      </w:pPr>
    </w:p>
    <w:tbl>
      <w:tblPr>
        <w:tblW w:w="9180" w:type="dxa"/>
        <w:tblLayout w:type="fixed"/>
        <w:tblLook w:val="04A0"/>
      </w:tblPr>
      <w:tblGrid>
        <w:gridCol w:w="4504"/>
        <w:gridCol w:w="604"/>
        <w:gridCol w:w="4072"/>
      </w:tblGrid>
      <w:tr w:rsidTr="00D1169D">
        <w:tblPrEx>
          <w:tblW w:w="9180" w:type="dxa"/>
          <w:tblLayout w:type="fixed"/>
          <w:tblLook w:val="04A0"/>
        </w:tblPrEx>
        <w:trPr>
          <w:trHeight w:val="2421"/>
        </w:trPr>
        <w:tc>
          <w:tcPr>
            <w:tcW w:w="4505" w:type="dxa"/>
          </w:tcPr>
          <w:p w:rsidR="00D1169D">
            <w:pPr>
              <w:pStyle w:val="TOAHeading"/>
              <w:tabs>
                <w:tab w:val="center" w:pos="4680"/>
              </w:tabs>
              <w:rPr>
                <w:spacing w:val="-2"/>
              </w:rPr>
            </w:pPr>
            <w:r>
              <w:rPr>
                <w:spacing w:val="-2"/>
              </w:rPr>
              <w:t>In the Matter of</w:t>
            </w:r>
          </w:p>
          <w:p w:rsidR="00D1169D"/>
          <w:p w:rsidR="00D1169D">
            <w:r>
              <w:t>Telplex</w:t>
            </w:r>
            <w:r>
              <w:t xml:space="preserve"> Communications</w:t>
            </w:r>
          </w:p>
          <w:p w:rsidR="00D1169D">
            <w:pPr>
              <w:tabs>
                <w:tab w:val="center" w:pos="4680"/>
              </w:tabs>
              <w:suppressAutoHyphens/>
              <w:ind w:firstLine="720"/>
            </w:pPr>
          </w:p>
          <w:p w:rsidR="00D1169D">
            <w:pPr>
              <w:pStyle w:val="TOAHeading"/>
              <w:tabs>
                <w:tab w:val="center" w:pos="4680"/>
              </w:tabs>
            </w:pPr>
            <w:r>
              <w:t xml:space="preserve">Complaint Regarding </w:t>
            </w:r>
          </w:p>
          <w:p w:rsidR="00D1169D">
            <w:pPr>
              <w:pStyle w:val="TOAHeading"/>
              <w:tabs>
                <w:tab w:val="center" w:pos="4680"/>
              </w:tabs>
            </w:pPr>
            <w:r>
              <w:t>Unauthorized Change of</w:t>
            </w:r>
          </w:p>
          <w:p w:rsidR="00D1169D">
            <w:pPr>
              <w:pStyle w:val="TOAHeading"/>
              <w:tabs>
                <w:tab w:val="center" w:pos="4680"/>
              </w:tabs>
            </w:pPr>
            <w:r>
              <w:rPr>
                <w:szCs w:val="22"/>
              </w:rPr>
              <w:t>Subscriber’s</w:t>
            </w:r>
            <w:r>
              <w:t xml:space="preserve"> Telecommunications Carrier</w:t>
            </w:r>
          </w:p>
        </w:tc>
        <w:tc>
          <w:tcPr>
            <w:tcW w:w="604" w:type="dxa"/>
            <w:hideMark/>
          </w:tcPr>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tc>
        <w:tc>
          <w:tcPr>
            <w:tcW w:w="4073" w:type="dxa"/>
          </w:tcPr>
          <w:p w:rsidR="00D1169D">
            <w:pPr>
              <w:tabs>
                <w:tab w:val="center" w:pos="4680"/>
              </w:tabs>
              <w:suppressAutoHyphens/>
              <w:rPr>
                <w:spacing w:val="-2"/>
              </w:rPr>
            </w:pPr>
          </w:p>
          <w:p w:rsidR="00D1169D">
            <w:pPr>
              <w:tabs>
                <w:tab w:val="center" w:pos="4680"/>
              </w:tabs>
              <w:suppressAutoHyphens/>
              <w:rPr>
                <w:spacing w:val="-2"/>
              </w:rPr>
            </w:pPr>
          </w:p>
          <w:p w:rsidR="00D1169D">
            <w:pPr>
              <w:pStyle w:val="TOAHeading"/>
              <w:ind w:left="-30"/>
            </w:pPr>
            <w:r>
              <w:rPr>
                <w:szCs w:val="22"/>
              </w:rPr>
              <w:t xml:space="preserve">Complaint No.  </w:t>
            </w:r>
            <w:r w:rsidR="009F41B4">
              <w:rPr>
                <w:szCs w:val="22"/>
              </w:rPr>
              <w:t>3281755</w:t>
            </w:r>
          </w:p>
          <w:p w:rsidR="00D1169D">
            <w:r>
              <w:t xml:space="preserve">                           </w:t>
            </w:r>
          </w:p>
          <w:p w:rsidR="00D1169D">
            <w:pPr>
              <w:pStyle w:val="TOAHeading"/>
              <w:rPr>
                <w:szCs w:val="22"/>
              </w:rPr>
            </w:pPr>
            <w:r>
              <w:rPr>
                <w:szCs w:val="22"/>
              </w:rPr>
              <w:t xml:space="preserve">                         </w:t>
            </w:r>
          </w:p>
          <w:p w:rsidR="00D1169D">
            <w:r>
              <w:t xml:space="preserve">                      </w:t>
            </w:r>
          </w:p>
        </w:tc>
      </w:tr>
    </w:tbl>
    <w:p w:rsidR="00D1169D" w:rsidP="00D1169D">
      <w:pPr>
        <w:jc w:val="center"/>
        <w:rPr>
          <w:b/>
        </w:rPr>
      </w:pPr>
      <w:r>
        <w:rPr>
          <w:b/>
        </w:rPr>
        <w:t>ORDER</w:t>
      </w:r>
    </w:p>
    <w:p w:rsidR="00D1169D" w:rsidP="00D1169D">
      <w:pPr>
        <w:tabs>
          <w:tab w:val="left" w:pos="-720"/>
        </w:tabs>
        <w:suppressAutoHyphens/>
        <w:spacing w:line="223" w:lineRule="auto"/>
        <w:ind w:left="720"/>
        <w:rPr>
          <w:spacing w:val="-2"/>
        </w:rPr>
      </w:pPr>
    </w:p>
    <w:p w:rsidR="00D1169D" w:rsidRPr="00FA1F2A" w:rsidP="00D1169D">
      <w:pPr>
        <w:tabs>
          <w:tab w:val="left" w:pos="0"/>
          <w:tab w:val="left" w:pos="5760"/>
        </w:tabs>
        <w:suppressAutoHyphens/>
        <w:spacing w:line="223" w:lineRule="auto"/>
        <w:rPr>
          <w:b/>
          <w:spacing w:val="-2"/>
        </w:rPr>
      </w:pPr>
      <w:r>
        <w:rPr>
          <w:b/>
          <w:spacing w:val="-2"/>
        </w:rPr>
        <w:t xml:space="preserve">Adopted: </w:t>
      </w:r>
      <w:r w:rsidR="00FA1F2A">
        <w:rPr>
          <w:b/>
          <w:spacing w:val="-2"/>
        </w:rPr>
        <w:t>September 26</w:t>
      </w:r>
      <w:r>
        <w:rPr>
          <w:b/>
          <w:spacing w:val="-2"/>
        </w:rPr>
        <w:t>, 2019</w:t>
      </w:r>
      <w:r>
        <w:rPr>
          <w:b/>
          <w:spacing w:val="-2"/>
        </w:rPr>
        <w:tab/>
      </w:r>
      <w:r w:rsidR="003A4EC1">
        <w:rPr>
          <w:b/>
          <w:spacing w:val="-2"/>
        </w:rPr>
        <w:tab/>
      </w:r>
      <w:r>
        <w:rPr>
          <w:b/>
          <w:spacing w:val="-2"/>
        </w:rPr>
        <w:t xml:space="preserve">Released: </w:t>
      </w:r>
      <w:r w:rsidR="00FA1F2A">
        <w:rPr>
          <w:b/>
          <w:spacing w:val="-2"/>
        </w:rPr>
        <w:t>September 26</w:t>
      </w:r>
      <w:r>
        <w:rPr>
          <w:b/>
          <w:spacing w:val="-2"/>
        </w:rPr>
        <w:t>, 2019</w:t>
      </w:r>
    </w:p>
    <w:p w:rsidR="00D1169D" w:rsidP="00D1169D"/>
    <w:p w:rsidR="00D1169D" w:rsidP="00D1169D">
      <w:pPr>
        <w:spacing w:after="120"/>
      </w:pPr>
      <w:r>
        <w:t>By the Deputy Chief, Consumer Policy Division, Consumer and Governmental Affairs Bureau:</w:t>
      </w:r>
    </w:p>
    <w:p w:rsidR="00D1169D" w:rsidP="00D1169D">
      <w:pPr>
        <w:numPr>
          <w:ilvl w:val="0"/>
          <w:numId w:val="7"/>
        </w:numPr>
        <w:tabs>
          <w:tab w:val="num" w:pos="0"/>
        </w:tabs>
        <w:snapToGrid w:val="0"/>
        <w:spacing w:after="120"/>
        <w:ind w:left="0" w:firstLine="720"/>
      </w:pPr>
      <w:r>
        <w:t>In this Order, we consider a complaint</w:t>
      </w:r>
      <w:r>
        <w:rPr>
          <w:szCs w:val="22"/>
        </w:rPr>
        <w:t xml:space="preserve"> </w:t>
      </w:r>
      <w:r>
        <w:t xml:space="preserve">alleging that </w:t>
      </w:r>
      <w:r w:rsidR="009F41B4">
        <w:t>Telplex</w:t>
      </w:r>
      <w:r>
        <w:t xml:space="preserve"> Communications (</w:t>
      </w:r>
      <w:r w:rsidR="009F41B4">
        <w:t>Telplex</w:t>
      </w:r>
      <w:r>
        <w:t>) changed Complainant’s telecommunications service provider without obtaining authorization and verification from Complainant as required by the Commission’s rules.</w:t>
      </w:r>
      <w:r>
        <w:rPr>
          <w:rStyle w:val="FootnoteReference"/>
        </w:rPr>
        <w:footnoteReference w:id="3"/>
      </w:r>
      <w:r>
        <w:t xml:space="preserve">  We conclude that </w:t>
      </w:r>
      <w:r w:rsidR="009F41B4">
        <w:t>Telplex</w:t>
      </w:r>
      <w:r>
        <w:t xml:space="preserve"> has responded fully to the Complainant’s complaint and has taken action to resolve the complaint.</w:t>
      </w:r>
    </w:p>
    <w:p w:rsidR="00D1169D" w:rsidP="00D1169D">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3B45ED">
        <w:t xml:space="preserve">also </w:t>
      </w:r>
      <w:r>
        <w:t>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t xml:space="preserve"> </w:t>
      </w:r>
    </w:p>
    <w:p w:rsidR="00D1169D" w:rsidP="00D1169D">
      <w:pPr>
        <w:numPr>
          <w:ilvl w:val="0"/>
          <w:numId w:val="7"/>
        </w:numPr>
        <w:tabs>
          <w:tab w:val="num" w:pos="0"/>
        </w:tabs>
        <w:snapToGrid w:val="0"/>
        <w:spacing w:after="120"/>
        <w:ind w:left="0" w:firstLine="720"/>
      </w:pPr>
      <w:r>
        <w:t xml:space="preserve">We received Complainant’s complaint alleging that </w:t>
      </w:r>
      <w:r w:rsidR="009F41B4">
        <w:t>Telplex</w:t>
      </w:r>
      <w:r>
        <w:t xml:space="preserve"> had changed Complainant’s telecommunications service provider without Complainant’s authorization.  Pursuant to our rules, we </w:t>
      </w:r>
      <w:r>
        <w:t xml:space="preserve">notified </w:t>
      </w:r>
      <w:r w:rsidR="005774C2">
        <w:t>Telplex</w:t>
      </w:r>
      <w:r>
        <w:t xml:space="preserve"> of the complaint.</w:t>
      </w:r>
      <w:r>
        <w:rPr>
          <w:rStyle w:val="FootnoteReference"/>
          <w:szCs w:val="22"/>
        </w:rPr>
        <w:footnoteReference w:id="8"/>
      </w:r>
      <w:r>
        <w:t xml:space="preserve">  Based on the information provided by </w:t>
      </w:r>
      <w:r w:rsidR="005774C2">
        <w:t>Telplex</w:t>
      </w:r>
      <w:r>
        <w:t xml:space="preserve">, it appears that </w:t>
      </w:r>
      <w:r w:rsidR="005774C2">
        <w:t>Telplex</w:t>
      </w:r>
      <w:r>
        <w:t xml:space="preserve"> has fully absolved Complainant of all charges assessed by </w:t>
      </w:r>
      <w:r w:rsidR="005774C2">
        <w:t>Telplex</w:t>
      </w:r>
      <w:r>
        <w:t xml:space="preserve"> in a manner consistent with the Commission’s liability rules.</w:t>
      </w:r>
      <w:r>
        <w:rPr>
          <w:rStyle w:val="FootnoteReference"/>
        </w:rPr>
        <w:footnoteReference w:id="9"/>
      </w:r>
      <w:r>
        <w:t xml:space="preserve">  We therefore find that the complaint referenced herein ha</w:t>
      </w:r>
      <w:r w:rsidR="004F37F4">
        <w:t>s</w:t>
      </w:r>
      <w:r>
        <w:t xml:space="preserve"> been resolved.</w:t>
      </w:r>
      <w:r>
        <w:rPr>
          <w:rStyle w:val="FootnoteReference"/>
        </w:rPr>
        <w:footnoteReference w:id="10"/>
      </w:r>
    </w:p>
    <w:p w:rsidR="00D1169D" w:rsidP="00D1169D">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B86409">
        <w:t>Telplex Communications</w:t>
      </w:r>
      <w:r>
        <w:t xml:space="preserve"> </w:t>
      </w:r>
      <w:r w:rsidR="004F37F4">
        <w:t>IS</w:t>
      </w:r>
      <w:r>
        <w:t xml:space="preserve"> RESOLVED.</w:t>
      </w:r>
    </w:p>
    <w:p w:rsidR="00D1169D" w:rsidP="00D1169D">
      <w:pPr>
        <w:numPr>
          <w:ilvl w:val="0"/>
          <w:numId w:val="7"/>
        </w:numPr>
        <w:tabs>
          <w:tab w:val="num" w:pos="0"/>
        </w:tabs>
        <w:snapToGrid w:val="0"/>
        <w:spacing w:after="120"/>
        <w:ind w:left="0" w:firstLine="720"/>
      </w:pPr>
      <w:r>
        <w:t>IT IS FURTHER ORDERED that this Order is effective upon release.</w:t>
      </w:r>
    </w:p>
    <w:p w:rsidR="00D1169D" w:rsidRPr="00E40333" w:rsidP="00E40333">
      <w:pPr>
        <w:spacing w:after="120"/>
        <w:ind w:left="3600" w:right="270"/>
        <w:outlineLvl w:val="0"/>
      </w:pPr>
      <w:r>
        <w:t>FEDERAL COMMUNICATIONS COMMISSION</w:t>
      </w:r>
      <w:r>
        <w:tab/>
      </w:r>
    </w:p>
    <w:p w:rsidR="00D1169D" w:rsidP="00D1169D">
      <w:pPr>
        <w:ind w:right="270"/>
        <w:outlineLvl w:val="0"/>
        <w:rPr>
          <w:szCs w:val="22"/>
        </w:rPr>
      </w:pPr>
      <w:r>
        <w:rPr>
          <w:szCs w:val="22"/>
        </w:rPr>
        <w:tab/>
      </w:r>
      <w:r>
        <w:rPr>
          <w:szCs w:val="22"/>
        </w:rPr>
        <w:tab/>
      </w:r>
      <w:r>
        <w:rPr>
          <w:szCs w:val="22"/>
        </w:rPr>
        <w:tab/>
      </w:r>
      <w:r>
        <w:rPr>
          <w:szCs w:val="22"/>
        </w:rPr>
        <w:tab/>
      </w:r>
      <w:r>
        <w:rPr>
          <w:szCs w:val="22"/>
        </w:rPr>
        <w:tab/>
      </w:r>
      <w:r w:rsidR="00047074">
        <w:rPr>
          <w:noProof/>
          <w:szCs w:val="22"/>
        </w:rPr>
        <w:drawing>
          <wp:inline distT="0" distB="0" distL="0" distR="0">
            <wp:extent cx="2695575" cy="1400175"/>
            <wp:effectExtent l="0" t="0" r="0" b="0"/>
            <wp:docPr id="3" name="Picture 1" descr="sig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02482" name="Picture 1" descr="sig 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D1169D" w:rsidP="00D1169D">
      <w:pPr>
        <w:ind w:right="270"/>
        <w:jc w:val="cente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0427">
      <w:r>
        <w:separator/>
      </w:r>
    </w:p>
  </w:footnote>
  <w:footnote w:type="continuationSeparator" w:id="1">
    <w:p w:rsidR="00D50427" w:rsidP="00C721AC">
      <w:pPr>
        <w:spacing w:before="120"/>
        <w:rPr>
          <w:sz w:val="20"/>
        </w:rPr>
      </w:pPr>
      <w:r>
        <w:rPr>
          <w:sz w:val="20"/>
        </w:rPr>
        <w:t xml:space="preserve">(Continued from previous page)  </w:t>
      </w:r>
      <w:r>
        <w:rPr>
          <w:sz w:val="20"/>
        </w:rPr>
        <w:separator/>
      </w:r>
    </w:p>
  </w:footnote>
  <w:footnote w:type="continuationNotice" w:id="2">
    <w:p w:rsidR="00D50427" w:rsidP="00C721AC">
      <w:pPr>
        <w:jc w:val="right"/>
        <w:rPr>
          <w:sz w:val="20"/>
        </w:rPr>
      </w:pPr>
      <w:r>
        <w:rPr>
          <w:sz w:val="20"/>
        </w:rPr>
        <w:t>(continued….)</w:t>
      </w:r>
    </w:p>
  </w:footnote>
  <w:footnote w:id="3">
    <w:p w:rsidR="00D1169D" w:rsidP="00D1169D">
      <w:pPr>
        <w:pStyle w:val="FootnoteText"/>
      </w:pPr>
      <w:r>
        <w:rPr>
          <w:rStyle w:val="FootnoteReference"/>
        </w:rPr>
        <w:footnoteRef/>
      </w:r>
      <w:r>
        <w:t xml:space="preserve"> </w:t>
      </w:r>
      <w:r>
        <w:rPr>
          <w:i/>
        </w:rPr>
        <w:t xml:space="preserve">See </w:t>
      </w:r>
      <w:r>
        <w:t>Informal Complaint No. 3</w:t>
      </w:r>
      <w:r w:rsidR="009F41B4">
        <w:t>281755</w:t>
      </w:r>
      <w:r>
        <w:t xml:space="preserve"> </w:t>
      </w:r>
      <w:r w:rsidR="00DA7687">
        <w:t>(</w:t>
      </w:r>
      <w:r>
        <w:t xml:space="preserve">filed </w:t>
      </w:r>
      <w:r w:rsidR="009F41B4">
        <w:t>May</w:t>
      </w:r>
      <w:r>
        <w:t xml:space="preserve"> 2</w:t>
      </w:r>
      <w:r w:rsidR="009F41B4">
        <w:t>1</w:t>
      </w:r>
      <w:r>
        <w:t xml:space="preserve">, 2019); </w:t>
      </w:r>
      <w:r>
        <w:rPr>
          <w:i/>
        </w:rPr>
        <w:t>see also</w:t>
      </w:r>
      <w:r>
        <w:t xml:space="preserve"> 47 CFR §§ 64.1100 – 64.1190.</w:t>
      </w:r>
    </w:p>
  </w:footnote>
  <w:footnote w:id="4">
    <w:p w:rsidR="00D1169D" w:rsidP="00D1169D">
      <w:pPr>
        <w:pStyle w:val="FootnoteText"/>
      </w:pPr>
      <w:r>
        <w:rPr>
          <w:rStyle w:val="FootnoteReference"/>
        </w:rPr>
        <w:footnoteRef/>
      </w:r>
      <w:r>
        <w:t xml:space="preserve"> 47 U.S.C. § 258(a).</w:t>
      </w:r>
    </w:p>
  </w:footnote>
  <w:footnote w:id="5">
    <w:p w:rsidR="00D1169D" w:rsidP="00D1169D">
      <w:pPr>
        <w:pStyle w:val="FootnoteText"/>
        <w:tabs>
          <w:tab w:val="left" w:pos="0"/>
        </w:tabs>
      </w:pPr>
      <w:r>
        <w:rPr>
          <w:rStyle w:val="FootnoteReference"/>
        </w:rPr>
        <w:footnoteRef/>
      </w:r>
      <w:r>
        <w:t xml:space="preserve"> </w:t>
      </w:r>
      <w:r>
        <w:rPr>
          <w:i/>
        </w:rPr>
        <w:t>See</w:t>
      </w:r>
      <w:r>
        <w:t xml:space="preserve"> 47 CFR § 64.1120.</w:t>
      </w:r>
    </w:p>
  </w:footnote>
  <w:footnote w:id="6">
    <w:p w:rsidR="00D1169D" w:rsidP="00D1169D">
      <w:pPr>
        <w:pStyle w:val="FootnoteText"/>
        <w:tabs>
          <w:tab w:val="left" w:pos="0"/>
        </w:tabs>
      </w:pPr>
      <w:r>
        <w:rPr>
          <w:rStyle w:val="FootnoteReference"/>
        </w:rPr>
        <w:footnoteRef/>
      </w:r>
      <w:r>
        <w:rPr>
          <w:i/>
        </w:rPr>
        <w:t xml:space="preserve"> Id.</w:t>
      </w:r>
      <w:r>
        <w:t xml:space="preserve"> § 64.1120(c).  Section 64.1130 details the requirements for letter of agency form and content for written or electronically signed authorizations.  </w:t>
      </w:r>
      <w:r>
        <w:rPr>
          <w:i/>
        </w:rPr>
        <w:t>Id.</w:t>
      </w:r>
      <w:r>
        <w:t xml:space="preserve"> § 64.1130.</w:t>
      </w:r>
    </w:p>
  </w:footnote>
  <w:footnote w:id="7">
    <w:p w:rsidR="00D1169D" w:rsidP="00D1169D">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D1169D" w:rsidP="004F37F4">
      <w:pPr>
        <w:pStyle w:val="FootnoteText"/>
        <w:tabs>
          <w:tab w:val="left" w:pos="0"/>
        </w:tabs>
      </w:pPr>
      <w:r>
        <w:rPr>
          <w:rStyle w:val="FootnoteReference"/>
        </w:rPr>
        <w:footnoteRef/>
      </w:r>
      <w:r>
        <w:rPr>
          <w:i/>
        </w:rPr>
        <w:t xml:space="preserve"> </w:t>
      </w:r>
      <w:r w:rsidR="004F37F4">
        <w:rPr>
          <w:i/>
        </w:rPr>
        <w:t>Id</w:t>
      </w:r>
      <w:r w:rsidR="004F37F4">
        <w:t xml:space="preserve">. § 1.719 (Commission procedure for informal complaint filed pursuant to section 258 of the Act); </w:t>
      </w:r>
      <w:r w:rsidR="004F37F4">
        <w:rPr>
          <w:i/>
        </w:rPr>
        <w:t>id</w:t>
      </w:r>
      <w:r w:rsidR="004F37F4">
        <w:t xml:space="preserve">. § 64.1150 (procedures for resolution of unauthorized changes in preferred carrier).  </w:t>
      </w:r>
    </w:p>
  </w:footnote>
  <w:footnote w:id="9">
    <w:p w:rsidR="00D1169D" w:rsidP="004F37F4">
      <w:pPr>
        <w:pStyle w:val="FootnoteText"/>
        <w:tabs>
          <w:tab w:val="left" w:pos="0"/>
        </w:tabs>
      </w:pPr>
      <w:r>
        <w:rPr>
          <w:rStyle w:val="FootnoteReference"/>
        </w:rPr>
        <w:footnoteRef/>
      </w:r>
      <w:r>
        <w:rPr>
          <w:i/>
        </w:rPr>
        <w:t xml:space="preserve"> </w:t>
      </w:r>
      <w:r w:rsidRPr="001D16CB" w:rsidR="001D16CB">
        <w:rPr>
          <w:i/>
        </w:rPr>
        <w:t>Id</w:t>
      </w:r>
      <w:r w:rsidR="001D16CB">
        <w:t>.</w:t>
      </w:r>
      <w:r>
        <w:t xml:space="preserve"> § 64.1160</w:t>
      </w:r>
      <w:r w:rsidR="004F37F4">
        <w:t xml:space="preserve">; </w:t>
      </w:r>
      <w:r w:rsidR="004F37F4">
        <w:rPr>
          <w:i/>
        </w:rPr>
        <w:t>s</w:t>
      </w:r>
      <w:r w:rsidRPr="004F37F4" w:rsidR="004F37F4">
        <w:rPr>
          <w:i/>
        </w:rPr>
        <w:t>ee</w:t>
      </w:r>
      <w:r w:rsidR="004F37F4">
        <w:rPr>
          <w:i/>
        </w:rPr>
        <w:t xml:space="preserve"> also </w:t>
      </w:r>
      <w:r w:rsidR="005774C2">
        <w:t>Telplex</w:t>
      </w:r>
      <w:r w:rsidR="004F37F4">
        <w:t>’s Response to Informal Complaint No. 3</w:t>
      </w:r>
      <w:r w:rsidR="005774C2">
        <w:t>281755</w:t>
      </w:r>
      <w:r w:rsidR="004F37F4">
        <w:t xml:space="preserve"> (filed </w:t>
      </w:r>
      <w:r w:rsidR="005774C2">
        <w:t>June</w:t>
      </w:r>
      <w:r w:rsidR="004F37F4">
        <w:t xml:space="preserve"> </w:t>
      </w:r>
      <w:r w:rsidR="005774C2">
        <w:t>21</w:t>
      </w:r>
      <w:r w:rsidR="004F37F4">
        <w:t>, 2019).</w:t>
      </w:r>
      <w:r>
        <w:t xml:space="preserve">  </w:t>
      </w:r>
    </w:p>
  </w:footnote>
  <w:footnote w:id="10">
    <w:p w:rsidR="00D1169D" w:rsidP="00D1169D">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005774C2">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p w:rsidR="00D1169D" w:rsidP="00D116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FA1F2A">
      <w:t>963</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DA 19-</w:t>
    </w:r>
    <w:r w:rsidR="00FA1F2A">
      <w:rPr>
        <w:spacing w:val="-2"/>
      </w:rPr>
      <w:t>963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47074"/>
    <w:rsid w:val="000550BC"/>
    <w:rsid w:val="000875BF"/>
    <w:rsid w:val="00096D8C"/>
    <w:rsid w:val="000C0B65"/>
    <w:rsid w:val="000E05FE"/>
    <w:rsid w:val="000E3D42"/>
    <w:rsid w:val="00122BD5"/>
    <w:rsid w:val="00133F79"/>
    <w:rsid w:val="00194A66"/>
    <w:rsid w:val="001B1CAF"/>
    <w:rsid w:val="001D16CB"/>
    <w:rsid w:val="001D6BCF"/>
    <w:rsid w:val="001E01CA"/>
    <w:rsid w:val="00233E71"/>
    <w:rsid w:val="00275CF5"/>
    <w:rsid w:val="0028301F"/>
    <w:rsid w:val="00285017"/>
    <w:rsid w:val="002A2D2E"/>
    <w:rsid w:val="002C00E8"/>
    <w:rsid w:val="00305DCB"/>
    <w:rsid w:val="00343749"/>
    <w:rsid w:val="00353C65"/>
    <w:rsid w:val="003660ED"/>
    <w:rsid w:val="003A4EC1"/>
    <w:rsid w:val="003B0550"/>
    <w:rsid w:val="003B45ED"/>
    <w:rsid w:val="003B694F"/>
    <w:rsid w:val="003F171C"/>
    <w:rsid w:val="00412FC5"/>
    <w:rsid w:val="00422276"/>
    <w:rsid w:val="004242F1"/>
    <w:rsid w:val="00445A00"/>
    <w:rsid w:val="00451B0F"/>
    <w:rsid w:val="004C2EE3"/>
    <w:rsid w:val="004E4A22"/>
    <w:rsid w:val="004F37F4"/>
    <w:rsid w:val="00511968"/>
    <w:rsid w:val="005328A1"/>
    <w:rsid w:val="0055614C"/>
    <w:rsid w:val="00566D06"/>
    <w:rsid w:val="005774C2"/>
    <w:rsid w:val="005D20F0"/>
    <w:rsid w:val="005E14C2"/>
    <w:rsid w:val="00607BA5"/>
    <w:rsid w:val="0061180A"/>
    <w:rsid w:val="00626EB6"/>
    <w:rsid w:val="00655D03"/>
    <w:rsid w:val="0066154F"/>
    <w:rsid w:val="00683388"/>
    <w:rsid w:val="00683F84"/>
    <w:rsid w:val="006A6A81"/>
    <w:rsid w:val="006F7393"/>
    <w:rsid w:val="0070224F"/>
    <w:rsid w:val="007115F7"/>
    <w:rsid w:val="0071745E"/>
    <w:rsid w:val="00785689"/>
    <w:rsid w:val="0079754B"/>
    <w:rsid w:val="007A1E6D"/>
    <w:rsid w:val="007B0EB2"/>
    <w:rsid w:val="007D10ED"/>
    <w:rsid w:val="00810B6F"/>
    <w:rsid w:val="00812C84"/>
    <w:rsid w:val="00822CE0"/>
    <w:rsid w:val="00841AB1"/>
    <w:rsid w:val="00856C22"/>
    <w:rsid w:val="008B53C1"/>
    <w:rsid w:val="008B6A43"/>
    <w:rsid w:val="008C68F1"/>
    <w:rsid w:val="008D48DB"/>
    <w:rsid w:val="008F5FAB"/>
    <w:rsid w:val="008F7313"/>
    <w:rsid w:val="00921803"/>
    <w:rsid w:val="00926503"/>
    <w:rsid w:val="009726D8"/>
    <w:rsid w:val="009D7308"/>
    <w:rsid w:val="009E714E"/>
    <w:rsid w:val="009F41B4"/>
    <w:rsid w:val="009F76DB"/>
    <w:rsid w:val="00A138E2"/>
    <w:rsid w:val="00A32C3B"/>
    <w:rsid w:val="00A34019"/>
    <w:rsid w:val="00A45F4F"/>
    <w:rsid w:val="00A600A9"/>
    <w:rsid w:val="00A87E8F"/>
    <w:rsid w:val="00AA55B7"/>
    <w:rsid w:val="00AA5B9E"/>
    <w:rsid w:val="00AB01A8"/>
    <w:rsid w:val="00AB2407"/>
    <w:rsid w:val="00AB53DF"/>
    <w:rsid w:val="00AB71F2"/>
    <w:rsid w:val="00B07E5C"/>
    <w:rsid w:val="00B811F7"/>
    <w:rsid w:val="00B83BA2"/>
    <w:rsid w:val="00B86409"/>
    <w:rsid w:val="00BA5BB7"/>
    <w:rsid w:val="00BA5DC6"/>
    <w:rsid w:val="00BA6196"/>
    <w:rsid w:val="00BC6D8C"/>
    <w:rsid w:val="00C34006"/>
    <w:rsid w:val="00C36B4C"/>
    <w:rsid w:val="00C426B1"/>
    <w:rsid w:val="00C66160"/>
    <w:rsid w:val="00C721AC"/>
    <w:rsid w:val="00C90D6A"/>
    <w:rsid w:val="00CA247E"/>
    <w:rsid w:val="00CA6D21"/>
    <w:rsid w:val="00CA752A"/>
    <w:rsid w:val="00CC72B6"/>
    <w:rsid w:val="00CF2AA9"/>
    <w:rsid w:val="00D0218D"/>
    <w:rsid w:val="00D1169D"/>
    <w:rsid w:val="00D25FB5"/>
    <w:rsid w:val="00D33E46"/>
    <w:rsid w:val="00D44223"/>
    <w:rsid w:val="00D50427"/>
    <w:rsid w:val="00DA2529"/>
    <w:rsid w:val="00DA7687"/>
    <w:rsid w:val="00DB130A"/>
    <w:rsid w:val="00DB2EBB"/>
    <w:rsid w:val="00DC10A1"/>
    <w:rsid w:val="00DC655F"/>
    <w:rsid w:val="00DD0B59"/>
    <w:rsid w:val="00DD7EBD"/>
    <w:rsid w:val="00DF62B6"/>
    <w:rsid w:val="00E07225"/>
    <w:rsid w:val="00E342E6"/>
    <w:rsid w:val="00E40333"/>
    <w:rsid w:val="00E5409F"/>
    <w:rsid w:val="00EE6488"/>
    <w:rsid w:val="00F021FA"/>
    <w:rsid w:val="00F57146"/>
    <w:rsid w:val="00F62E97"/>
    <w:rsid w:val="00F64209"/>
    <w:rsid w:val="00F93BF5"/>
    <w:rsid w:val="00FA1684"/>
    <w:rsid w:val="00FA1F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