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D50281">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8A0F2A">
        <w:rPr>
          <w:b/>
          <w:szCs w:val="22"/>
        </w:rPr>
        <w:t>983</w:t>
      </w:r>
      <w:bookmarkStart w:id="1" w:name="_GoBack"/>
      <w:bookmarkEnd w:id="1"/>
    </w:p>
    <w:p w:rsidR="002710BB" w:rsidRPr="00471580" w:rsidP="002710BB">
      <w:pPr>
        <w:spacing w:before="60"/>
        <w:jc w:val="right"/>
        <w:rPr>
          <w:b/>
          <w:szCs w:val="22"/>
        </w:rPr>
      </w:pPr>
      <w:r>
        <w:rPr>
          <w:b/>
          <w:szCs w:val="22"/>
        </w:rPr>
        <w:t xml:space="preserve">September </w:t>
      </w:r>
      <w:r w:rsidR="00A056A8">
        <w:rPr>
          <w:b/>
          <w:szCs w:val="22"/>
        </w:rPr>
        <w:t>30</w:t>
      </w:r>
      <w:r>
        <w:rPr>
          <w:b/>
          <w:szCs w:val="22"/>
        </w:rPr>
        <w:t>,</w:t>
      </w:r>
      <w:r w:rsidRPr="00471580" w:rsidR="00D50281">
        <w:rPr>
          <w:b/>
          <w:szCs w:val="22"/>
        </w:rPr>
        <w:t xml:space="preserve"> 201</w:t>
      </w:r>
      <w:r w:rsidRPr="00471580" w:rsidR="00CE3E5D">
        <w:rPr>
          <w:b/>
          <w:szCs w:val="22"/>
        </w:rPr>
        <w:t>9</w:t>
      </w:r>
    </w:p>
    <w:p w:rsidR="002710BB" w:rsidRPr="00471580" w:rsidP="002710BB">
      <w:pPr>
        <w:tabs>
          <w:tab w:val="left" w:pos="5900"/>
        </w:tabs>
        <w:rPr>
          <w:szCs w:val="22"/>
        </w:rPr>
      </w:pPr>
      <w:r w:rsidRPr="00471580">
        <w:rPr>
          <w:szCs w:val="22"/>
        </w:rPr>
        <w:tab/>
      </w:r>
    </w:p>
    <w:p w:rsidR="005564CC" w:rsidP="00D10B82">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w:t>
      </w:r>
      <w:r w:rsidR="008F1AED">
        <w:rPr>
          <w:b/>
          <w:bCs/>
          <w:szCs w:val="22"/>
        </w:rPr>
        <w:t>TRANSFER OF CONTROL OF U.S. TELEPACIFIC HOLDINGS CORP.</w:t>
      </w:r>
      <w:r w:rsidR="004131DC">
        <w:rPr>
          <w:b/>
          <w:bCs/>
          <w:szCs w:val="22"/>
        </w:rPr>
        <w:t xml:space="preserve"> AND ITS SUBSIDIARIES</w:t>
      </w:r>
      <w:r w:rsidR="008F1AED">
        <w:rPr>
          <w:b/>
          <w:bCs/>
          <w:szCs w:val="22"/>
        </w:rPr>
        <w:t xml:space="preserve"> TO </w:t>
      </w:r>
    </w:p>
    <w:p w:rsidR="002710BB" w:rsidRPr="00D10B82" w:rsidP="00D10B82">
      <w:pPr>
        <w:autoSpaceDE w:val="0"/>
        <w:autoSpaceDN w:val="0"/>
        <w:adjustRightInd w:val="0"/>
        <w:jc w:val="center"/>
        <w:rPr>
          <w:b/>
          <w:bCs/>
          <w:szCs w:val="22"/>
        </w:rPr>
      </w:pPr>
      <w:r>
        <w:rPr>
          <w:b/>
          <w:bCs/>
          <w:szCs w:val="22"/>
        </w:rPr>
        <w:t>TANGO PRIVATE HOLDINGS II, LLC</w:t>
      </w:r>
      <w:bookmarkEnd w:id="2"/>
      <w:bookmarkEnd w:id="3"/>
      <w:bookmarkEnd w:id="4"/>
    </w:p>
    <w:p w:rsidR="00375720" w:rsidRPr="00471580" w:rsidP="002710BB">
      <w:pPr>
        <w:jc w:val="center"/>
        <w:rPr>
          <w:b/>
          <w:bCs/>
          <w:szCs w:val="22"/>
        </w:rPr>
      </w:pPr>
      <w:r>
        <w:rPr>
          <w:b/>
          <w:bCs/>
          <w:szCs w:val="22"/>
        </w:rPr>
        <w:t xml:space="preserve"> </w:t>
      </w:r>
    </w:p>
    <w:p w:rsidR="002710BB" w:rsidRPr="00471580" w:rsidP="002710BB">
      <w:pPr>
        <w:jc w:val="center"/>
        <w:rPr>
          <w:b/>
          <w:szCs w:val="22"/>
        </w:rPr>
      </w:pPr>
      <w:r>
        <w:rPr>
          <w:b/>
          <w:bCs/>
          <w:szCs w:val="22"/>
        </w:rPr>
        <w:t>NON-</w:t>
      </w:r>
      <w:r w:rsidRPr="00471580" w:rsidR="00D50281">
        <w:rPr>
          <w:b/>
          <w:bCs/>
          <w:szCs w:val="22"/>
        </w:rPr>
        <w:t>STREA</w:t>
      </w:r>
      <w:r w:rsidRPr="00471580" w:rsidR="00D50281">
        <w:rPr>
          <w:b/>
          <w:szCs w:val="22"/>
        </w:rPr>
        <w:t>MLINED PLEADING CYCLE ESTABLISHED</w:t>
      </w:r>
    </w:p>
    <w:p w:rsidR="002710BB" w:rsidRPr="00471580" w:rsidP="002710BB">
      <w:pPr>
        <w:jc w:val="center"/>
        <w:rPr>
          <w:b/>
          <w:szCs w:val="22"/>
        </w:rPr>
      </w:pPr>
    </w:p>
    <w:p w:rsidR="002710BB" w:rsidRPr="00471580" w:rsidP="00A17132">
      <w:pPr>
        <w:tabs>
          <w:tab w:val="center" w:pos="4440"/>
          <w:tab w:val="left" w:pos="6120"/>
        </w:tabs>
        <w:rPr>
          <w:b/>
          <w:szCs w:val="22"/>
        </w:rPr>
      </w:pPr>
      <w:r>
        <w:rPr>
          <w:b/>
          <w:szCs w:val="22"/>
        </w:rPr>
        <w:tab/>
      </w:r>
      <w:r w:rsidRPr="00471580" w:rsidR="00D50281">
        <w:rPr>
          <w:b/>
          <w:szCs w:val="22"/>
        </w:rPr>
        <w:t xml:space="preserve"> WC Docket No. 1</w:t>
      </w:r>
      <w:r w:rsidRPr="00471580" w:rsidR="00CE3E5D">
        <w:rPr>
          <w:b/>
          <w:szCs w:val="22"/>
        </w:rPr>
        <w:t>9</w:t>
      </w:r>
      <w:r w:rsidRPr="00471580" w:rsidR="00D50281">
        <w:rPr>
          <w:b/>
          <w:szCs w:val="22"/>
        </w:rPr>
        <w:t>-</w:t>
      </w:r>
      <w:r w:rsidR="00E25DB2">
        <w:rPr>
          <w:b/>
          <w:szCs w:val="22"/>
        </w:rPr>
        <w:t>2</w:t>
      </w:r>
      <w:r w:rsidR="00C14202">
        <w:rPr>
          <w:b/>
          <w:szCs w:val="22"/>
        </w:rPr>
        <w:t>48</w:t>
      </w:r>
      <w:r>
        <w:rPr>
          <w:b/>
          <w:szCs w:val="22"/>
        </w:rPr>
        <w:tab/>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1F50C6">
        <w:rPr>
          <w:b/>
          <w:szCs w:val="22"/>
        </w:rPr>
        <w:t>Octo</w:t>
      </w:r>
      <w:r w:rsidR="00961877">
        <w:rPr>
          <w:b/>
          <w:szCs w:val="22"/>
        </w:rPr>
        <w:t xml:space="preserve">ber </w:t>
      </w:r>
      <w:r w:rsidR="00A056A8">
        <w:rPr>
          <w:b/>
          <w:szCs w:val="22"/>
        </w:rPr>
        <w:t>14</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1F50C6">
        <w:rPr>
          <w:b/>
          <w:szCs w:val="22"/>
        </w:rPr>
        <w:t>Octo</w:t>
      </w:r>
      <w:r w:rsidR="00961877">
        <w:rPr>
          <w:b/>
          <w:szCs w:val="22"/>
        </w:rPr>
        <w:t xml:space="preserve">ber </w:t>
      </w:r>
      <w:r w:rsidR="00E910E5">
        <w:rPr>
          <w:b/>
          <w:szCs w:val="22"/>
        </w:rPr>
        <w:t>21</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2C706B" w:rsidP="00BC5BDA">
      <w:pPr>
        <w:autoSpaceDE w:val="0"/>
        <w:autoSpaceDN w:val="0"/>
        <w:adjustRightInd w:val="0"/>
        <w:ind w:firstLine="720"/>
        <w:rPr>
          <w:color w:val="231F20"/>
          <w:szCs w:val="22"/>
        </w:rPr>
      </w:pPr>
      <w:r w:rsidRPr="00471580">
        <w:rPr>
          <w:szCs w:val="22"/>
        </w:rPr>
        <w:t>By this Public Notice, the Wireline Competition Bureau seeks comment from interested parties on an application filed by</w:t>
      </w:r>
      <w:r w:rsidRPr="00471580">
        <w:rPr>
          <w:color w:val="231F20"/>
          <w:szCs w:val="22"/>
        </w:rPr>
        <w:t xml:space="preserve"> </w:t>
      </w:r>
      <w:r w:rsidR="00C14202">
        <w:rPr>
          <w:color w:val="231F20"/>
          <w:szCs w:val="22"/>
        </w:rPr>
        <w:t>U.S. TelePacific Holdings Corp. (TPx Holdings), Arrival Communications, Inc. (Arrival), DSCI, LLC (DSCI), Mpower Communications Corp. (Mpower), TPx Communications Co. (TCC), U.S.</w:t>
      </w:r>
      <w:r w:rsidR="008F1AED">
        <w:rPr>
          <w:color w:val="231F20"/>
          <w:szCs w:val="22"/>
        </w:rPr>
        <w:t xml:space="preserve"> TelePacific Corp. (Tele</w:t>
      </w:r>
      <w:r w:rsidR="00F64A4E">
        <w:rPr>
          <w:color w:val="231F20"/>
          <w:szCs w:val="22"/>
        </w:rPr>
        <w:t>P</w:t>
      </w:r>
      <w:r w:rsidR="008F1AED">
        <w:rPr>
          <w:color w:val="231F20"/>
          <w:szCs w:val="22"/>
        </w:rPr>
        <w:t>acific</w:t>
      </w:r>
      <w:r w:rsidR="002979A5">
        <w:rPr>
          <w:color w:val="231F20"/>
          <w:szCs w:val="22"/>
        </w:rPr>
        <w:t>, together</w:t>
      </w:r>
      <w:r w:rsidR="008F1AED">
        <w:rPr>
          <w:color w:val="231F20"/>
          <w:szCs w:val="22"/>
        </w:rPr>
        <w:t xml:space="preserve"> with Arrival, DSCI, Mpower</w:t>
      </w:r>
      <w:r w:rsidR="00B25FBB">
        <w:rPr>
          <w:color w:val="231F20"/>
          <w:szCs w:val="22"/>
        </w:rPr>
        <w:t>,</w:t>
      </w:r>
      <w:r w:rsidR="008F1AED">
        <w:rPr>
          <w:color w:val="231F20"/>
          <w:szCs w:val="22"/>
        </w:rPr>
        <w:t xml:space="preserve"> and TCC, the Licensees)</w:t>
      </w:r>
      <w:r w:rsidR="005564CC">
        <w:rPr>
          <w:color w:val="231F20"/>
          <w:szCs w:val="22"/>
        </w:rPr>
        <w:t>,</w:t>
      </w:r>
      <w:r w:rsidR="008F1AED">
        <w:rPr>
          <w:color w:val="231F20"/>
          <w:szCs w:val="22"/>
        </w:rPr>
        <w:t xml:space="preserve"> and Tango Private Holdings II, LLC (Tango) </w:t>
      </w:r>
      <w:r w:rsidR="0074362A">
        <w:rPr>
          <w:color w:val="231F20"/>
          <w:szCs w:val="22"/>
        </w:rPr>
        <w:t>(</w:t>
      </w:r>
      <w:r w:rsidR="005564CC">
        <w:rPr>
          <w:color w:val="231F20"/>
          <w:szCs w:val="22"/>
        </w:rPr>
        <w:t>collectively</w:t>
      </w:r>
      <w:r w:rsidR="0029209F">
        <w:rPr>
          <w:color w:val="231F20"/>
          <w:szCs w:val="22"/>
        </w:rPr>
        <w:t xml:space="preserve">, </w:t>
      </w:r>
      <w:r w:rsidRPr="00471580">
        <w:rPr>
          <w:color w:val="231F20"/>
          <w:szCs w:val="22"/>
        </w:rPr>
        <w:t xml:space="preserve">Applicants), </w:t>
      </w:r>
      <w:r w:rsidRPr="00471580" w:rsidR="00681F18">
        <w:rPr>
          <w:szCs w:val="22"/>
        </w:rPr>
        <w:t>pursuant to section 214 of the Communications Act of 1934, as amended, and sections 63.03-04 of the Commission’s rules, requesting consent</w:t>
      </w:r>
      <w:r w:rsidRPr="00471580" w:rsidR="001F5143">
        <w:rPr>
          <w:szCs w:val="22"/>
        </w:rPr>
        <w:t xml:space="preserve"> </w:t>
      </w:r>
      <w:r w:rsidR="00B25FBB">
        <w:rPr>
          <w:szCs w:val="22"/>
        </w:rPr>
        <w:t>to</w:t>
      </w:r>
      <w:r w:rsidR="0074362A">
        <w:rPr>
          <w:szCs w:val="22"/>
        </w:rPr>
        <w:t xml:space="preserve"> </w:t>
      </w:r>
      <w:r w:rsidR="008F1AED">
        <w:rPr>
          <w:szCs w:val="22"/>
        </w:rPr>
        <w:t xml:space="preserve">transfer control of </w:t>
      </w:r>
      <w:r w:rsidR="005564CC">
        <w:rPr>
          <w:szCs w:val="22"/>
        </w:rPr>
        <w:t xml:space="preserve">TPx Holdings and the </w:t>
      </w:r>
      <w:r w:rsidR="008F1AED">
        <w:rPr>
          <w:szCs w:val="22"/>
        </w:rPr>
        <w:t>Licensees to Tango.</w:t>
      </w:r>
      <w:r>
        <w:rPr>
          <w:rStyle w:val="FootnoteReference"/>
          <w:color w:val="231F20"/>
          <w:szCs w:val="22"/>
        </w:rPr>
        <w:footnoteReference w:id="3"/>
      </w:r>
      <w:r w:rsidR="00A90D4B">
        <w:rPr>
          <w:color w:val="231F20"/>
          <w:szCs w:val="22"/>
        </w:rPr>
        <w:t xml:space="preserve"> </w:t>
      </w:r>
    </w:p>
    <w:p w:rsidR="00BC5BDA" w:rsidRPr="00BC5BDA" w:rsidP="00BC5BDA">
      <w:pPr>
        <w:autoSpaceDE w:val="0"/>
        <w:autoSpaceDN w:val="0"/>
        <w:adjustRightInd w:val="0"/>
        <w:ind w:firstLine="720"/>
        <w:rPr>
          <w:color w:val="231F20"/>
          <w:szCs w:val="22"/>
        </w:rPr>
      </w:pPr>
    </w:p>
    <w:p w:rsidR="00E55B4B" w:rsidP="00022476">
      <w:pPr>
        <w:autoSpaceDE w:val="0"/>
        <w:autoSpaceDN w:val="0"/>
        <w:adjustRightInd w:val="0"/>
        <w:ind w:firstLine="720"/>
        <w:rPr>
          <w:szCs w:val="22"/>
        </w:rPr>
      </w:pPr>
      <w:r>
        <w:rPr>
          <w:szCs w:val="22"/>
        </w:rPr>
        <w:t xml:space="preserve">TPx Holdings, a Delaware corporation, </w:t>
      </w:r>
      <w:r w:rsidR="00670371">
        <w:rPr>
          <w:szCs w:val="22"/>
        </w:rPr>
        <w:t xml:space="preserve">wholly owns the </w:t>
      </w:r>
      <w:r w:rsidR="004B6274">
        <w:rPr>
          <w:szCs w:val="22"/>
        </w:rPr>
        <w:t>Licensees</w:t>
      </w:r>
      <w:r w:rsidR="00653F32">
        <w:rPr>
          <w:szCs w:val="22"/>
        </w:rPr>
        <w:t>,</w:t>
      </w:r>
      <w:r w:rsidR="00AC22D3">
        <w:rPr>
          <w:szCs w:val="22"/>
        </w:rPr>
        <w:t xml:space="preserve"> which </w:t>
      </w:r>
      <w:r w:rsidR="00653F32">
        <w:rPr>
          <w:szCs w:val="22"/>
        </w:rPr>
        <w:t xml:space="preserve">are all U.S.-based and </w:t>
      </w:r>
      <w:r w:rsidR="004B6274">
        <w:rPr>
          <w:szCs w:val="22"/>
        </w:rPr>
        <w:t xml:space="preserve">provide facilities-based </w:t>
      </w:r>
      <w:r w:rsidR="00022476">
        <w:rPr>
          <w:szCs w:val="22"/>
        </w:rPr>
        <w:t xml:space="preserve">competitive </w:t>
      </w:r>
      <w:r w:rsidR="00AC22D3">
        <w:rPr>
          <w:szCs w:val="22"/>
        </w:rPr>
        <w:t>tele</w:t>
      </w:r>
      <w:r w:rsidR="004B6274">
        <w:rPr>
          <w:szCs w:val="22"/>
        </w:rPr>
        <w:t>communications services</w:t>
      </w:r>
      <w:r w:rsidR="00C37D21">
        <w:rPr>
          <w:szCs w:val="22"/>
        </w:rPr>
        <w:t xml:space="preserve"> </w:t>
      </w:r>
      <w:r w:rsidR="004B6274">
        <w:rPr>
          <w:szCs w:val="22"/>
        </w:rPr>
        <w:t>to small-to-medium sized businesses</w:t>
      </w:r>
      <w:r w:rsidR="00085EE9">
        <w:rPr>
          <w:szCs w:val="22"/>
        </w:rPr>
        <w:t xml:space="preserve"> in multiple states</w:t>
      </w:r>
      <w:r w:rsidR="004B6274">
        <w:rPr>
          <w:szCs w:val="22"/>
        </w:rPr>
        <w:t>.</w:t>
      </w:r>
      <w:r>
        <w:rPr>
          <w:rStyle w:val="FootnoteReference"/>
          <w:szCs w:val="22"/>
        </w:rPr>
        <w:footnoteReference w:id="4"/>
      </w:r>
      <w:r w:rsidR="004B6274">
        <w:rPr>
          <w:szCs w:val="22"/>
        </w:rPr>
        <w:t xml:space="preserve">  </w:t>
      </w:r>
      <w:r w:rsidRPr="000339AC" w:rsidR="00AC22D3">
        <w:rPr>
          <w:szCs w:val="22"/>
        </w:rPr>
        <w:t>Arrival provides services in California</w:t>
      </w:r>
      <w:r w:rsidRPr="000339AC" w:rsidR="00363070">
        <w:rPr>
          <w:szCs w:val="22"/>
        </w:rPr>
        <w:t xml:space="preserve">; </w:t>
      </w:r>
      <w:r w:rsidRPr="000339AC" w:rsidR="00AC22D3">
        <w:rPr>
          <w:szCs w:val="22"/>
        </w:rPr>
        <w:t>DSC</w:t>
      </w:r>
      <w:r w:rsidR="00653F32">
        <w:rPr>
          <w:szCs w:val="22"/>
        </w:rPr>
        <w:t xml:space="preserve">I </w:t>
      </w:r>
      <w:r w:rsidRPr="000339AC" w:rsidR="00AC22D3">
        <w:rPr>
          <w:szCs w:val="22"/>
        </w:rPr>
        <w:t xml:space="preserve">provides services in </w:t>
      </w:r>
      <w:r w:rsidRPr="000339AC" w:rsidR="00AC22D3">
        <w:rPr>
          <w:szCs w:val="22"/>
        </w:rPr>
        <w:t>California, Connecticut, District of Columbia, Florida, Georgia, Maine, Massachusetts, New Hampshire, New Jersey, New York, Pennsylvania, Rhode Island, Texas</w:t>
      </w:r>
      <w:r w:rsidRPr="000339AC" w:rsidR="000339AC">
        <w:rPr>
          <w:szCs w:val="22"/>
        </w:rPr>
        <w:t>,</w:t>
      </w:r>
      <w:r w:rsidRPr="000339AC" w:rsidR="00AC22D3">
        <w:rPr>
          <w:szCs w:val="22"/>
        </w:rPr>
        <w:t xml:space="preserve"> and Vermont</w:t>
      </w:r>
      <w:r w:rsidRPr="000339AC" w:rsidR="00363070">
        <w:rPr>
          <w:szCs w:val="22"/>
        </w:rPr>
        <w:t>;</w:t>
      </w:r>
      <w:r w:rsidRPr="000339AC" w:rsidR="007725E8">
        <w:rPr>
          <w:szCs w:val="22"/>
        </w:rPr>
        <w:t xml:space="preserve"> </w:t>
      </w:r>
      <w:r w:rsidRPr="000339AC" w:rsidR="00AC22D3">
        <w:rPr>
          <w:szCs w:val="22"/>
        </w:rPr>
        <w:t>Mpower</w:t>
      </w:r>
      <w:r w:rsidR="00653F32">
        <w:rPr>
          <w:szCs w:val="22"/>
        </w:rPr>
        <w:t xml:space="preserve"> </w:t>
      </w:r>
      <w:r w:rsidRPr="000339AC" w:rsidR="00AC22D3">
        <w:rPr>
          <w:szCs w:val="22"/>
        </w:rPr>
        <w:t>provides services in California and Nevada</w:t>
      </w:r>
      <w:r w:rsidRPr="000339AC" w:rsidR="007725E8">
        <w:rPr>
          <w:szCs w:val="22"/>
        </w:rPr>
        <w:t>;</w:t>
      </w:r>
      <w:r w:rsidRPr="000339AC" w:rsidR="00AC22D3">
        <w:rPr>
          <w:szCs w:val="22"/>
        </w:rPr>
        <w:t xml:space="preserve"> TCC</w:t>
      </w:r>
      <w:r w:rsidR="00AC22D3">
        <w:rPr>
          <w:szCs w:val="22"/>
        </w:rPr>
        <w:t xml:space="preserve"> provides services in Texas</w:t>
      </w:r>
      <w:r w:rsidR="007725E8">
        <w:rPr>
          <w:szCs w:val="22"/>
        </w:rPr>
        <w:t xml:space="preserve">; and </w:t>
      </w:r>
      <w:r>
        <w:rPr>
          <w:szCs w:val="22"/>
        </w:rPr>
        <w:t>TelePacific</w:t>
      </w:r>
      <w:r w:rsidR="00653F32">
        <w:rPr>
          <w:szCs w:val="22"/>
        </w:rPr>
        <w:t xml:space="preserve"> </w:t>
      </w:r>
      <w:r>
        <w:rPr>
          <w:szCs w:val="22"/>
        </w:rPr>
        <w:t xml:space="preserve">provides </w:t>
      </w:r>
      <w:r w:rsidR="00022476">
        <w:rPr>
          <w:szCs w:val="22"/>
        </w:rPr>
        <w:t xml:space="preserve">services </w:t>
      </w:r>
      <w:r>
        <w:rPr>
          <w:szCs w:val="22"/>
        </w:rPr>
        <w:t>in California, Nevada</w:t>
      </w:r>
      <w:r w:rsidR="00653F32">
        <w:rPr>
          <w:szCs w:val="22"/>
        </w:rPr>
        <w:t>,</w:t>
      </w:r>
      <w:r>
        <w:rPr>
          <w:szCs w:val="22"/>
        </w:rPr>
        <w:t xml:space="preserve"> and New Mexico.  </w:t>
      </w:r>
      <w:r w:rsidR="008E6AB4">
        <w:rPr>
          <w:szCs w:val="22"/>
        </w:rPr>
        <w:t xml:space="preserve"> </w:t>
      </w:r>
    </w:p>
    <w:p w:rsidR="00934AC4" w:rsidP="005807E7">
      <w:pPr>
        <w:autoSpaceDE w:val="0"/>
        <w:autoSpaceDN w:val="0"/>
        <w:adjustRightInd w:val="0"/>
        <w:ind w:firstLine="720"/>
        <w:rPr>
          <w:szCs w:val="22"/>
        </w:rPr>
      </w:pPr>
    </w:p>
    <w:p w:rsidR="00934AC4" w:rsidP="00221983">
      <w:pPr>
        <w:autoSpaceDE w:val="0"/>
        <w:autoSpaceDN w:val="0"/>
        <w:adjustRightInd w:val="0"/>
        <w:ind w:firstLine="720"/>
        <w:rPr>
          <w:szCs w:val="22"/>
        </w:rPr>
      </w:pPr>
      <w:r>
        <w:rPr>
          <w:szCs w:val="22"/>
        </w:rPr>
        <w:t>Tango</w:t>
      </w:r>
      <w:r w:rsidR="00022476">
        <w:rPr>
          <w:szCs w:val="22"/>
        </w:rPr>
        <w:t xml:space="preserve">, </w:t>
      </w:r>
      <w:r>
        <w:rPr>
          <w:szCs w:val="22"/>
        </w:rPr>
        <w:t>a Delaware limited liability company</w:t>
      </w:r>
      <w:r w:rsidR="00022476">
        <w:rPr>
          <w:szCs w:val="22"/>
        </w:rPr>
        <w:t xml:space="preserve">, was formed for the purpose of acquiring TPx Holdings and </w:t>
      </w:r>
      <w:r>
        <w:rPr>
          <w:szCs w:val="22"/>
        </w:rPr>
        <w:t xml:space="preserve">is an affiliate of Siris Capital Group, LLC, a </w:t>
      </w:r>
      <w:r w:rsidR="000339AC">
        <w:rPr>
          <w:szCs w:val="22"/>
        </w:rPr>
        <w:t xml:space="preserve">U.S. based </w:t>
      </w:r>
      <w:r>
        <w:rPr>
          <w:szCs w:val="22"/>
        </w:rPr>
        <w:t>investment firm</w:t>
      </w:r>
      <w:r w:rsidR="00022476">
        <w:rPr>
          <w:szCs w:val="22"/>
        </w:rPr>
        <w:t>.</w:t>
      </w:r>
      <w:r w:rsidR="00221983">
        <w:rPr>
          <w:szCs w:val="22"/>
        </w:rPr>
        <w:t xml:space="preserve"> </w:t>
      </w:r>
      <w:r w:rsidR="00022476">
        <w:rPr>
          <w:szCs w:val="22"/>
        </w:rPr>
        <w:t xml:space="preserve"> </w:t>
      </w:r>
      <w:r w:rsidRPr="00221983" w:rsidR="00221983">
        <w:rPr>
          <w:szCs w:val="22"/>
        </w:rPr>
        <w:t>Tango, through various intermediate holding companies, is indirectly wholly owned by Tango Private Investments, LLC (Tango Private Investments)</w:t>
      </w:r>
      <w:r w:rsidR="00221983">
        <w:rPr>
          <w:szCs w:val="22"/>
        </w:rPr>
        <w:t>, a Delaware limited liability company</w:t>
      </w:r>
      <w:r w:rsidRPr="00221983" w:rsidR="00221983">
        <w:rPr>
          <w:szCs w:val="22"/>
        </w:rPr>
        <w:t>.  The following four general partners</w:t>
      </w:r>
      <w:r w:rsidR="002A16C8">
        <w:rPr>
          <w:szCs w:val="22"/>
        </w:rPr>
        <w:t>, each Delaware entities,</w:t>
      </w:r>
      <w:r w:rsidRPr="00221983" w:rsidR="00221983">
        <w:rPr>
          <w:szCs w:val="22"/>
        </w:rPr>
        <w:t xml:space="preserve"> hold interests in Tango Private Investments:  Siris Partners II</w:t>
      </w:r>
      <w:r w:rsidR="00B85FFA">
        <w:rPr>
          <w:szCs w:val="22"/>
        </w:rPr>
        <w:t>I</w:t>
      </w:r>
      <w:r w:rsidRPr="00221983" w:rsidR="00221983">
        <w:rPr>
          <w:szCs w:val="22"/>
        </w:rPr>
        <w:t>, L.P. (</w:t>
      </w:r>
      <w:r w:rsidR="00B85FFA">
        <w:rPr>
          <w:szCs w:val="22"/>
        </w:rPr>
        <w:t>37.99</w:t>
      </w:r>
      <w:r w:rsidRPr="00221983" w:rsidR="00221983">
        <w:rPr>
          <w:szCs w:val="22"/>
        </w:rPr>
        <w:t xml:space="preserve">%); Siris Partners III Parallel, L.P </w:t>
      </w:r>
      <w:r w:rsidR="000339AC">
        <w:rPr>
          <w:szCs w:val="22"/>
        </w:rPr>
        <w:t>(</w:t>
      </w:r>
      <w:r w:rsidR="00B85FFA">
        <w:rPr>
          <w:szCs w:val="22"/>
        </w:rPr>
        <w:t>8.25</w:t>
      </w:r>
      <w:r w:rsidRPr="00221983" w:rsidR="00221983">
        <w:rPr>
          <w:szCs w:val="22"/>
        </w:rPr>
        <w:t>%); Siris Partners IV, L.P. (</w:t>
      </w:r>
      <w:r w:rsidR="00B85FFA">
        <w:rPr>
          <w:szCs w:val="22"/>
        </w:rPr>
        <w:t>30.89</w:t>
      </w:r>
      <w:r w:rsidRPr="00221983" w:rsidR="00221983">
        <w:rPr>
          <w:szCs w:val="22"/>
        </w:rPr>
        <w:t>%); and Siris Partners IV Parallel, L.P. (</w:t>
      </w:r>
      <w:r w:rsidR="00B85FFA">
        <w:rPr>
          <w:szCs w:val="22"/>
        </w:rPr>
        <w:t>14.77</w:t>
      </w:r>
      <w:r w:rsidRPr="00221983" w:rsidR="00221983">
        <w:rPr>
          <w:szCs w:val="22"/>
        </w:rPr>
        <w:t xml:space="preserve">%).  </w:t>
      </w:r>
      <w:bookmarkStart w:id="7" w:name="_Hlk20746750"/>
      <w:r w:rsidRPr="00221983" w:rsidR="00221983">
        <w:rPr>
          <w:szCs w:val="22"/>
        </w:rPr>
        <w:t>The general partner for both Siris Partners II</w:t>
      </w:r>
      <w:r w:rsidR="00C37D21">
        <w:rPr>
          <w:szCs w:val="22"/>
        </w:rPr>
        <w:t>I</w:t>
      </w:r>
      <w:r w:rsidRPr="00221983" w:rsidR="00221983">
        <w:rPr>
          <w:szCs w:val="22"/>
        </w:rPr>
        <w:t>, L.P. and Siris Partners III Parallel, L.P is Siris Partners GP III, L.P.</w:t>
      </w:r>
      <w:r w:rsidR="002A16C8">
        <w:rPr>
          <w:szCs w:val="22"/>
        </w:rPr>
        <w:t>, a Delaware limited partnership,</w:t>
      </w:r>
      <w:r w:rsidRPr="00221983" w:rsidR="00221983">
        <w:rPr>
          <w:szCs w:val="22"/>
        </w:rPr>
        <w:t xml:space="preserve"> which, in turn, is wholly owned by Sir</w:t>
      </w:r>
      <w:r w:rsidR="00BB3C9E">
        <w:rPr>
          <w:szCs w:val="22"/>
        </w:rPr>
        <w:t>i</w:t>
      </w:r>
      <w:r w:rsidRPr="00221983" w:rsidR="00221983">
        <w:rPr>
          <w:szCs w:val="22"/>
        </w:rPr>
        <w:t>s GP Holdco III, LLC</w:t>
      </w:r>
      <w:r w:rsidR="002A16C8">
        <w:rPr>
          <w:szCs w:val="22"/>
        </w:rPr>
        <w:t>, a Delaware limited liability company</w:t>
      </w:r>
      <w:r w:rsidRPr="00221983" w:rsidR="00221983">
        <w:rPr>
          <w:szCs w:val="22"/>
        </w:rPr>
        <w:t xml:space="preserve">.  </w:t>
      </w:r>
      <w:bookmarkEnd w:id="7"/>
      <w:r w:rsidRPr="00221983" w:rsidR="00221983">
        <w:rPr>
          <w:szCs w:val="22"/>
        </w:rPr>
        <w:t>The general partner for both Siris Partners IV, L.P. and Siris Partners IV Parallel, L.P. is Siris Partners GP IV, L.P.</w:t>
      </w:r>
      <w:r w:rsidR="002A16C8">
        <w:rPr>
          <w:szCs w:val="22"/>
        </w:rPr>
        <w:t>, a Delaware limited partnership,</w:t>
      </w:r>
      <w:r w:rsidRPr="00221983" w:rsidR="00221983">
        <w:rPr>
          <w:szCs w:val="22"/>
        </w:rPr>
        <w:t xml:space="preserve"> which, in turn, is wholly owned by Siris GP Holdco IV, LLC.</w:t>
      </w:r>
      <w:r w:rsidR="002A16C8">
        <w:rPr>
          <w:szCs w:val="22"/>
        </w:rPr>
        <w:t>, a Delaware limited partnership.</w:t>
      </w:r>
      <w:r w:rsidR="00221983">
        <w:rPr>
          <w:szCs w:val="22"/>
        </w:rPr>
        <w:t xml:space="preserve">  </w:t>
      </w:r>
      <w:r w:rsidR="00F03FAC">
        <w:rPr>
          <w:szCs w:val="22"/>
        </w:rPr>
        <w:t>Tango is ultimately controlled</w:t>
      </w:r>
      <w:r w:rsidR="00D54C72">
        <w:rPr>
          <w:szCs w:val="22"/>
        </w:rPr>
        <w:t xml:space="preserve"> </w:t>
      </w:r>
      <w:r w:rsidR="00F03FAC">
        <w:rPr>
          <w:szCs w:val="22"/>
        </w:rPr>
        <w:t xml:space="preserve">on a day-to-day basis by Frank Baker, Peter Berger, and Jeffrey Hendren, </w:t>
      </w:r>
      <w:r w:rsidR="00DD1BEA">
        <w:rPr>
          <w:szCs w:val="22"/>
        </w:rPr>
        <w:t>each</w:t>
      </w:r>
      <w:r w:rsidR="00BB3C9E">
        <w:rPr>
          <w:szCs w:val="22"/>
        </w:rPr>
        <w:t xml:space="preserve"> </w:t>
      </w:r>
      <w:r w:rsidR="00F03FAC">
        <w:rPr>
          <w:szCs w:val="22"/>
        </w:rPr>
        <w:t>U.S. citizens.</w:t>
      </w:r>
      <w:r>
        <w:rPr>
          <w:rStyle w:val="FootnoteReference"/>
          <w:szCs w:val="22"/>
        </w:rPr>
        <w:footnoteReference w:id="5"/>
      </w:r>
      <w:r w:rsidR="00F03FAC">
        <w:rPr>
          <w:szCs w:val="22"/>
        </w:rPr>
        <w:t xml:space="preserve"> </w:t>
      </w:r>
      <w:r w:rsidR="00D620E9">
        <w:rPr>
          <w:szCs w:val="22"/>
        </w:rPr>
        <w:t xml:space="preserve"> </w:t>
      </w:r>
    </w:p>
    <w:p w:rsidR="00D871F1" w:rsidP="00335653">
      <w:pPr>
        <w:autoSpaceDE w:val="0"/>
        <w:autoSpaceDN w:val="0"/>
        <w:adjustRightInd w:val="0"/>
        <w:rPr>
          <w:szCs w:val="22"/>
        </w:rPr>
      </w:pPr>
    </w:p>
    <w:p w:rsidR="00AD111B" w:rsidRPr="001F7902" w:rsidP="00AD111B">
      <w:pPr>
        <w:autoSpaceDE w:val="0"/>
        <w:autoSpaceDN w:val="0"/>
        <w:adjustRightInd w:val="0"/>
        <w:ind w:firstLine="720"/>
        <w:rPr>
          <w:color w:val="020100"/>
          <w:szCs w:val="22"/>
        </w:rPr>
      </w:pPr>
      <w:r w:rsidRPr="001F7902">
        <w:rPr>
          <w:color w:val="020100"/>
          <w:szCs w:val="22"/>
        </w:rPr>
        <w:t xml:space="preserve">Pursuant to </w:t>
      </w:r>
      <w:r w:rsidRPr="001F7902" w:rsidR="002E626E">
        <w:rPr>
          <w:color w:val="020100"/>
          <w:szCs w:val="22"/>
        </w:rPr>
        <w:t xml:space="preserve">the terms of the </w:t>
      </w:r>
      <w:r w:rsidRPr="001F7902" w:rsidR="007725E8">
        <w:rPr>
          <w:color w:val="020100"/>
          <w:szCs w:val="22"/>
        </w:rPr>
        <w:t>proposed transaction</w:t>
      </w:r>
      <w:r w:rsidRPr="001F7902" w:rsidR="002E626E">
        <w:rPr>
          <w:color w:val="020100"/>
          <w:szCs w:val="22"/>
        </w:rPr>
        <w:t>,</w:t>
      </w:r>
      <w:r w:rsidRPr="001F7902" w:rsidR="00DD3822">
        <w:rPr>
          <w:color w:val="020100"/>
          <w:szCs w:val="22"/>
        </w:rPr>
        <w:t xml:space="preserve"> </w:t>
      </w:r>
      <w:r w:rsidRPr="001F7902" w:rsidR="001F7902">
        <w:rPr>
          <w:szCs w:val="22"/>
        </w:rPr>
        <w:t>Tango Private Merger Sub, Inc. (Merger Sub), a Delaware corporation and direct wholly owned subsidiary of Tang</w:t>
      </w:r>
      <w:r w:rsidR="001F7902">
        <w:rPr>
          <w:szCs w:val="22"/>
        </w:rPr>
        <w:t>o,</w:t>
      </w:r>
      <w:r w:rsidRPr="001F7902" w:rsidR="007D75D8">
        <w:rPr>
          <w:color w:val="020100"/>
          <w:szCs w:val="22"/>
        </w:rPr>
        <w:t xml:space="preserve"> will merge with and into TPx Holdings, at which </w:t>
      </w:r>
      <w:r w:rsidRPr="001F7902" w:rsidR="007725E8">
        <w:rPr>
          <w:color w:val="020100"/>
          <w:szCs w:val="22"/>
        </w:rPr>
        <w:t xml:space="preserve">point </w:t>
      </w:r>
      <w:r w:rsidRPr="001F7902" w:rsidR="007D75D8">
        <w:rPr>
          <w:color w:val="020100"/>
          <w:szCs w:val="22"/>
        </w:rPr>
        <w:t xml:space="preserve">Merger Sub will cease to exist with TPx Holdings surviving the merger.  TPx Holdings will </w:t>
      </w:r>
      <w:r w:rsidRPr="001F7902" w:rsidR="007725E8">
        <w:rPr>
          <w:color w:val="020100"/>
          <w:szCs w:val="22"/>
        </w:rPr>
        <w:t xml:space="preserve">therefore </w:t>
      </w:r>
      <w:r w:rsidRPr="001F7902" w:rsidR="007D75D8">
        <w:rPr>
          <w:color w:val="020100"/>
          <w:szCs w:val="22"/>
        </w:rPr>
        <w:t>be a direct, wholly owned subsidiary of Tango</w:t>
      </w:r>
      <w:r w:rsidRPr="001F7902" w:rsidR="00BB3C9E">
        <w:rPr>
          <w:color w:val="020100"/>
          <w:szCs w:val="22"/>
        </w:rPr>
        <w:t>,</w:t>
      </w:r>
      <w:r w:rsidRPr="001F7902" w:rsidR="007D75D8">
        <w:rPr>
          <w:color w:val="020100"/>
          <w:szCs w:val="22"/>
        </w:rPr>
        <w:t xml:space="preserve"> and</w:t>
      </w:r>
      <w:r w:rsidRPr="001F7902" w:rsidR="00866889">
        <w:rPr>
          <w:color w:val="020100"/>
          <w:szCs w:val="22"/>
        </w:rPr>
        <w:t xml:space="preserve"> the</w:t>
      </w:r>
      <w:r w:rsidRPr="001F7902" w:rsidR="007D75D8">
        <w:rPr>
          <w:color w:val="020100"/>
          <w:szCs w:val="22"/>
        </w:rPr>
        <w:t xml:space="preserve"> Licensees will be indirect, wholly owned subsidiaries of Tango. </w:t>
      </w:r>
      <w:r w:rsidRPr="001F7902" w:rsidR="007725E8">
        <w:rPr>
          <w:color w:val="020100"/>
          <w:szCs w:val="22"/>
        </w:rPr>
        <w:t xml:space="preserve"> </w:t>
      </w:r>
      <w:r w:rsidRPr="001F7902">
        <w:rPr>
          <w:color w:val="020100"/>
          <w:szCs w:val="22"/>
        </w:rPr>
        <w:t>Because the transaction is more complex than usual, and in order to analyze whether the proposed transaction would serve the public interest, the application will not be streamlined.</w:t>
      </w:r>
      <w:r>
        <w:rPr>
          <w:color w:val="020100"/>
          <w:szCs w:val="22"/>
          <w:vertAlign w:val="superscript"/>
        </w:rPr>
        <w:footnoteReference w:id="6"/>
      </w:r>
      <w:r w:rsidRPr="001F7902">
        <w:rPr>
          <w:b/>
          <w:bCs/>
          <w:color w:val="020100"/>
          <w:szCs w:val="22"/>
        </w:rPr>
        <w:t xml:space="preserve"> </w:t>
      </w:r>
    </w:p>
    <w:p w:rsidR="00AD17CF" w:rsidP="00AD17CF">
      <w:pPr>
        <w:autoSpaceDE w:val="0"/>
        <w:autoSpaceDN w:val="0"/>
        <w:adjustRightInd w:val="0"/>
        <w:ind w:firstLine="720"/>
        <w:rPr>
          <w:b/>
          <w:bCs/>
          <w:szCs w:val="22"/>
        </w:rPr>
      </w:pPr>
      <w:r w:rsidRPr="00E42CE8">
        <w:rPr>
          <w:szCs w:val="22"/>
        </w:rPr>
        <w:t xml:space="preserve">  </w:t>
      </w:r>
      <w:r w:rsidRPr="00E42CE8">
        <w:rPr>
          <w:b/>
          <w:bCs/>
          <w:szCs w:val="22"/>
        </w:rPr>
        <w:t xml:space="preserve"> </w:t>
      </w:r>
    </w:p>
    <w:p w:rsidR="009452F8" w:rsidP="00AD17CF">
      <w:pPr>
        <w:autoSpaceDE w:val="0"/>
        <w:autoSpaceDN w:val="0"/>
        <w:adjustRightInd w:val="0"/>
        <w:ind w:left="720"/>
        <w:rPr>
          <w:szCs w:val="22"/>
        </w:rPr>
      </w:pPr>
      <w:bookmarkStart w:id="8" w:name="_Hlk510618895"/>
      <w:r w:rsidRPr="00A6163F">
        <w:rPr>
          <w:szCs w:val="22"/>
        </w:rPr>
        <w:t>Domestic Section 214 Application Filed for the</w:t>
      </w:r>
      <w:r w:rsidR="00B02D79">
        <w:rPr>
          <w:szCs w:val="22"/>
        </w:rPr>
        <w:t xml:space="preserve"> Transfer of Control of </w:t>
      </w:r>
    </w:p>
    <w:p w:rsidR="002710BB" w:rsidRPr="004E0968" w:rsidP="00AD17CF">
      <w:pPr>
        <w:autoSpaceDE w:val="0"/>
        <w:autoSpaceDN w:val="0"/>
        <w:adjustRightInd w:val="0"/>
        <w:ind w:left="720"/>
        <w:rPr>
          <w:bCs/>
          <w:szCs w:val="22"/>
        </w:rPr>
      </w:pPr>
      <w:r>
        <w:rPr>
          <w:szCs w:val="22"/>
        </w:rPr>
        <w:t>U.S. Tele</w:t>
      </w:r>
      <w:r w:rsidR="00B936EC">
        <w:rPr>
          <w:szCs w:val="22"/>
        </w:rPr>
        <w:t>P</w:t>
      </w:r>
      <w:r>
        <w:rPr>
          <w:szCs w:val="22"/>
        </w:rPr>
        <w:t>acific Holdings Corp.</w:t>
      </w:r>
      <w:r w:rsidR="009452F8">
        <w:rPr>
          <w:szCs w:val="22"/>
        </w:rPr>
        <w:t xml:space="preserve"> and its Subsidiaries</w:t>
      </w:r>
      <w:r>
        <w:rPr>
          <w:szCs w:val="22"/>
        </w:rPr>
        <w:t xml:space="preserve"> to Tango Private Holdings II, LLC, </w:t>
      </w:r>
      <w:r w:rsidRPr="00A6163F" w:rsidR="00D50281">
        <w:rPr>
          <w:szCs w:val="22"/>
        </w:rPr>
        <w:t>W</w:t>
      </w:r>
      <w:r w:rsidR="00D50281">
        <w:rPr>
          <w:szCs w:val="22"/>
        </w:rPr>
        <w:t>C Docket No. 1</w:t>
      </w:r>
      <w:r w:rsidR="00794A8B">
        <w:rPr>
          <w:szCs w:val="22"/>
        </w:rPr>
        <w:t>9</w:t>
      </w:r>
      <w:r w:rsidR="00D50281">
        <w:rPr>
          <w:szCs w:val="22"/>
        </w:rPr>
        <w:t>-</w:t>
      </w:r>
      <w:r w:rsidR="00D14F62">
        <w:rPr>
          <w:szCs w:val="22"/>
        </w:rPr>
        <w:t>2</w:t>
      </w:r>
      <w:r w:rsidR="008F1AED">
        <w:rPr>
          <w:szCs w:val="22"/>
        </w:rPr>
        <w:t>48</w:t>
      </w:r>
      <w:r w:rsidRPr="00A6163F" w:rsidR="00D50281">
        <w:rPr>
          <w:szCs w:val="22"/>
        </w:rPr>
        <w:t xml:space="preserve"> </w:t>
      </w:r>
      <w:r w:rsidR="00D50281">
        <w:rPr>
          <w:szCs w:val="22"/>
        </w:rPr>
        <w:t xml:space="preserve">(filed </w:t>
      </w:r>
      <w:r>
        <w:rPr>
          <w:szCs w:val="22"/>
        </w:rPr>
        <w:t>Sept</w:t>
      </w:r>
      <w:r w:rsidR="005816B9">
        <w:rPr>
          <w:szCs w:val="22"/>
        </w:rPr>
        <w:t>.</w:t>
      </w:r>
      <w:r w:rsidR="00CF51CD">
        <w:rPr>
          <w:szCs w:val="22"/>
        </w:rPr>
        <w:t xml:space="preserve"> </w:t>
      </w:r>
      <w:r w:rsidR="008F1AED">
        <w:rPr>
          <w:szCs w:val="22"/>
        </w:rPr>
        <w:t>5</w:t>
      </w:r>
      <w:r w:rsidRPr="00A6163F" w:rsidR="00D50281">
        <w:rPr>
          <w:szCs w:val="22"/>
        </w:rPr>
        <w:t>, 201</w:t>
      </w:r>
      <w:r w:rsidR="00794A8B">
        <w:rPr>
          <w:szCs w:val="22"/>
        </w:rPr>
        <w:t>9</w:t>
      </w:r>
      <w:r w:rsidRPr="00A6163F" w:rsidR="00D50281">
        <w:rPr>
          <w:szCs w:val="22"/>
        </w:rPr>
        <w:t>).</w:t>
      </w:r>
    </w:p>
    <w:bookmarkEnd w:id="8"/>
    <w:p w:rsidR="002710BB" w:rsidRPr="00A6163F" w:rsidP="002710BB">
      <w:pPr>
        <w:autoSpaceDE w:val="0"/>
        <w:autoSpaceDN w:val="0"/>
        <w:adjustRightInd w:val="0"/>
        <w:rPr>
          <w:szCs w:val="22"/>
        </w:rPr>
      </w:pPr>
    </w:p>
    <w:p w:rsidR="002710BB" w:rsidP="002710BB">
      <w:pPr>
        <w:autoSpaceDE w:val="0"/>
        <w:autoSpaceDN w:val="0"/>
        <w:adjustRightInd w:val="0"/>
        <w:rPr>
          <w:szCs w:val="22"/>
        </w:rPr>
      </w:pPr>
      <w:r>
        <w:rPr>
          <w:b/>
          <w:szCs w:val="22"/>
          <w:u w:val="single"/>
        </w:rPr>
        <w:t>GENERAL INFORMATION</w:t>
      </w:r>
    </w:p>
    <w:p w:rsidR="002710BB" w:rsidP="002710BB">
      <w:pPr>
        <w:autoSpaceDE w:val="0"/>
        <w:autoSpaceDN w:val="0"/>
        <w:adjustRightInd w:val="0"/>
        <w:rPr>
          <w:szCs w:val="22"/>
        </w:rPr>
      </w:pPr>
    </w:p>
    <w:p w:rsidR="00AD111B" w:rsidRPr="00AD111B" w:rsidP="00AD111B">
      <w:pPr>
        <w:autoSpaceDE w:val="0"/>
        <w:autoSpaceDN w:val="0"/>
        <w:adjustRightInd w:val="0"/>
        <w:ind w:firstLine="720"/>
        <w:rPr>
          <w:szCs w:val="22"/>
        </w:rPr>
      </w:pPr>
      <w:bookmarkStart w:id="9" w:name="_Hlk510519956"/>
      <w:r w:rsidRPr="00AD111B">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AD111B" w:rsidRPr="00AD111B" w:rsidP="00AD111B">
      <w:pPr>
        <w:autoSpaceDE w:val="0"/>
        <w:autoSpaceDN w:val="0"/>
        <w:adjustRightInd w:val="0"/>
        <w:rPr>
          <w:szCs w:val="22"/>
        </w:rPr>
      </w:pPr>
    </w:p>
    <w:p w:rsidR="00AD111B" w:rsidRPr="00AD111B" w:rsidP="00AD111B">
      <w:pPr>
        <w:autoSpaceDE w:val="0"/>
        <w:autoSpaceDN w:val="0"/>
        <w:adjustRightInd w:val="0"/>
        <w:ind w:firstLine="360"/>
        <w:rPr>
          <w:szCs w:val="22"/>
        </w:rPr>
      </w:pPr>
      <w:r w:rsidRPr="00AD111B">
        <w:rPr>
          <w:szCs w:val="22"/>
        </w:rPr>
        <w:t xml:space="preserve">Interested parties may file comments and petitions </w:t>
      </w:r>
      <w:r w:rsidRPr="00AD111B">
        <w:rPr>
          <w:b/>
          <w:szCs w:val="22"/>
        </w:rPr>
        <w:t>on or</w:t>
      </w:r>
      <w:r w:rsidRPr="00AD111B">
        <w:rPr>
          <w:szCs w:val="22"/>
        </w:rPr>
        <w:t xml:space="preserve"> </w:t>
      </w:r>
      <w:r w:rsidRPr="00AD111B">
        <w:rPr>
          <w:b/>
          <w:szCs w:val="22"/>
        </w:rPr>
        <w:t xml:space="preserve">before </w:t>
      </w:r>
      <w:r>
        <w:rPr>
          <w:b/>
          <w:szCs w:val="22"/>
        </w:rPr>
        <w:t xml:space="preserve">October </w:t>
      </w:r>
      <w:r w:rsidR="00E910E5">
        <w:rPr>
          <w:b/>
          <w:szCs w:val="22"/>
        </w:rPr>
        <w:t>14</w:t>
      </w:r>
      <w:r>
        <w:rPr>
          <w:b/>
          <w:szCs w:val="22"/>
        </w:rPr>
        <w:t>, 2019</w:t>
      </w:r>
      <w:r w:rsidRPr="00AD111B">
        <w:rPr>
          <w:b/>
          <w:szCs w:val="22"/>
        </w:rPr>
        <w:t>,</w:t>
      </w:r>
      <w:r w:rsidRPr="00AD111B">
        <w:rPr>
          <w:szCs w:val="22"/>
        </w:rPr>
        <w:t xml:space="preserve"> and</w:t>
      </w:r>
      <w:r w:rsidRPr="00AD111B">
        <w:rPr>
          <w:szCs w:val="22"/>
        </w:rPr>
        <w:t xml:space="preserve"> reply comments or oppositions to petitions </w:t>
      </w:r>
      <w:r w:rsidRPr="00AD111B">
        <w:rPr>
          <w:b/>
          <w:szCs w:val="22"/>
        </w:rPr>
        <w:t xml:space="preserve">on or before </w:t>
      </w:r>
      <w:r>
        <w:rPr>
          <w:b/>
          <w:szCs w:val="22"/>
        </w:rPr>
        <w:t xml:space="preserve">October </w:t>
      </w:r>
      <w:r w:rsidR="00E910E5">
        <w:rPr>
          <w:b/>
          <w:szCs w:val="22"/>
        </w:rPr>
        <w:t>21</w:t>
      </w:r>
      <w:r w:rsidRPr="00AD111B">
        <w:rPr>
          <w:b/>
          <w:szCs w:val="22"/>
        </w:rPr>
        <w:t>, 2019</w:t>
      </w:r>
      <w:r w:rsidRPr="00AD111B">
        <w:rPr>
          <w:szCs w:val="22"/>
        </w:rPr>
        <w:t>.  Comments may be filed using the Commission’s Electronic Comment Filing System (ECFS) or by paper.  All filings must be addressed to the Commission’s Secretary, Office of the Secretary, Federal Communications Commission.</w:t>
      </w:r>
    </w:p>
    <w:p w:rsidR="00AD111B" w:rsidRPr="00AD111B" w:rsidP="00AD111B">
      <w:pPr>
        <w:autoSpaceDE w:val="0"/>
        <w:autoSpaceDN w:val="0"/>
        <w:adjustRightInd w:val="0"/>
        <w:rPr>
          <w:szCs w:val="22"/>
        </w:rPr>
      </w:pPr>
      <w:r w:rsidRPr="00AD111B">
        <w:rPr>
          <w:szCs w:val="22"/>
        </w:rPr>
        <w:t> </w:t>
      </w:r>
    </w:p>
    <w:p w:rsidR="00AD111B" w:rsidRPr="00AD111B" w:rsidP="00AD111B">
      <w:pPr>
        <w:numPr>
          <w:ilvl w:val="0"/>
          <w:numId w:val="20"/>
        </w:numPr>
        <w:autoSpaceDE w:val="0"/>
        <w:autoSpaceDN w:val="0"/>
        <w:adjustRightInd w:val="0"/>
        <w:rPr>
          <w:szCs w:val="22"/>
        </w:rPr>
      </w:pPr>
      <w:r w:rsidRPr="00AD111B">
        <w:rPr>
          <w:szCs w:val="22"/>
        </w:rPr>
        <w:t>Electronic Filers:  Comments may be filed electronically by accessing ECFS at </w:t>
      </w:r>
      <w:hyperlink r:id="rId11" w:history="1">
        <w:r w:rsidRPr="00AD111B">
          <w:rPr>
            <w:rStyle w:val="Hyperlink"/>
            <w:szCs w:val="22"/>
          </w:rPr>
          <w:t>http://apps.fcc.gov/ecfs/</w:t>
        </w:r>
      </w:hyperlink>
      <w:r w:rsidRPr="00AD111B">
        <w:rPr>
          <w:szCs w:val="22"/>
        </w:rPr>
        <w:t>.</w:t>
      </w:r>
    </w:p>
    <w:p w:rsidR="00AD111B" w:rsidRPr="00AD111B" w:rsidP="00AD111B">
      <w:pPr>
        <w:autoSpaceDE w:val="0"/>
        <w:autoSpaceDN w:val="0"/>
        <w:adjustRightInd w:val="0"/>
        <w:rPr>
          <w:szCs w:val="22"/>
        </w:rPr>
      </w:pPr>
    </w:p>
    <w:p w:rsidR="00AD111B" w:rsidRPr="00AD111B" w:rsidP="00AD111B">
      <w:pPr>
        <w:numPr>
          <w:ilvl w:val="0"/>
          <w:numId w:val="21"/>
        </w:numPr>
        <w:autoSpaceDE w:val="0"/>
        <w:autoSpaceDN w:val="0"/>
        <w:adjustRightInd w:val="0"/>
        <w:rPr>
          <w:szCs w:val="22"/>
        </w:rPr>
      </w:pPr>
      <w:r w:rsidRPr="00AD111B">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AD111B" w:rsidRPr="00AD111B" w:rsidP="00AD111B">
      <w:pPr>
        <w:autoSpaceDE w:val="0"/>
        <w:autoSpaceDN w:val="0"/>
        <w:adjustRightInd w:val="0"/>
        <w:rPr>
          <w:szCs w:val="22"/>
        </w:rPr>
      </w:pPr>
    </w:p>
    <w:p w:rsidR="00AD111B" w:rsidRPr="00AD111B" w:rsidP="00AD111B">
      <w:pPr>
        <w:numPr>
          <w:ilvl w:val="1"/>
          <w:numId w:val="21"/>
        </w:numPr>
        <w:autoSpaceDE w:val="0"/>
        <w:autoSpaceDN w:val="0"/>
        <w:adjustRightInd w:val="0"/>
        <w:rPr>
          <w:szCs w:val="22"/>
        </w:rPr>
      </w:pPr>
      <w:r w:rsidRPr="00AD111B">
        <w:rPr>
          <w:szCs w:val="22"/>
        </w:rPr>
        <w:t>All hand-delivered or messenger-delivered paper filings for the Commission’s Secretary must be delivered to FCC Headquarters at 445 12</w:t>
      </w:r>
      <w:r w:rsidRPr="00AD111B">
        <w:rPr>
          <w:szCs w:val="22"/>
          <w:vertAlign w:val="superscript"/>
        </w:rPr>
        <w:t>th</w:t>
      </w:r>
      <w:r w:rsidRPr="00AD111B">
        <w:rPr>
          <w:szCs w:val="22"/>
        </w:rPr>
        <w:t> St., SW, Room TW-A325, Washington, DC, 20554.  The filing hours are 8:00 a.m. to 7:00 p.m.  All hand deliveries must be held together with rubber bands or fasteners.  All envelopes and boxes must be disposed of before entering the building. </w:t>
      </w:r>
    </w:p>
    <w:p w:rsidR="00AD111B" w:rsidRPr="00AD111B" w:rsidP="00AD111B">
      <w:pPr>
        <w:autoSpaceDE w:val="0"/>
        <w:autoSpaceDN w:val="0"/>
        <w:adjustRightInd w:val="0"/>
        <w:rPr>
          <w:szCs w:val="22"/>
        </w:rPr>
      </w:pPr>
    </w:p>
    <w:p w:rsidR="00AD111B" w:rsidRPr="00AD111B" w:rsidP="00AD111B">
      <w:pPr>
        <w:numPr>
          <w:ilvl w:val="1"/>
          <w:numId w:val="21"/>
        </w:numPr>
        <w:autoSpaceDE w:val="0"/>
        <w:autoSpaceDN w:val="0"/>
        <w:adjustRightInd w:val="0"/>
        <w:rPr>
          <w:szCs w:val="22"/>
        </w:rPr>
      </w:pPr>
      <w:r w:rsidRPr="00AD111B">
        <w:rPr>
          <w:szCs w:val="22"/>
        </w:rPr>
        <w:t>Commercial overnight mail (other than U.S. Postal Service Express Mail and Priority Mail) must be sent to 9050 Junction Drive, Annapolis Junction, MD, 20701.</w:t>
      </w:r>
    </w:p>
    <w:p w:rsidR="00AD111B" w:rsidRPr="00AD111B" w:rsidP="00AD111B">
      <w:pPr>
        <w:autoSpaceDE w:val="0"/>
        <w:autoSpaceDN w:val="0"/>
        <w:adjustRightInd w:val="0"/>
        <w:rPr>
          <w:szCs w:val="22"/>
        </w:rPr>
      </w:pPr>
    </w:p>
    <w:p w:rsidR="00AD111B" w:rsidRPr="00AD111B" w:rsidP="00AD111B">
      <w:pPr>
        <w:numPr>
          <w:ilvl w:val="1"/>
          <w:numId w:val="21"/>
        </w:numPr>
        <w:autoSpaceDE w:val="0"/>
        <w:autoSpaceDN w:val="0"/>
        <w:adjustRightInd w:val="0"/>
        <w:rPr>
          <w:szCs w:val="22"/>
        </w:rPr>
      </w:pPr>
      <w:r w:rsidRPr="00AD111B">
        <w:rPr>
          <w:szCs w:val="22"/>
        </w:rPr>
        <w:t>U.S. Postal Service first-class, Express, and Priority mail must be addressed to 445 12</w:t>
      </w:r>
      <w:r w:rsidRPr="00AD111B">
        <w:rPr>
          <w:szCs w:val="22"/>
          <w:vertAlign w:val="superscript"/>
        </w:rPr>
        <w:t>th</w:t>
      </w:r>
      <w:r w:rsidRPr="00AD111B">
        <w:rPr>
          <w:szCs w:val="22"/>
        </w:rPr>
        <w:t> Street, SW, Washington DC, 20554.</w:t>
      </w:r>
    </w:p>
    <w:p w:rsidR="00AD111B" w:rsidRPr="00AD111B" w:rsidP="00AD111B">
      <w:pPr>
        <w:autoSpaceDE w:val="0"/>
        <w:autoSpaceDN w:val="0"/>
        <w:adjustRightInd w:val="0"/>
        <w:rPr>
          <w:szCs w:val="22"/>
        </w:rPr>
      </w:pPr>
      <w:r w:rsidRPr="00AD111B">
        <w:rPr>
          <w:szCs w:val="22"/>
        </w:rPr>
        <w:t> </w:t>
      </w:r>
    </w:p>
    <w:p w:rsidR="00AD111B" w:rsidRPr="00AD111B" w:rsidP="00AD111B">
      <w:pPr>
        <w:autoSpaceDE w:val="0"/>
        <w:autoSpaceDN w:val="0"/>
        <w:adjustRightInd w:val="0"/>
        <w:ind w:firstLine="720"/>
        <w:rPr>
          <w:szCs w:val="22"/>
        </w:rPr>
      </w:pPr>
      <w:r w:rsidRPr="00AD111B">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AD111B" w:rsidRPr="00AD111B" w:rsidP="00AD111B">
      <w:pPr>
        <w:autoSpaceDE w:val="0"/>
        <w:autoSpaceDN w:val="0"/>
        <w:adjustRightInd w:val="0"/>
        <w:rPr>
          <w:b/>
          <w:szCs w:val="22"/>
        </w:rPr>
      </w:pPr>
    </w:p>
    <w:p w:rsidR="00AD111B" w:rsidRPr="00AD111B" w:rsidP="00AD111B">
      <w:pPr>
        <w:autoSpaceDE w:val="0"/>
        <w:autoSpaceDN w:val="0"/>
        <w:adjustRightInd w:val="0"/>
        <w:rPr>
          <w:b/>
          <w:szCs w:val="22"/>
        </w:rPr>
      </w:pPr>
      <w:r w:rsidRPr="00AD111B">
        <w:rPr>
          <w:b/>
          <w:szCs w:val="22"/>
        </w:rPr>
        <w:t>In addition, e-mail one copy of each pleading to each of the following:</w:t>
      </w:r>
    </w:p>
    <w:p w:rsidR="00AD111B" w:rsidRPr="00AD111B" w:rsidP="00AD111B">
      <w:pPr>
        <w:autoSpaceDE w:val="0"/>
        <w:autoSpaceDN w:val="0"/>
        <w:adjustRightInd w:val="0"/>
        <w:rPr>
          <w:b/>
          <w:szCs w:val="22"/>
        </w:rPr>
      </w:pPr>
    </w:p>
    <w:p w:rsidR="00AD111B" w:rsidRPr="00AD111B" w:rsidP="00AD111B">
      <w:pPr>
        <w:numPr>
          <w:ilvl w:val="0"/>
          <w:numId w:val="18"/>
        </w:numPr>
        <w:autoSpaceDE w:val="0"/>
        <w:autoSpaceDN w:val="0"/>
        <w:adjustRightInd w:val="0"/>
        <w:rPr>
          <w:szCs w:val="22"/>
        </w:rPr>
      </w:pPr>
      <w:r>
        <w:rPr>
          <w:szCs w:val="22"/>
        </w:rPr>
        <w:t>Tracey Wilson</w:t>
      </w:r>
      <w:r w:rsidRPr="00AD111B">
        <w:rPr>
          <w:szCs w:val="22"/>
        </w:rPr>
        <w:t xml:space="preserve">, Competition Policy Division, Wireline Competition Bureau,  </w:t>
      </w:r>
      <w:hyperlink r:id="rId12" w:history="1">
        <w:r w:rsidRPr="002204E0">
          <w:rPr>
            <w:rStyle w:val="Hyperlink"/>
            <w:szCs w:val="22"/>
          </w:rPr>
          <w:t>tracey.wilson</w:t>
        </w:r>
        <w:r w:rsidRPr="00AD111B">
          <w:rPr>
            <w:rStyle w:val="Hyperlink"/>
            <w:szCs w:val="22"/>
          </w:rPr>
          <w:t>@fcc.gov</w:t>
        </w:r>
      </w:hyperlink>
      <w:r w:rsidRPr="00AD111B">
        <w:rPr>
          <w:szCs w:val="22"/>
        </w:rPr>
        <w:t>;</w:t>
      </w:r>
    </w:p>
    <w:p w:rsidR="00AD111B" w:rsidRPr="00AD111B" w:rsidP="00AD111B">
      <w:pPr>
        <w:autoSpaceDE w:val="0"/>
        <w:autoSpaceDN w:val="0"/>
        <w:adjustRightInd w:val="0"/>
        <w:rPr>
          <w:szCs w:val="22"/>
        </w:rPr>
      </w:pPr>
    </w:p>
    <w:p w:rsidR="00AD111B" w:rsidP="00AD111B">
      <w:pPr>
        <w:numPr>
          <w:ilvl w:val="0"/>
          <w:numId w:val="18"/>
        </w:numPr>
        <w:autoSpaceDE w:val="0"/>
        <w:autoSpaceDN w:val="0"/>
        <w:adjustRightInd w:val="0"/>
        <w:rPr>
          <w:szCs w:val="22"/>
        </w:rPr>
      </w:pPr>
      <w:r w:rsidRPr="00AD111B">
        <w:rPr>
          <w:szCs w:val="22"/>
        </w:rPr>
        <w:t xml:space="preserve">Gregory Kwan, Competition Policy Division, Wireline Competition Bureau, </w:t>
      </w:r>
      <w:hyperlink r:id="rId13" w:history="1">
        <w:r w:rsidRPr="00AD111B">
          <w:rPr>
            <w:rStyle w:val="Hyperlink"/>
            <w:szCs w:val="22"/>
          </w:rPr>
          <w:t>gregory.kwan@fcc.gov</w:t>
        </w:r>
      </w:hyperlink>
      <w:r w:rsidRPr="00AD111B">
        <w:rPr>
          <w:szCs w:val="22"/>
        </w:rPr>
        <w:t xml:space="preserve">; </w:t>
      </w:r>
    </w:p>
    <w:p w:rsidR="00AD111B" w:rsidP="00AD111B">
      <w:pPr>
        <w:pStyle w:val="ListParagraph"/>
        <w:rPr>
          <w:snapToGrid w:val="0"/>
          <w:color w:val="000000"/>
          <w:kern w:val="28"/>
          <w:szCs w:val="22"/>
        </w:rPr>
      </w:pPr>
    </w:p>
    <w:p w:rsidR="00AD111B" w:rsidP="00AD111B">
      <w:pPr>
        <w:numPr>
          <w:ilvl w:val="0"/>
          <w:numId w:val="18"/>
        </w:numPr>
        <w:autoSpaceDE w:val="0"/>
        <w:autoSpaceDN w:val="0"/>
        <w:adjustRightInd w:val="0"/>
        <w:rPr>
          <w:szCs w:val="22"/>
        </w:rPr>
      </w:pPr>
      <w:r w:rsidRPr="00AD111B">
        <w:rPr>
          <w:snapToGrid w:val="0"/>
          <w:color w:val="000000"/>
          <w:kern w:val="28"/>
          <w:szCs w:val="22"/>
        </w:rPr>
        <w:t xml:space="preserve">David Krech, International Bureau, </w:t>
      </w:r>
      <w:hyperlink r:id="rId14" w:history="1">
        <w:r w:rsidRPr="00AD111B">
          <w:rPr>
            <w:snapToGrid w:val="0"/>
            <w:color w:val="0000FF"/>
            <w:kern w:val="28"/>
            <w:szCs w:val="22"/>
            <w:u w:val="single"/>
          </w:rPr>
          <w:t>david.krech@fcc.gov</w:t>
        </w:r>
      </w:hyperlink>
      <w:r w:rsidRPr="00AD111B">
        <w:rPr>
          <w:snapToGrid w:val="0"/>
          <w:color w:val="000000"/>
          <w:kern w:val="28"/>
          <w:szCs w:val="22"/>
        </w:rPr>
        <w:t>;</w:t>
      </w:r>
    </w:p>
    <w:p w:rsidR="00AD111B" w:rsidP="00AD111B">
      <w:pPr>
        <w:pStyle w:val="ListParagraph"/>
        <w:rPr>
          <w:snapToGrid w:val="0"/>
          <w:color w:val="000000"/>
          <w:kern w:val="28"/>
          <w:szCs w:val="22"/>
        </w:rPr>
      </w:pPr>
    </w:p>
    <w:p w:rsidR="00AD111B" w:rsidP="00AD111B">
      <w:pPr>
        <w:numPr>
          <w:ilvl w:val="0"/>
          <w:numId w:val="18"/>
        </w:numPr>
        <w:autoSpaceDE w:val="0"/>
        <w:autoSpaceDN w:val="0"/>
        <w:adjustRightInd w:val="0"/>
        <w:rPr>
          <w:szCs w:val="22"/>
        </w:rPr>
      </w:pPr>
      <w:r w:rsidRPr="00AD111B">
        <w:rPr>
          <w:snapToGrid w:val="0"/>
          <w:color w:val="000000"/>
          <w:kern w:val="28"/>
          <w:szCs w:val="22"/>
        </w:rPr>
        <w:t xml:space="preserve">Sumita Mukhoty, International Bureau, </w:t>
      </w:r>
      <w:hyperlink r:id="rId15" w:history="1">
        <w:r w:rsidRPr="00AD111B">
          <w:rPr>
            <w:snapToGrid w:val="0"/>
            <w:color w:val="0000FF"/>
            <w:kern w:val="28"/>
            <w:szCs w:val="22"/>
            <w:u w:val="single"/>
          </w:rPr>
          <w:t>sumita.mukhoty@fcc.gov</w:t>
        </w:r>
      </w:hyperlink>
      <w:r>
        <w:rPr>
          <w:szCs w:val="22"/>
        </w:rPr>
        <w:t>; and</w:t>
      </w:r>
    </w:p>
    <w:p w:rsidR="00AD111B" w:rsidP="00AD111B">
      <w:pPr>
        <w:pStyle w:val="ListParagraph"/>
        <w:rPr>
          <w:szCs w:val="22"/>
        </w:rPr>
      </w:pPr>
    </w:p>
    <w:p w:rsidR="00AD111B" w:rsidRPr="00AD111B" w:rsidP="00AD111B">
      <w:pPr>
        <w:numPr>
          <w:ilvl w:val="0"/>
          <w:numId w:val="18"/>
        </w:numPr>
        <w:autoSpaceDE w:val="0"/>
        <w:autoSpaceDN w:val="0"/>
        <w:adjustRightInd w:val="0"/>
        <w:rPr>
          <w:szCs w:val="22"/>
        </w:rPr>
      </w:pPr>
      <w:r w:rsidRPr="00AD111B">
        <w:rPr>
          <w:szCs w:val="22"/>
        </w:rPr>
        <w:t xml:space="preserve">Jim Bird, Office of General Counsel, </w:t>
      </w:r>
      <w:hyperlink r:id="rId16" w:history="1">
        <w:r w:rsidRPr="00AD111B">
          <w:rPr>
            <w:rStyle w:val="Hyperlink"/>
            <w:szCs w:val="22"/>
          </w:rPr>
          <w:t>jim.bird@fcc.gov</w:t>
        </w:r>
      </w:hyperlink>
      <w:r w:rsidRPr="00AD111B">
        <w:rPr>
          <w:szCs w:val="22"/>
        </w:rPr>
        <w:t>.</w:t>
      </w:r>
    </w:p>
    <w:p w:rsidR="00AD111B" w:rsidRPr="00AD111B" w:rsidP="00AD111B">
      <w:pPr>
        <w:autoSpaceDE w:val="0"/>
        <w:autoSpaceDN w:val="0"/>
        <w:adjustRightInd w:val="0"/>
        <w:rPr>
          <w:szCs w:val="22"/>
        </w:rPr>
      </w:pPr>
    </w:p>
    <w:p w:rsidR="00AD111B" w:rsidRPr="00AD111B" w:rsidP="00AD111B">
      <w:pPr>
        <w:autoSpaceDE w:val="0"/>
        <w:autoSpaceDN w:val="0"/>
        <w:adjustRightInd w:val="0"/>
        <w:ind w:firstLine="360"/>
        <w:rPr>
          <w:szCs w:val="22"/>
        </w:rPr>
      </w:pPr>
      <w:r w:rsidRPr="00AD111B">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AD111B" w:rsidRPr="00AD111B" w:rsidP="00AD111B">
      <w:pPr>
        <w:autoSpaceDE w:val="0"/>
        <w:autoSpaceDN w:val="0"/>
        <w:adjustRightInd w:val="0"/>
        <w:rPr>
          <w:szCs w:val="22"/>
        </w:rPr>
      </w:pPr>
    </w:p>
    <w:p w:rsidR="00AD111B" w:rsidRPr="00AD111B" w:rsidP="00AD111B">
      <w:pPr>
        <w:autoSpaceDE w:val="0"/>
        <w:autoSpaceDN w:val="0"/>
        <w:adjustRightInd w:val="0"/>
        <w:ind w:firstLine="720"/>
        <w:rPr>
          <w:szCs w:val="22"/>
        </w:rPr>
      </w:pPr>
      <w:r w:rsidRPr="00AD111B">
        <w:rPr>
          <w:szCs w:val="22"/>
        </w:rPr>
        <w:t xml:space="preserve">The proceeding in this Notice shall be treated as a “permit-but-disclose” proceeding in accordance with the Commission’s </w:t>
      </w:r>
      <w:r w:rsidRPr="00AD111B">
        <w:rPr>
          <w:i/>
          <w:szCs w:val="22"/>
        </w:rPr>
        <w:t>ex parte</w:t>
      </w:r>
      <w:r w:rsidRPr="00AD111B">
        <w:rPr>
          <w:szCs w:val="22"/>
        </w:rPr>
        <w:t xml:space="preserve"> rules.  Persons making </w:t>
      </w:r>
      <w:r w:rsidRPr="00AD111B">
        <w:rPr>
          <w:i/>
          <w:szCs w:val="22"/>
        </w:rPr>
        <w:t>ex parte</w:t>
      </w:r>
      <w:r w:rsidRPr="00AD111B">
        <w:rPr>
          <w:szCs w:val="22"/>
        </w:rPr>
        <w:t xml:space="preserve"> presentations must file a copy of any written presentation or a memorandum summarizing any oral presentation within two </w:t>
      </w:r>
      <w:r w:rsidRPr="00AD111B">
        <w:rPr>
          <w:szCs w:val="22"/>
        </w:rPr>
        <w:t xml:space="preserve">business days after the presentation (unless a different deadline applicable to the Sunshine period applies).  Persons making oral </w:t>
      </w:r>
      <w:r w:rsidRPr="00AD111B">
        <w:rPr>
          <w:i/>
          <w:szCs w:val="22"/>
        </w:rPr>
        <w:t>ex parte</w:t>
      </w:r>
      <w:r w:rsidRPr="00AD111B">
        <w:rPr>
          <w:szCs w:val="22"/>
        </w:rPr>
        <w:t xml:space="preserve"> presentations are reminded that memoranda summarizing the presentation must (1) list all persons attending or otherwise participating in the meeting at which the </w:t>
      </w:r>
      <w:r w:rsidRPr="00AD111B">
        <w:rPr>
          <w:i/>
          <w:szCs w:val="22"/>
        </w:rPr>
        <w:t>ex parte</w:t>
      </w:r>
      <w:r w:rsidRPr="00AD111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111B">
        <w:rPr>
          <w:i/>
          <w:szCs w:val="22"/>
        </w:rPr>
        <w:t>ex parte</w:t>
      </w:r>
      <w:r w:rsidRPr="00AD111B">
        <w:rPr>
          <w:szCs w:val="22"/>
        </w:rPr>
        <w:t xml:space="preserve"> meetings are deemed to be written </w:t>
      </w:r>
      <w:r w:rsidRPr="00AD111B">
        <w:rPr>
          <w:i/>
          <w:szCs w:val="22"/>
        </w:rPr>
        <w:t>ex parte</w:t>
      </w:r>
      <w:r w:rsidRPr="00AD111B">
        <w:rPr>
          <w:szCs w:val="22"/>
        </w:rPr>
        <w:t xml:space="preserve"> presentations and must be filed consistent with rule 1.1206(b), 47 CFR § 1.1206(b).  Participants in this proceeding should familiarize themselves with the Commission’s </w:t>
      </w:r>
      <w:r w:rsidRPr="00AD111B">
        <w:rPr>
          <w:i/>
          <w:szCs w:val="22"/>
        </w:rPr>
        <w:t>ex parte</w:t>
      </w:r>
      <w:r w:rsidRPr="00AD111B">
        <w:rPr>
          <w:szCs w:val="22"/>
        </w:rPr>
        <w:t xml:space="preserve"> rules.</w:t>
      </w:r>
    </w:p>
    <w:p w:rsidR="00AD111B" w:rsidRPr="00AD111B" w:rsidP="00AD111B">
      <w:pPr>
        <w:autoSpaceDE w:val="0"/>
        <w:autoSpaceDN w:val="0"/>
        <w:adjustRightInd w:val="0"/>
        <w:rPr>
          <w:szCs w:val="22"/>
        </w:rPr>
      </w:pPr>
    </w:p>
    <w:p w:rsidR="00AD111B" w:rsidRPr="00AD111B" w:rsidP="00AD111B">
      <w:pPr>
        <w:autoSpaceDE w:val="0"/>
        <w:autoSpaceDN w:val="0"/>
        <w:adjustRightInd w:val="0"/>
        <w:ind w:firstLine="720"/>
        <w:rPr>
          <w:szCs w:val="22"/>
        </w:rPr>
      </w:pPr>
      <w:r w:rsidRPr="00AD111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AD111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710BB" w:rsidP="002710BB">
      <w:pPr>
        <w:autoSpaceDE w:val="0"/>
        <w:autoSpaceDN w:val="0"/>
        <w:adjustRightInd w:val="0"/>
        <w:rPr>
          <w:szCs w:val="22"/>
        </w:rPr>
      </w:pPr>
    </w:p>
    <w:p w:rsidR="002710BB" w:rsidRPr="006B7F06" w:rsidP="002710BB">
      <w:pPr>
        <w:autoSpaceDE w:val="0"/>
        <w:autoSpaceDN w:val="0"/>
        <w:adjustRightInd w:val="0"/>
        <w:ind w:firstLine="720"/>
        <w:rPr>
          <w:szCs w:val="22"/>
        </w:rPr>
      </w:pPr>
      <w:r>
        <w:rPr>
          <w:szCs w:val="22"/>
        </w:rPr>
        <w:t xml:space="preserve">For further information, please contact </w:t>
      </w:r>
      <w:r w:rsidR="00AA5056">
        <w:rPr>
          <w:szCs w:val="22"/>
        </w:rPr>
        <w:t>Tracey Wilson</w:t>
      </w:r>
      <w:r>
        <w:rPr>
          <w:szCs w:val="22"/>
        </w:rPr>
        <w:t xml:space="preserve"> at (202) 418-1</w:t>
      </w:r>
      <w:r w:rsidR="00AA5056">
        <w:rPr>
          <w:szCs w:val="22"/>
        </w:rPr>
        <w:t>394</w:t>
      </w:r>
      <w:r>
        <w:rPr>
          <w:szCs w:val="22"/>
        </w:rPr>
        <w:t xml:space="preserve"> or </w:t>
      </w:r>
      <w:bookmarkEnd w:id="9"/>
      <w:r w:rsidR="00AE6A62">
        <w:rPr>
          <w:szCs w:val="22"/>
        </w:rPr>
        <w:t>Gregory Kwan</w:t>
      </w:r>
      <w:r w:rsidR="00AA5056">
        <w:rPr>
          <w:szCs w:val="22"/>
        </w:rPr>
        <w:t xml:space="preserve"> at</w:t>
      </w:r>
      <w:r>
        <w:rPr>
          <w:szCs w:val="22"/>
        </w:rPr>
        <w:t xml:space="preserve"> (202) 418-</w:t>
      </w:r>
      <w:r w:rsidR="00AE6A62">
        <w:rPr>
          <w:szCs w:val="22"/>
        </w:rPr>
        <w:t>1191</w:t>
      </w:r>
      <w:r w:rsidRPr="006B7F06">
        <w:rPr>
          <w:szCs w:val="22"/>
        </w:rPr>
        <w:t>.</w:t>
      </w:r>
    </w:p>
    <w:p w:rsidR="002710BB" w:rsidP="002710BB">
      <w:pPr>
        <w:autoSpaceDE w:val="0"/>
        <w:autoSpaceDN w:val="0"/>
        <w:adjustRightInd w:val="0"/>
        <w:ind w:firstLine="720"/>
        <w:rPr>
          <w:szCs w:val="22"/>
        </w:rPr>
      </w:pPr>
    </w:p>
    <w:p w:rsidR="002710BB" w:rsidP="002710BB">
      <w:pPr>
        <w:jc w:val="center"/>
        <w:rPr>
          <w:b/>
          <w:szCs w:val="22"/>
        </w:rPr>
      </w:pPr>
      <w:r>
        <w:rPr>
          <w:b/>
          <w:szCs w:val="22"/>
        </w:rPr>
        <w:t xml:space="preserve">FCC </w:t>
      </w:r>
    </w:p>
    <w:p w:rsidR="002710BB" w:rsidP="002710BB">
      <w:pPr>
        <w:rPr>
          <w:color w:val="000000"/>
          <w:szCs w:val="22"/>
        </w:rPr>
      </w:pPr>
    </w:p>
    <w:p w:rsidR="002710BB" w:rsidP="002710BB">
      <w:pP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7FFA">
      <w:r>
        <w:separator/>
      </w:r>
    </w:p>
  </w:footnote>
  <w:footnote w:type="continuationSeparator" w:id="1">
    <w:p w:rsidR="00017FFA">
      <w:r>
        <w:continuationSeparator/>
      </w:r>
    </w:p>
  </w:footnote>
  <w:footnote w:type="continuationNotice" w:id="2">
    <w:p w:rsidR="00017FFA"/>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w:t>
      </w:r>
      <w:r w:rsidR="00A2528F">
        <w:rPr>
          <w:sz w:val="24"/>
          <w:szCs w:val="24"/>
        </w:rPr>
        <w:t>.</w:t>
      </w:r>
      <w:r w:rsidRPr="00A2528F" w:rsidR="00A2528F">
        <w:rPr>
          <w:sz w:val="20"/>
        </w:rPr>
        <w:t xml:space="preserve"> </w:t>
      </w:r>
      <w:r w:rsidR="00800CE2">
        <w:rPr>
          <w:sz w:val="20"/>
        </w:rPr>
        <w:t xml:space="preserve"> </w:t>
      </w:r>
      <w:r w:rsidRPr="00720946" w:rsidR="00A2528F">
        <w:rPr>
          <w:sz w:val="20"/>
        </w:rPr>
        <w:t>Applicants also filed applications for the transfer of</w:t>
      </w:r>
      <w:r w:rsidR="00A2528F">
        <w:rPr>
          <w:sz w:val="20"/>
        </w:rPr>
        <w:t xml:space="preserve"> </w:t>
      </w:r>
      <w:r w:rsidRPr="00720946" w:rsidR="00A2528F">
        <w:rPr>
          <w:sz w:val="20"/>
        </w:rPr>
        <w:t>authorizations associated with international</w:t>
      </w:r>
      <w:r w:rsidR="00A2528F">
        <w:rPr>
          <w:sz w:val="20"/>
        </w:rPr>
        <w:t xml:space="preserve"> </w:t>
      </w:r>
      <w:r w:rsidRPr="00720946" w:rsidR="00A2528F">
        <w:rPr>
          <w:sz w:val="20"/>
        </w:rPr>
        <w:t>services</w:t>
      </w:r>
      <w:r w:rsidR="005E6682">
        <w:rPr>
          <w:sz w:val="20"/>
        </w:rPr>
        <w:t xml:space="preserve"> </w:t>
      </w:r>
      <w:r w:rsidRPr="00E95811" w:rsidR="00691258">
        <w:rPr>
          <w:sz w:val="20"/>
        </w:rPr>
        <w:t>and intend to file applications for the transfer of wireless authorizations</w:t>
      </w:r>
      <w:r w:rsidRPr="00720946" w:rsidR="00A2528F">
        <w:rPr>
          <w:sz w:val="20"/>
        </w:rPr>
        <w:t xml:space="preserve">. </w:t>
      </w:r>
      <w:r w:rsidR="00B25FBB">
        <w:rPr>
          <w:sz w:val="20"/>
        </w:rPr>
        <w:t xml:space="preserve"> </w:t>
      </w:r>
      <w:r w:rsidR="00B045C0">
        <w:rPr>
          <w:sz w:val="20"/>
        </w:rPr>
        <w:t xml:space="preserve">On September 24, 2019, Applicants filed a supplement to their domestic section 214 application.  </w:t>
      </w:r>
      <w:r w:rsidRPr="00720946" w:rsidR="00A2528F">
        <w:rPr>
          <w:sz w:val="20"/>
        </w:rPr>
        <w:t>Any action on the domestic section 214 application is without prejudice to Commission action on other related, pending applications.</w:t>
      </w:r>
      <w:r w:rsidR="00A2528F">
        <w:rPr>
          <w:sz w:val="20"/>
        </w:rPr>
        <w:t xml:space="preserve">   </w:t>
      </w:r>
    </w:p>
  </w:footnote>
  <w:footnote w:id="4">
    <w:p w:rsidR="004A0A09" w:rsidRPr="001F7902" w:rsidP="00CE5C0C">
      <w:pPr>
        <w:pStyle w:val="FootnoteText"/>
        <w:tabs>
          <w:tab w:val="left" w:pos="4950"/>
        </w:tabs>
        <w:rPr>
          <w:sz w:val="20"/>
        </w:rPr>
      </w:pPr>
      <w:r>
        <w:rPr>
          <w:rStyle w:val="FootnoteReference"/>
        </w:rPr>
        <w:footnoteRef/>
      </w:r>
      <w:r>
        <w:t xml:space="preserve"> </w:t>
      </w:r>
      <w:r w:rsidRPr="00E95811" w:rsidR="00936833">
        <w:rPr>
          <w:sz w:val="20"/>
        </w:rPr>
        <w:t>Applicants state that no foreign equity holder would individually own 10% or more of Licensees post-transaction.  Currently, t</w:t>
      </w:r>
      <w:r w:rsidRPr="00E95811" w:rsidR="00524770">
        <w:rPr>
          <w:sz w:val="20"/>
        </w:rPr>
        <w:t>he</w:t>
      </w:r>
      <w:r w:rsidRPr="001F50C6" w:rsidR="00524770">
        <w:rPr>
          <w:sz w:val="20"/>
        </w:rPr>
        <w:t xml:space="preserve"> following entities</w:t>
      </w:r>
      <w:r w:rsidRPr="001F50C6" w:rsidR="00D26FAD">
        <w:rPr>
          <w:sz w:val="20"/>
        </w:rPr>
        <w:t xml:space="preserve"> </w:t>
      </w:r>
      <w:r w:rsidRPr="001F50C6" w:rsidR="00524770">
        <w:rPr>
          <w:sz w:val="20"/>
        </w:rPr>
        <w:t>own or control 10</w:t>
      </w:r>
      <w:r w:rsidR="00CF37D1">
        <w:rPr>
          <w:sz w:val="20"/>
        </w:rPr>
        <w:t>%</w:t>
      </w:r>
      <w:r w:rsidRPr="001F50C6" w:rsidR="00524770">
        <w:rPr>
          <w:sz w:val="20"/>
        </w:rPr>
        <w:t xml:space="preserve"> or more of T</w:t>
      </w:r>
      <w:r w:rsidRPr="001F50C6" w:rsidR="00FB2A68">
        <w:rPr>
          <w:sz w:val="20"/>
        </w:rPr>
        <w:t>Px</w:t>
      </w:r>
      <w:r w:rsidRPr="001F50C6" w:rsidR="00524770">
        <w:rPr>
          <w:sz w:val="20"/>
        </w:rPr>
        <w:t xml:space="preserve"> Holdings:  Investcorp S.A. (41.7%),</w:t>
      </w:r>
      <w:bookmarkStart w:id="5" w:name="co_tablefootnote_3_1"/>
      <w:bookmarkEnd w:id="5"/>
      <w:r w:rsidRPr="001F50C6" w:rsidR="00524770">
        <w:rPr>
          <w:sz w:val="20"/>
        </w:rPr>
        <w:t xml:space="preserve"> a Cayman Islands investment entity, and Clarity Partners, L.P., a U.S. based investment entity (23.97</w:t>
      </w:r>
      <w:r w:rsidR="00CF37D1">
        <w:rPr>
          <w:sz w:val="20"/>
        </w:rPr>
        <w:t>%</w:t>
      </w:r>
      <w:r w:rsidRPr="001F50C6" w:rsidR="00524770">
        <w:rPr>
          <w:sz w:val="20"/>
        </w:rPr>
        <w:t>).</w:t>
      </w:r>
      <w:bookmarkStart w:id="6" w:name="co_tablefootnote_4_1"/>
      <w:bookmarkEnd w:id="6"/>
      <w:r w:rsidRPr="001F50C6" w:rsidR="00524770">
        <w:rPr>
          <w:sz w:val="20"/>
        </w:rPr>
        <w:t xml:space="preserve">  Investcorp </w:t>
      </w:r>
      <w:r w:rsidRPr="001F50C6" w:rsidR="00FB2A68">
        <w:rPr>
          <w:sz w:val="20"/>
        </w:rPr>
        <w:t xml:space="preserve">S.A. is ultimately controlled by </w:t>
      </w:r>
      <w:r w:rsidRPr="001F50C6" w:rsidR="00524770">
        <w:rPr>
          <w:sz w:val="20"/>
        </w:rPr>
        <w:t>SIPCO Holdings Limited, a Cayman Islands entity</w:t>
      </w:r>
      <w:r w:rsidRPr="001F50C6" w:rsidR="00FB2A68">
        <w:rPr>
          <w:sz w:val="20"/>
        </w:rPr>
        <w:t>, that is managed by six members with citizenships from the following countries:  Qatar, Bahrain, Oman, Kuwait, and the United Kingdom.  Applicants state that, u</w:t>
      </w:r>
      <w:r w:rsidRPr="001F50C6" w:rsidR="00270471">
        <w:rPr>
          <w:sz w:val="20"/>
        </w:rPr>
        <w:t xml:space="preserve">pon closing, TPx Holdings’ current equity holders will collectively and indirectly hold a class of junior equity in an indirect parent company of Tango through Tango Qualified Stockholder Holdings, LLC, </w:t>
      </w:r>
      <w:r w:rsidRPr="001F50C6" w:rsidR="00691258">
        <w:rPr>
          <w:sz w:val="20"/>
        </w:rPr>
        <w:t xml:space="preserve">a Delaware limited liability company, </w:t>
      </w:r>
      <w:r w:rsidRPr="001F50C6" w:rsidR="00270471">
        <w:rPr>
          <w:sz w:val="20"/>
        </w:rPr>
        <w:t>with no right to a board seat, no special or redemption rights, and no individual or entity holding a 10% or greater indirect interest in T</w:t>
      </w:r>
      <w:r w:rsidRPr="001F50C6" w:rsidR="00E7517C">
        <w:rPr>
          <w:sz w:val="20"/>
        </w:rPr>
        <w:t>Px Holdings</w:t>
      </w:r>
      <w:r w:rsidRPr="001F50C6" w:rsidR="00270471">
        <w:rPr>
          <w:sz w:val="20"/>
        </w:rPr>
        <w:t>.</w:t>
      </w:r>
      <w:r w:rsidRPr="001F50C6" w:rsidR="00D84F09">
        <w:rPr>
          <w:sz w:val="20"/>
        </w:rPr>
        <w:t xml:space="preserve">  In addition to Licensees, TPx Holdings</w:t>
      </w:r>
      <w:r w:rsidR="00CB6548">
        <w:rPr>
          <w:sz w:val="20"/>
        </w:rPr>
        <w:t xml:space="preserve"> indirectly wholly own</w:t>
      </w:r>
      <w:r w:rsidR="00E00EDA">
        <w:rPr>
          <w:sz w:val="20"/>
        </w:rPr>
        <w:t>s</w:t>
      </w:r>
      <w:r w:rsidRPr="001F50C6" w:rsidR="001F50C6">
        <w:rPr>
          <w:sz w:val="20"/>
        </w:rPr>
        <w:t xml:space="preserve"> </w:t>
      </w:r>
      <w:r w:rsidRPr="001F50C6" w:rsidR="00D84F09">
        <w:rPr>
          <w:sz w:val="20"/>
        </w:rPr>
        <w:t>NextWeb, Inc.</w:t>
      </w:r>
      <w:r w:rsidRPr="001F50C6">
        <w:rPr>
          <w:sz w:val="20"/>
        </w:rPr>
        <w:t xml:space="preserve">, </w:t>
      </w:r>
      <w:r w:rsidRPr="001F50C6" w:rsidR="001F50C6">
        <w:rPr>
          <w:sz w:val="20"/>
        </w:rPr>
        <w:t xml:space="preserve">a California corporation, </w:t>
      </w:r>
      <w:r w:rsidRPr="001F50C6" w:rsidR="00D84F09">
        <w:rPr>
          <w:sz w:val="20"/>
        </w:rPr>
        <w:t>which holds FCC wireless authorizations</w:t>
      </w:r>
      <w:r w:rsidRPr="001F50C6">
        <w:rPr>
          <w:sz w:val="20"/>
        </w:rPr>
        <w:t>,</w:t>
      </w:r>
      <w:r w:rsidRPr="001F50C6" w:rsidR="00D84F09">
        <w:rPr>
          <w:sz w:val="20"/>
        </w:rPr>
        <w:t xml:space="preserve"> and ICG ChoiceCom L.P.</w:t>
      </w:r>
      <w:r w:rsidRPr="001F50C6" w:rsidR="00B85FFA">
        <w:rPr>
          <w:sz w:val="20"/>
        </w:rPr>
        <w:t>, a Delaware limited partnership,</w:t>
      </w:r>
      <w:r w:rsidRPr="001F50C6" w:rsidR="00D84F09">
        <w:rPr>
          <w:sz w:val="20"/>
        </w:rPr>
        <w:t xml:space="preserve"> </w:t>
      </w:r>
      <w:r w:rsidR="00DF50AD">
        <w:rPr>
          <w:sz w:val="20"/>
        </w:rPr>
        <w:t>which provides</w:t>
      </w:r>
      <w:r w:rsidRPr="001F50C6" w:rsidR="00B85FFA">
        <w:rPr>
          <w:sz w:val="20"/>
        </w:rPr>
        <w:t xml:space="preserve"> </w:t>
      </w:r>
      <w:r w:rsidRPr="001F50C6" w:rsidR="00D84F09">
        <w:rPr>
          <w:sz w:val="20"/>
        </w:rPr>
        <w:t xml:space="preserve">competitive </w:t>
      </w:r>
      <w:r w:rsidRPr="001F50C6">
        <w:rPr>
          <w:sz w:val="20"/>
        </w:rPr>
        <w:t>telecommunication</w:t>
      </w:r>
      <w:r w:rsidRPr="001F50C6" w:rsidR="00B85FFA">
        <w:rPr>
          <w:sz w:val="20"/>
        </w:rPr>
        <w:t>s services to its only customer,</w:t>
      </w:r>
      <w:r w:rsidRPr="001F50C6">
        <w:rPr>
          <w:sz w:val="20"/>
        </w:rPr>
        <w:t xml:space="preserve"> TCC, in Texas</w:t>
      </w:r>
      <w:r w:rsidRPr="001F50C6" w:rsidR="00D84F09">
        <w:rPr>
          <w:sz w:val="20"/>
        </w:rPr>
        <w:t xml:space="preserve">.  </w:t>
      </w:r>
      <w:r w:rsidRPr="001F50C6" w:rsidR="00DD39E7">
        <w:rPr>
          <w:sz w:val="20"/>
        </w:rPr>
        <w:t xml:space="preserve">Applicants provide in their application charts depicting the pre and post-transaction ownership </w:t>
      </w:r>
      <w:r w:rsidRPr="001F7902" w:rsidR="00DD39E7">
        <w:rPr>
          <w:sz w:val="20"/>
        </w:rPr>
        <w:t>structure</w:t>
      </w:r>
      <w:r w:rsidRPr="001F7902" w:rsidR="00DF50AD">
        <w:rPr>
          <w:sz w:val="20"/>
        </w:rPr>
        <w:t xml:space="preserve"> of the proposed transaction</w:t>
      </w:r>
      <w:r w:rsidRPr="001F7902" w:rsidR="00DD39E7">
        <w:rPr>
          <w:sz w:val="20"/>
        </w:rPr>
        <w:t>.</w:t>
      </w:r>
    </w:p>
  </w:footnote>
  <w:footnote w:id="5">
    <w:p w:rsidR="00EC0B97" w:rsidRPr="001F7902" w:rsidP="001F7902">
      <w:pPr>
        <w:pStyle w:val="Default"/>
        <w:rPr>
          <w:sz w:val="20"/>
          <w:szCs w:val="20"/>
        </w:rPr>
      </w:pPr>
      <w:r w:rsidRPr="001F7902">
        <w:rPr>
          <w:rStyle w:val="FootnoteReference"/>
          <w:sz w:val="20"/>
          <w:szCs w:val="20"/>
        </w:rPr>
        <w:footnoteRef/>
      </w:r>
      <w:r w:rsidRPr="001F7902">
        <w:rPr>
          <w:sz w:val="20"/>
          <w:szCs w:val="20"/>
        </w:rPr>
        <w:t xml:space="preserve"> Mr. Baker, Mr. Berger, and Mr. Hendren are the members who ultimately control Sir</w:t>
      </w:r>
      <w:r w:rsidRPr="001F7902" w:rsidR="001F7902">
        <w:rPr>
          <w:sz w:val="20"/>
          <w:szCs w:val="20"/>
        </w:rPr>
        <w:t>i</w:t>
      </w:r>
      <w:r w:rsidRPr="001F7902">
        <w:rPr>
          <w:sz w:val="20"/>
          <w:szCs w:val="20"/>
        </w:rPr>
        <w:t>s GP Holdco III, LLC and Siris GP Holdco IV, LLC.</w:t>
      </w:r>
      <w:r w:rsidRPr="001F7902" w:rsidR="00AB1B2F">
        <w:rPr>
          <w:sz w:val="20"/>
          <w:szCs w:val="20"/>
        </w:rPr>
        <w:t xml:space="preserve">  </w:t>
      </w:r>
      <w:r w:rsidRPr="001F7902" w:rsidR="00221983">
        <w:rPr>
          <w:sz w:val="20"/>
          <w:szCs w:val="20"/>
        </w:rPr>
        <w:t>Applicants state that Tango</w:t>
      </w:r>
      <w:r w:rsidRPr="001F7902" w:rsidR="001F7902">
        <w:rPr>
          <w:sz w:val="20"/>
          <w:szCs w:val="20"/>
        </w:rPr>
        <w:t xml:space="preserve"> and its 10% or greater owners upstream do not have any 10% or greater ownership interest in any other telecommunications provider.  </w:t>
      </w:r>
    </w:p>
    <w:p w:rsidR="001F7902" w:rsidRPr="001F7902" w:rsidP="001F7902">
      <w:pPr>
        <w:pStyle w:val="Default"/>
      </w:pPr>
    </w:p>
  </w:footnote>
  <w:footnote w:id="6">
    <w:p w:rsidR="00AD111B" w:rsidP="00AD111B">
      <w:pPr>
        <w:pStyle w:val="FootnoteText"/>
        <w:rPr>
          <w:sz w:val="20"/>
        </w:rPr>
      </w:pPr>
      <w:r>
        <w:rPr>
          <w:rStyle w:val="FootnoteReference"/>
          <w:sz w:val="20"/>
        </w:rPr>
        <w:footnoteRef/>
      </w:r>
      <w:r>
        <w:rPr>
          <w:sz w:val="20"/>
        </w:rPr>
        <w:t xml:space="preserve"> </w:t>
      </w:r>
      <w:r>
        <w:rPr>
          <w:color w:val="020100"/>
          <w:sz w:val="20"/>
        </w:rPr>
        <w:t>47 CFR § 63.03(c)(1)(v).</w:t>
      </w:r>
    </w:p>
  </w:footnote>
  <w:footnote w:id="7">
    <w:p w:rsidR="00AD111B" w:rsidRPr="00403B91" w:rsidP="00AD111B">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D50281">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3B502D"/>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202C71"/>
    <w:multiLevelType w:val="hybridMultilevel"/>
    <w:tmpl w:val="3AB8E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6"/>
  </w:num>
  <w:num w:numId="14">
    <w:abstractNumId w:val="13"/>
  </w:num>
  <w:num w:numId="15">
    <w:abstractNumId w:val="0"/>
  </w:num>
  <w:num w:numId="16">
    <w:abstractNumId w:val="16"/>
  </w:num>
  <w:num w:numId="17">
    <w:abstractNumId w:val="4"/>
  </w:num>
  <w:num w:numId="18">
    <w:abstractNumId w:val="14"/>
  </w:num>
  <w:num w:numId="19">
    <w:abstractNumId w:val="3"/>
  </w:num>
  <w:num w:numId="20">
    <w:abstractNumId w:val="1"/>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4980"/>
    <w:rsid w:val="00017FFA"/>
    <w:rsid w:val="00021394"/>
    <w:rsid w:val="00022476"/>
    <w:rsid w:val="000224EB"/>
    <w:rsid w:val="000275C0"/>
    <w:rsid w:val="00027CDF"/>
    <w:rsid w:val="000314B8"/>
    <w:rsid w:val="000323A4"/>
    <w:rsid w:val="000339AC"/>
    <w:rsid w:val="00036507"/>
    <w:rsid w:val="00036643"/>
    <w:rsid w:val="00037B27"/>
    <w:rsid w:val="00040A35"/>
    <w:rsid w:val="00050129"/>
    <w:rsid w:val="00051153"/>
    <w:rsid w:val="00056FBA"/>
    <w:rsid w:val="00057B28"/>
    <w:rsid w:val="00061922"/>
    <w:rsid w:val="00061F6F"/>
    <w:rsid w:val="000622EA"/>
    <w:rsid w:val="00073655"/>
    <w:rsid w:val="00080003"/>
    <w:rsid w:val="00080A7B"/>
    <w:rsid w:val="00082438"/>
    <w:rsid w:val="00085EE9"/>
    <w:rsid w:val="00096A5D"/>
    <w:rsid w:val="00097A4D"/>
    <w:rsid w:val="000A0AF8"/>
    <w:rsid w:val="000A5682"/>
    <w:rsid w:val="000B0DE3"/>
    <w:rsid w:val="000C1734"/>
    <w:rsid w:val="000C268D"/>
    <w:rsid w:val="000C29BF"/>
    <w:rsid w:val="000C5A5D"/>
    <w:rsid w:val="000D3CA4"/>
    <w:rsid w:val="000D4311"/>
    <w:rsid w:val="000E361F"/>
    <w:rsid w:val="000E58F7"/>
    <w:rsid w:val="000E759F"/>
    <w:rsid w:val="000F1019"/>
    <w:rsid w:val="000F35B2"/>
    <w:rsid w:val="000F6C1D"/>
    <w:rsid w:val="00102CB4"/>
    <w:rsid w:val="00103C5C"/>
    <w:rsid w:val="00104590"/>
    <w:rsid w:val="00115112"/>
    <w:rsid w:val="00124BD0"/>
    <w:rsid w:val="00130651"/>
    <w:rsid w:val="0013110F"/>
    <w:rsid w:val="001419AD"/>
    <w:rsid w:val="00145A03"/>
    <w:rsid w:val="00157F59"/>
    <w:rsid w:val="00161D32"/>
    <w:rsid w:val="00165A52"/>
    <w:rsid w:val="001746B2"/>
    <w:rsid w:val="0017556F"/>
    <w:rsid w:val="00177E40"/>
    <w:rsid w:val="00183BC5"/>
    <w:rsid w:val="001912DA"/>
    <w:rsid w:val="0019360E"/>
    <w:rsid w:val="00197FA0"/>
    <w:rsid w:val="001B2CEB"/>
    <w:rsid w:val="001B4F4A"/>
    <w:rsid w:val="001B5E2E"/>
    <w:rsid w:val="001B6A93"/>
    <w:rsid w:val="001C07EB"/>
    <w:rsid w:val="001D440A"/>
    <w:rsid w:val="001D44E2"/>
    <w:rsid w:val="001D5BAB"/>
    <w:rsid w:val="001E4A3D"/>
    <w:rsid w:val="001E4A71"/>
    <w:rsid w:val="001E50F1"/>
    <w:rsid w:val="001F09B5"/>
    <w:rsid w:val="001F50C6"/>
    <w:rsid w:val="001F5143"/>
    <w:rsid w:val="001F5484"/>
    <w:rsid w:val="001F5FE8"/>
    <w:rsid w:val="001F7902"/>
    <w:rsid w:val="002009DB"/>
    <w:rsid w:val="00200A46"/>
    <w:rsid w:val="00201ECC"/>
    <w:rsid w:val="0020784E"/>
    <w:rsid w:val="002149CF"/>
    <w:rsid w:val="00215440"/>
    <w:rsid w:val="002204E0"/>
    <w:rsid w:val="00221983"/>
    <w:rsid w:val="00223422"/>
    <w:rsid w:val="00224457"/>
    <w:rsid w:val="00230B59"/>
    <w:rsid w:val="00231551"/>
    <w:rsid w:val="002339D8"/>
    <w:rsid w:val="00236297"/>
    <w:rsid w:val="00242548"/>
    <w:rsid w:val="00242EB6"/>
    <w:rsid w:val="00246345"/>
    <w:rsid w:val="00253611"/>
    <w:rsid w:val="0025377B"/>
    <w:rsid w:val="00254085"/>
    <w:rsid w:val="0025577D"/>
    <w:rsid w:val="00257DA2"/>
    <w:rsid w:val="002703A5"/>
    <w:rsid w:val="00270471"/>
    <w:rsid w:val="002710BB"/>
    <w:rsid w:val="0027368D"/>
    <w:rsid w:val="00277EC1"/>
    <w:rsid w:val="00280FB5"/>
    <w:rsid w:val="00281C4B"/>
    <w:rsid w:val="00283E1B"/>
    <w:rsid w:val="00284202"/>
    <w:rsid w:val="0028593D"/>
    <w:rsid w:val="0029209F"/>
    <w:rsid w:val="002979A5"/>
    <w:rsid w:val="002A0167"/>
    <w:rsid w:val="002A0F17"/>
    <w:rsid w:val="002A16C8"/>
    <w:rsid w:val="002A1A50"/>
    <w:rsid w:val="002A1C63"/>
    <w:rsid w:val="002A1F0F"/>
    <w:rsid w:val="002A4414"/>
    <w:rsid w:val="002A7343"/>
    <w:rsid w:val="002C706B"/>
    <w:rsid w:val="002D1263"/>
    <w:rsid w:val="002D3ED6"/>
    <w:rsid w:val="002E626E"/>
    <w:rsid w:val="002F5A0D"/>
    <w:rsid w:val="002F5DD8"/>
    <w:rsid w:val="00305C19"/>
    <w:rsid w:val="0030659D"/>
    <w:rsid w:val="00316C41"/>
    <w:rsid w:val="00316CA1"/>
    <w:rsid w:val="00323A96"/>
    <w:rsid w:val="00326DAB"/>
    <w:rsid w:val="00327184"/>
    <w:rsid w:val="00330DD0"/>
    <w:rsid w:val="003348A2"/>
    <w:rsid w:val="00335653"/>
    <w:rsid w:val="003436FD"/>
    <w:rsid w:val="003452E3"/>
    <w:rsid w:val="00345DD9"/>
    <w:rsid w:val="003477C2"/>
    <w:rsid w:val="00354BAE"/>
    <w:rsid w:val="00356C93"/>
    <w:rsid w:val="00362735"/>
    <w:rsid w:val="00363070"/>
    <w:rsid w:val="003710A9"/>
    <w:rsid w:val="003713FE"/>
    <w:rsid w:val="0037371D"/>
    <w:rsid w:val="00375720"/>
    <w:rsid w:val="003805A7"/>
    <w:rsid w:val="00381027"/>
    <w:rsid w:val="003826DE"/>
    <w:rsid w:val="00384887"/>
    <w:rsid w:val="00387CB5"/>
    <w:rsid w:val="003A46D8"/>
    <w:rsid w:val="003B3824"/>
    <w:rsid w:val="003B4233"/>
    <w:rsid w:val="003B6314"/>
    <w:rsid w:val="003D2CC0"/>
    <w:rsid w:val="003D3C17"/>
    <w:rsid w:val="003D6225"/>
    <w:rsid w:val="003E11DE"/>
    <w:rsid w:val="003E1DCE"/>
    <w:rsid w:val="003E7B36"/>
    <w:rsid w:val="003E7CC1"/>
    <w:rsid w:val="003F07A4"/>
    <w:rsid w:val="003F092A"/>
    <w:rsid w:val="003F5DCE"/>
    <w:rsid w:val="00403B91"/>
    <w:rsid w:val="00405233"/>
    <w:rsid w:val="004061EC"/>
    <w:rsid w:val="004131DC"/>
    <w:rsid w:val="00432F9C"/>
    <w:rsid w:val="004336CC"/>
    <w:rsid w:val="00433AA0"/>
    <w:rsid w:val="00436121"/>
    <w:rsid w:val="0043707B"/>
    <w:rsid w:val="004423CD"/>
    <w:rsid w:val="004427C1"/>
    <w:rsid w:val="00443169"/>
    <w:rsid w:val="00443BA5"/>
    <w:rsid w:val="00452C04"/>
    <w:rsid w:val="004573CA"/>
    <w:rsid w:val="00457C69"/>
    <w:rsid w:val="004605DE"/>
    <w:rsid w:val="00461B7F"/>
    <w:rsid w:val="004656F8"/>
    <w:rsid w:val="004672EF"/>
    <w:rsid w:val="0046789B"/>
    <w:rsid w:val="00471580"/>
    <w:rsid w:val="00472C50"/>
    <w:rsid w:val="00473B72"/>
    <w:rsid w:val="00475701"/>
    <w:rsid w:val="004767C7"/>
    <w:rsid w:val="00476C55"/>
    <w:rsid w:val="00477645"/>
    <w:rsid w:val="0048025D"/>
    <w:rsid w:val="00490BF1"/>
    <w:rsid w:val="00493B38"/>
    <w:rsid w:val="0049526E"/>
    <w:rsid w:val="00495966"/>
    <w:rsid w:val="004A0A09"/>
    <w:rsid w:val="004A348A"/>
    <w:rsid w:val="004A421B"/>
    <w:rsid w:val="004A46C9"/>
    <w:rsid w:val="004A60DC"/>
    <w:rsid w:val="004A71CD"/>
    <w:rsid w:val="004B04FC"/>
    <w:rsid w:val="004B18DF"/>
    <w:rsid w:val="004B3411"/>
    <w:rsid w:val="004B495B"/>
    <w:rsid w:val="004B6274"/>
    <w:rsid w:val="004B649A"/>
    <w:rsid w:val="004B6AC2"/>
    <w:rsid w:val="004B7234"/>
    <w:rsid w:val="004C2281"/>
    <w:rsid w:val="004C49EF"/>
    <w:rsid w:val="004C5B2A"/>
    <w:rsid w:val="004D082B"/>
    <w:rsid w:val="004D15D9"/>
    <w:rsid w:val="004D31A3"/>
    <w:rsid w:val="004D36B9"/>
    <w:rsid w:val="004E0968"/>
    <w:rsid w:val="004E1CCD"/>
    <w:rsid w:val="004E4528"/>
    <w:rsid w:val="004E713C"/>
    <w:rsid w:val="004F2529"/>
    <w:rsid w:val="004F365D"/>
    <w:rsid w:val="004F65AF"/>
    <w:rsid w:val="004F7F50"/>
    <w:rsid w:val="005004AE"/>
    <w:rsid w:val="00501987"/>
    <w:rsid w:val="00502046"/>
    <w:rsid w:val="00506996"/>
    <w:rsid w:val="00507DD9"/>
    <w:rsid w:val="005100C2"/>
    <w:rsid w:val="00512277"/>
    <w:rsid w:val="005129CA"/>
    <w:rsid w:val="005136DE"/>
    <w:rsid w:val="00513739"/>
    <w:rsid w:val="00520052"/>
    <w:rsid w:val="00522012"/>
    <w:rsid w:val="00524770"/>
    <w:rsid w:val="0053086F"/>
    <w:rsid w:val="00530ECC"/>
    <w:rsid w:val="005310EC"/>
    <w:rsid w:val="00535182"/>
    <w:rsid w:val="00541B00"/>
    <w:rsid w:val="00541FC7"/>
    <w:rsid w:val="00544141"/>
    <w:rsid w:val="00546673"/>
    <w:rsid w:val="0055536A"/>
    <w:rsid w:val="00556328"/>
    <w:rsid w:val="005564CC"/>
    <w:rsid w:val="0056030A"/>
    <w:rsid w:val="00560400"/>
    <w:rsid w:val="0056463D"/>
    <w:rsid w:val="00570827"/>
    <w:rsid w:val="00572EC5"/>
    <w:rsid w:val="00572F38"/>
    <w:rsid w:val="005746C3"/>
    <w:rsid w:val="005766C0"/>
    <w:rsid w:val="00580490"/>
    <w:rsid w:val="005807E7"/>
    <w:rsid w:val="005816B9"/>
    <w:rsid w:val="00583816"/>
    <w:rsid w:val="00590D65"/>
    <w:rsid w:val="005917A5"/>
    <w:rsid w:val="00593AB4"/>
    <w:rsid w:val="00596619"/>
    <w:rsid w:val="005A09F7"/>
    <w:rsid w:val="005A3743"/>
    <w:rsid w:val="005B456E"/>
    <w:rsid w:val="005B4DEE"/>
    <w:rsid w:val="005B6656"/>
    <w:rsid w:val="005D1F95"/>
    <w:rsid w:val="005D4873"/>
    <w:rsid w:val="005D7414"/>
    <w:rsid w:val="005D7703"/>
    <w:rsid w:val="005E6682"/>
    <w:rsid w:val="005F01FA"/>
    <w:rsid w:val="005F0F09"/>
    <w:rsid w:val="005F7B41"/>
    <w:rsid w:val="0060549D"/>
    <w:rsid w:val="006134CB"/>
    <w:rsid w:val="0061680A"/>
    <w:rsid w:val="00621C2A"/>
    <w:rsid w:val="00622499"/>
    <w:rsid w:val="00630CA6"/>
    <w:rsid w:val="006324B2"/>
    <w:rsid w:val="0063349E"/>
    <w:rsid w:val="006350EA"/>
    <w:rsid w:val="00641EAF"/>
    <w:rsid w:val="00644843"/>
    <w:rsid w:val="00652D35"/>
    <w:rsid w:val="00653F32"/>
    <w:rsid w:val="00653F40"/>
    <w:rsid w:val="00655921"/>
    <w:rsid w:val="00663E39"/>
    <w:rsid w:val="00664B4E"/>
    <w:rsid w:val="00670371"/>
    <w:rsid w:val="00672102"/>
    <w:rsid w:val="00681C4F"/>
    <w:rsid w:val="00681F18"/>
    <w:rsid w:val="00682D07"/>
    <w:rsid w:val="00685356"/>
    <w:rsid w:val="00691258"/>
    <w:rsid w:val="006950EB"/>
    <w:rsid w:val="00695882"/>
    <w:rsid w:val="00695ED6"/>
    <w:rsid w:val="00697F9B"/>
    <w:rsid w:val="006A1CCC"/>
    <w:rsid w:val="006A5535"/>
    <w:rsid w:val="006B07EB"/>
    <w:rsid w:val="006B29E2"/>
    <w:rsid w:val="006B4201"/>
    <w:rsid w:val="006B7F06"/>
    <w:rsid w:val="006C050F"/>
    <w:rsid w:val="006C2CB5"/>
    <w:rsid w:val="006C7ACC"/>
    <w:rsid w:val="006D190B"/>
    <w:rsid w:val="006D5004"/>
    <w:rsid w:val="006E619A"/>
    <w:rsid w:val="006F1A16"/>
    <w:rsid w:val="006F3BD7"/>
    <w:rsid w:val="006F50E9"/>
    <w:rsid w:val="006F54C1"/>
    <w:rsid w:val="006F6107"/>
    <w:rsid w:val="00702A0D"/>
    <w:rsid w:val="0072074E"/>
    <w:rsid w:val="00720946"/>
    <w:rsid w:val="00724631"/>
    <w:rsid w:val="00727E40"/>
    <w:rsid w:val="00731FA9"/>
    <w:rsid w:val="00732C04"/>
    <w:rsid w:val="007406C3"/>
    <w:rsid w:val="00743073"/>
    <w:rsid w:val="0074362A"/>
    <w:rsid w:val="00747341"/>
    <w:rsid w:val="007504A1"/>
    <w:rsid w:val="0075336E"/>
    <w:rsid w:val="007558D7"/>
    <w:rsid w:val="00761017"/>
    <w:rsid w:val="007644F1"/>
    <w:rsid w:val="00767EC4"/>
    <w:rsid w:val="007718AB"/>
    <w:rsid w:val="007725E8"/>
    <w:rsid w:val="00773EAE"/>
    <w:rsid w:val="0077609C"/>
    <w:rsid w:val="00782554"/>
    <w:rsid w:val="0078382A"/>
    <w:rsid w:val="0078725E"/>
    <w:rsid w:val="00791C6D"/>
    <w:rsid w:val="00792642"/>
    <w:rsid w:val="00794A8B"/>
    <w:rsid w:val="00795E89"/>
    <w:rsid w:val="00797C32"/>
    <w:rsid w:val="007A017E"/>
    <w:rsid w:val="007A6B8F"/>
    <w:rsid w:val="007B1B03"/>
    <w:rsid w:val="007B248F"/>
    <w:rsid w:val="007B279A"/>
    <w:rsid w:val="007C36A5"/>
    <w:rsid w:val="007C50D7"/>
    <w:rsid w:val="007C57F3"/>
    <w:rsid w:val="007D352B"/>
    <w:rsid w:val="007D48BC"/>
    <w:rsid w:val="007D75D8"/>
    <w:rsid w:val="007F43F2"/>
    <w:rsid w:val="00800CE2"/>
    <w:rsid w:val="008012E2"/>
    <w:rsid w:val="00802693"/>
    <w:rsid w:val="00802B98"/>
    <w:rsid w:val="008050F8"/>
    <w:rsid w:val="00830116"/>
    <w:rsid w:val="00831C83"/>
    <w:rsid w:val="00832816"/>
    <w:rsid w:val="00862E04"/>
    <w:rsid w:val="0086589F"/>
    <w:rsid w:val="00866889"/>
    <w:rsid w:val="008764D8"/>
    <w:rsid w:val="0088011A"/>
    <w:rsid w:val="00890074"/>
    <w:rsid w:val="00895FE2"/>
    <w:rsid w:val="008A0F2A"/>
    <w:rsid w:val="008A1E75"/>
    <w:rsid w:val="008A3F30"/>
    <w:rsid w:val="008C49B6"/>
    <w:rsid w:val="008C4FF9"/>
    <w:rsid w:val="008C61C8"/>
    <w:rsid w:val="008D0A8D"/>
    <w:rsid w:val="008D2817"/>
    <w:rsid w:val="008D7345"/>
    <w:rsid w:val="008E012F"/>
    <w:rsid w:val="008E4710"/>
    <w:rsid w:val="008E6AB4"/>
    <w:rsid w:val="008F000C"/>
    <w:rsid w:val="008F0F01"/>
    <w:rsid w:val="008F1AED"/>
    <w:rsid w:val="00904094"/>
    <w:rsid w:val="0090640B"/>
    <w:rsid w:val="00917CD9"/>
    <w:rsid w:val="00934AC4"/>
    <w:rsid w:val="00936752"/>
    <w:rsid w:val="00936833"/>
    <w:rsid w:val="00942548"/>
    <w:rsid w:val="00943818"/>
    <w:rsid w:val="009452F8"/>
    <w:rsid w:val="00947810"/>
    <w:rsid w:val="00950931"/>
    <w:rsid w:val="00951E8A"/>
    <w:rsid w:val="0095530B"/>
    <w:rsid w:val="00955AC8"/>
    <w:rsid w:val="0095716B"/>
    <w:rsid w:val="00957758"/>
    <w:rsid w:val="00960AE0"/>
    <w:rsid w:val="00961877"/>
    <w:rsid w:val="0096503E"/>
    <w:rsid w:val="00982B20"/>
    <w:rsid w:val="00991DB0"/>
    <w:rsid w:val="00995BC1"/>
    <w:rsid w:val="009A4D61"/>
    <w:rsid w:val="009B0256"/>
    <w:rsid w:val="009C4368"/>
    <w:rsid w:val="009C6AFA"/>
    <w:rsid w:val="009D0144"/>
    <w:rsid w:val="009D4559"/>
    <w:rsid w:val="009E04AE"/>
    <w:rsid w:val="009E1526"/>
    <w:rsid w:val="009E360F"/>
    <w:rsid w:val="009E4572"/>
    <w:rsid w:val="00A0107B"/>
    <w:rsid w:val="00A02445"/>
    <w:rsid w:val="00A02F23"/>
    <w:rsid w:val="00A04D25"/>
    <w:rsid w:val="00A05155"/>
    <w:rsid w:val="00A056A8"/>
    <w:rsid w:val="00A17132"/>
    <w:rsid w:val="00A24356"/>
    <w:rsid w:val="00A2528F"/>
    <w:rsid w:val="00A26A28"/>
    <w:rsid w:val="00A26B04"/>
    <w:rsid w:val="00A60261"/>
    <w:rsid w:val="00A6163F"/>
    <w:rsid w:val="00A65835"/>
    <w:rsid w:val="00A6784F"/>
    <w:rsid w:val="00A71D05"/>
    <w:rsid w:val="00A77513"/>
    <w:rsid w:val="00A84A51"/>
    <w:rsid w:val="00A87DB7"/>
    <w:rsid w:val="00A90D4B"/>
    <w:rsid w:val="00AA0FB8"/>
    <w:rsid w:val="00AA5056"/>
    <w:rsid w:val="00AA655C"/>
    <w:rsid w:val="00AA7D57"/>
    <w:rsid w:val="00AB1B2F"/>
    <w:rsid w:val="00AB227D"/>
    <w:rsid w:val="00AB72CC"/>
    <w:rsid w:val="00AC22D3"/>
    <w:rsid w:val="00AC28AC"/>
    <w:rsid w:val="00AC5FAE"/>
    <w:rsid w:val="00AD111B"/>
    <w:rsid w:val="00AD17CF"/>
    <w:rsid w:val="00AE6A62"/>
    <w:rsid w:val="00AF2A4A"/>
    <w:rsid w:val="00B007D6"/>
    <w:rsid w:val="00B02D79"/>
    <w:rsid w:val="00B045C0"/>
    <w:rsid w:val="00B07D18"/>
    <w:rsid w:val="00B13204"/>
    <w:rsid w:val="00B13303"/>
    <w:rsid w:val="00B13C3F"/>
    <w:rsid w:val="00B15470"/>
    <w:rsid w:val="00B210C2"/>
    <w:rsid w:val="00B21EC8"/>
    <w:rsid w:val="00B24061"/>
    <w:rsid w:val="00B25BBF"/>
    <w:rsid w:val="00B25FBB"/>
    <w:rsid w:val="00B36AE0"/>
    <w:rsid w:val="00B36F96"/>
    <w:rsid w:val="00B4425B"/>
    <w:rsid w:val="00B44D3E"/>
    <w:rsid w:val="00B45259"/>
    <w:rsid w:val="00B50071"/>
    <w:rsid w:val="00B53AD1"/>
    <w:rsid w:val="00B575BF"/>
    <w:rsid w:val="00B60DB5"/>
    <w:rsid w:val="00B62879"/>
    <w:rsid w:val="00B65A6B"/>
    <w:rsid w:val="00B702A7"/>
    <w:rsid w:val="00B730A5"/>
    <w:rsid w:val="00B730E9"/>
    <w:rsid w:val="00B7314B"/>
    <w:rsid w:val="00B74787"/>
    <w:rsid w:val="00B75B3E"/>
    <w:rsid w:val="00B77B57"/>
    <w:rsid w:val="00B81917"/>
    <w:rsid w:val="00B85FFA"/>
    <w:rsid w:val="00B8723A"/>
    <w:rsid w:val="00B936EC"/>
    <w:rsid w:val="00BA0AB1"/>
    <w:rsid w:val="00BA4F2C"/>
    <w:rsid w:val="00BA6AE8"/>
    <w:rsid w:val="00BB2151"/>
    <w:rsid w:val="00BB3C9E"/>
    <w:rsid w:val="00BB5C18"/>
    <w:rsid w:val="00BC23C3"/>
    <w:rsid w:val="00BC5A76"/>
    <w:rsid w:val="00BC5BDA"/>
    <w:rsid w:val="00BD4AA5"/>
    <w:rsid w:val="00BE66B7"/>
    <w:rsid w:val="00BE69D8"/>
    <w:rsid w:val="00BF0A92"/>
    <w:rsid w:val="00BF38EB"/>
    <w:rsid w:val="00BF451A"/>
    <w:rsid w:val="00BF5C4F"/>
    <w:rsid w:val="00BF7158"/>
    <w:rsid w:val="00C0080A"/>
    <w:rsid w:val="00C04314"/>
    <w:rsid w:val="00C06CF8"/>
    <w:rsid w:val="00C11A2B"/>
    <w:rsid w:val="00C13818"/>
    <w:rsid w:val="00C14202"/>
    <w:rsid w:val="00C143A1"/>
    <w:rsid w:val="00C15740"/>
    <w:rsid w:val="00C20A8D"/>
    <w:rsid w:val="00C25C13"/>
    <w:rsid w:val="00C30C53"/>
    <w:rsid w:val="00C32A79"/>
    <w:rsid w:val="00C350D5"/>
    <w:rsid w:val="00C37D21"/>
    <w:rsid w:val="00C43C01"/>
    <w:rsid w:val="00C443DA"/>
    <w:rsid w:val="00C44B2F"/>
    <w:rsid w:val="00C466F8"/>
    <w:rsid w:val="00C47AB0"/>
    <w:rsid w:val="00C56180"/>
    <w:rsid w:val="00C669F7"/>
    <w:rsid w:val="00C669FE"/>
    <w:rsid w:val="00C70279"/>
    <w:rsid w:val="00C8047B"/>
    <w:rsid w:val="00C85F98"/>
    <w:rsid w:val="00C920D5"/>
    <w:rsid w:val="00C92CA2"/>
    <w:rsid w:val="00C96682"/>
    <w:rsid w:val="00CA0D2C"/>
    <w:rsid w:val="00CA4566"/>
    <w:rsid w:val="00CB14FF"/>
    <w:rsid w:val="00CB6548"/>
    <w:rsid w:val="00CC1EDE"/>
    <w:rsid w:val="00CC317A"/>
    <w:rsid w:val="00CC4A75"/>
    <w:rsid w:val="00CC5510"/>
    <w:rsid w:val="00CD1EBC"/>
    <w:rsid w:val="00CE1AA4"/>
    <w:rsid w:val="00CE2462"/>
    <w:rsid w:val="00CE3E5D"/>
    <w:rsid w:val="00CE5C0C"/>
    <w:rsid w:val="00CE79B7"/>
    <w:rsid w:val="00CF0A91"/>
    <w:rsid w:val="00CF37D1"/>
    <w:rsid w:val="00CF51CD"/>
    <w:rsid w:val="00CF7042"/>
    <w:rsid w:val="00CF77E2"/>
    <w:rsid w:val="00D018B5"/>
    <w:rsid w:val="00D053C4"/>
    <w:rsid w:val="00D05431"/>
    <w:rsid w:val="00D05F64"/>
    <w:rsid w:val="00D06849"/>
    <w:rsid w:val="00D07ED0"/>
    <w:rsid w:val="00D10B82"/>
    <w:rsid w:val="00D14F62"/>
    <w:rsid w:val="00D165AD"/>
    <w:rsid w:val="00D17580"/>
    <w:rsid w:val="00D20E80"/>
    <w:rsid w:val="00D24EA9"/>
    <w:rsid w:val="00D26FAD"/>
    <w:rsid w:val="00D27F28"/>
    <w:rsid w:val="00D37E4C"/>
    <w:rsid w:val="00D438C3"/>
    <w:rsid w:val="00D50281"/>
    <w:rsid w:val="00D53B28"/>
    <w:rsid w:val="00D54C72"/>
    <w:rsid w:val="00D620E9"/>
    <w:rsid w:val="00D639F9"/>
    <w:rsid w:val="00D64E99"/>
    <w:rsid w:val="00D8108D"/>
    <w:rsid w:val="00D837DA"/>
    <w:rsid w:val="00D847CB"/>
    <w:rsid w:val="00D84F09"/>
    <w:rsid w:val="00D871F1"/>
    <w:rsid w:val="00D90A8A"/>
    <w:rsid w:val="00D9216C"/>
    <w:rsid w:val="00D93BDA"/>
    <w:rsid w:val="00D9515D"/>
    <w:rsid w:val="00DB458A"/>
    <w:rsid w:val="00DB6B0E"/>
    <w:rsid w:val="00DC7633"/>
    <w:rsid w:val="00DD1807"/>
    <w:rsid w:val="00DD1BEA"/>
    <w:rsid w:val="00DD1DE2"/>
    <w:rsid w:val="00DD2109"/>
    <w:rsid w:val="00DD3822"/>
    <w:rsid w:val="00DD39E7"/>
    <w:rsid w:val="00DE2829"/>
    <w:rsid w:val="00DF08F1"/>
    <w:rsid w:val="00DF240A"/>
    <w:rsid w:val="00DF3BED"/>
    <w:rsid w:val="00DF50AD"/>
    <w:rsid w:val="00E00A21"/>
    <w:rsid w:val="00E00EDA"/>
    <w:rsid w:val="00E055EC"/>
    <w:rsid w:val="00E17818"/>
    <w:rsid w:val="00E20623"/>
    <w:rsid w:val="00E25AB9"/>
    <w:rsid w:val="00E25DB2"/>
    <w:rsid w:val="00E261C6"/>
    <w:rsid w:val="00E40AFA"/>
    <w:rsid w:val="00E42CE8"/>
    <w:rsid w:val="00E43D5A"/>
    <w:rsid w:val="00E45DD1"/>
    <w:rsid w:val="00E51401"/>
    <w:rsid w:val="00E514AB"/>
    <w:rsid w:val="00E51868"/>
    <w:rsid w:val="00E53381"/>
    <w:rsid w:val="00E55B4B"/>
    <w:rsid w:val="00E70C97"/>
    <w:rsid w:val="00E745AD"/>
    <w:rsid w:val="00E7517C"/>
    <w:rsid w:val="00E83D4A"/>
    <w:rsid w:val="00E85877"/>
    <w:rsid w:val="00E85D30"/>
    <w:rsid w:val="00E86D79"/>
    <w:rsid w:val="00E910E5"/>
    <w:rsid w:val="00E95811"/>
    <w:rsid w:val="00EA01EA"/>
    <w:rsid w:val="00EA3499"/>
    <w:rsid w:val="00EB2BC2"/>
    <w:rsid w:val="00EC0B97"/>
    <w:rsid w:val="00EC0E5B"/>
    <w:rsid w:val="00EC715D"/>
    <w:rsid w:val="00ED0532"/>
    <w:rsid w:val="00EE08D7"/>
    <w:rsid w:val="00EE708C"/>
    <w:rsid w:val="00EF2B53"/>
    <w:rsid w:val="00EF5E79"/>
    <w:rsid w:val="00F03FAC"/>
    <w:rsid w:val="00F14BE4"/>
    <w:rsid w:val="00F150FD"/>
    <w:rsid w:val="00F1649D"/>
    <w:rsid w:val="00F2058C"/>
    <w:rsid w:val="00F20989"/>
    <w:rsid w:val="00F20D8E"/>
    <w:rsid w:val="00F22DCE"/>
    <w:rsid w:val="00F24C03"/>
    <w:rsid w:val="00F27619"/>
    <w:rsid w:val="00F36215"/>
    <w:rsid w:val="00F36C00"/>
    <w:rsid w:val="00F51098"/>
    <w:rsid w:val="00F55FA7"/>
    <w:rsid w:val="00F579ED"/>
    <w:rsid w:val="00F57C5C"/>
    <w:rsid w:val="00F57E08"/>
    <w:rsid w:val="00F607F4"/>
    <w:rsid w:val="00F64A4E"/>
    <w:rsid w:val="00F67A48"/>
    <w:rsid w:val="00F75932"/>
    <w:rsid w:val="00F9014D"/>
    <w:rsid w:val="00FA5C02"/>
    <w:rsid w:val="00FA5EA9"/>
    <w:rsid w:val="00FA6093"/>
    <w:rsid w:val="00FB2A68"/>
    <w:rsid w:val="00FB5C45"/>
    <w:rsid w:val="00FC6449"/>
    <w:rsid w:val="00FD1DC9"/>
    <w:rsid w:val="00FD2E07"/>
    <w:rsid w:val="00FE152A"/>
    <w:rsid w:val="00FE3F67"/>
    <w:rsid w:val="00FF1E77"/>
    <w:rsid w:val="00FF3CC0"/>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
    <w:name w:val="Unresolved Mention"/>
    <w:rsid w:val="00AA5056"/>
    <w:rPr>
      <w:color w:val="605E5C"/>
      <w:shd w:val="clear" w:color="auto" w:fill="E1DFDD"/>
    </w:rPr>
  </w:style>
  <w:style w:type="paragraph" w:customStyle="1" w:styleId="Default">
    <w:name w:val="Default"/>
    <w:rsid w:val="001F79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gregory.kwan@fcc.gov" TargetMode="External" /><Relationship Id="rId14" Type="http://schemas.openxmlformats.org/officeDocument/2006/relationships/hyperlink" Target="mailto:david.krech@fcc.gov" TargetMode="External" /><Relationship Id="rId15" Type="http://schemas.openxmlformats.org/officeDocument/2006/relationships/hyperlink" Target="mailto:sumita.mukhoty@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