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72969F9D"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77639C2" w14:textId="77777777">
      <w:pPr>
        <w:pStyle w:val="StyleBoldCentered"/>
      </w:pPr>
      <w:r>
        <w:t>F</w:t>
      </w:r>
      <w:r>
        <w:rPr>
          <w:caps w:val="0"/>
        </w:rPr>
        <w:t>ederal Communications Commission</w:t>
      </w:r>
    </w:p>
    <w:p w:rsidR="004C2EE3" w:rsidP="00096D8C" w14:paraId="2D92745C" w14:textId="77777777">
      <w:pPr>
        <w:pStyle w:val="StyleBoldCentered"/>
      </w:pPr>
      <w:r>
        <w:rPr>
          <w:caps w:val="0"/>
        </w:rPr>
        <w:t>Washington, D.C. 20554</w:t>
      </w:r>
    </w:p>
    <w:p w:rsidR="004C2EE3" w:rsidP="0070224F" w14:paraId="6686BFB1" w14:textId="77777777"/>
    <w:p w:rsidR="004C2EE3" w:rsidP="0070224F" w14:paraId="5A74D413" w14:textId="77777777"/>
    <w:tbl>
      <w:tblPr>
        <w:tblW w:w="0" w:type="auto"/>
        <w:tblLayout w:type="fixed"/>
        <w:tblLook w:val="0000"/>
      </w:tblPr>
      <w:tblGrid>
        <w:gridCol w:w="4698"/>
        <w:gridCol w:w="630"/>
        <w:gridCol w:w="4248"/>
      </w:tblGrid>
      <w:tr w14:paraId="7346BD41" w14:textId="77777777">
        <w:tblPrEx>
          <w:tblW w:w="0" w:type="auto"/>
          <w:tblLayout w:type="fixed"/>
          <w:tblLook w:val="0000"/>
        </w:tblPrEx>
        <w:tc>
          <w:tcPr>
            <w:tcW w:w="4698" w:type="dxa"/>
          </w:tcPr>
          <w:p w:rsidR="004C2EE3" w14:paraId="4EF8B086" w14:textId="77777777">
            <w:pPr>
              <w:tabs>
                <w:tab w:val="center" w:pos="4680"/>
              </w:tabs>
              <w:suppressAutoHyphens/>
              <w:rPr>
                <w:spacing w:val="-2"/>
              </w:rPr>
            </w:pPr>
            <w:r>
              <w:rPr>
                <w:spacing w:val="-2"/>
              </w:rPr>
              <w:t>In the Matter of</w:t>
            </w:r>
          </w:p>
          <w:p w:rsidR="004C2EE3" w14:paraId="3598D36E" w14:textId="77777777">
            <w:pPr>
              <w:tabs>
                <w:tab w:val="center" w:pos="4680"/>
              </w:tabs>
              <w:suppressAutoHyphens/>
              <w:rPr>
                <w:spacing w:val="-2"/>
              </w:rPr>
            </w:pPr>
          </w:p>
          <w:p w:rsidR="004C2EE3" w:rsidRPr="007115F7" w:rsidP="007115F7" w14:paraId="42F3F921" w14:textId="77777777">
            <w:pPr>
              <w:tabs>
                <w:tab w:val="center" w:pos="4680"/>
              </w:tabs>
              <w:suppressAutoHyphens/>
              <w:rPr>
                <w:spacing w:val="-2"/>
              </w:rPr>
            </w:pPr>
            <w:r>
              <w:rPr>
                <w:spacing w:val="-2"/>
              </w:rPr>
              <w:t>Rates for Interstate Inmate Calling Services</w:t>
            </w:r>
          </w:p>
        </w:tc>
        <w:tc>
          <w:tcPr>
            <w:tcW w:w="630" w:type="dxa"/>
          </w:tcPr>
          <w:p w:rsidR="004C2EE3" w14:paraId="24A93C7C" w14:textId="77777777">
            <w:pPr>
              <w:tabs>
                <w:tab w:val="center" w:pos="4680"/>
              </w:tabs>
              <w:suppressAutoHyphens/>
              <w:rPr>
                <w:b/>
                <w:spacing w:val="-2"/>
              </w:rPr>
            </w:pPr>
            <w:r>
              <w:rPr>
                <w:b/>
                <w:spacing w:val="-2"/>
              </w:rPr>
              <w:t>)</w:t>
            </w:r>
          </w:p>
          <w:p w:rsidR="004C2EE3" w14:paraId="0B821E31" w14:textId="77777777">
            <w:pPr>
              <w:tabs>
                <w:tab w:val="center" w:pos="4680"/>
              </w:tabs>
              <w:suppressAutoHyphens/>
              <w:rPr>
                <w:b/>
                <w:spacing w:val="-2"/>
              </w:rPr>
            </w:pPr>
            <w:r>
              <w:rPr>
                <w:b/>
                <w:spacing w:val="-2"/>
              </w:rPr>
              <w:t>)</w:t>
            </w:r>
          </w:p>
          <w:p w:rsidR="004C2EE3" w14:paraId="19CCF9AC" w14:textId="77777777">
            <w:pPr>
              <w:tabs>
                <w:tab w:val="center" w:pos="4680"/>
              </w:tabs>
              <w:suppressAutoHyphens/>
              <w:rPr>
                <w:b/>
                <w:spacing w:val="-2"/>
              </w:rPr>
            </w:pPr>
            <w:r>
              <w:rPr>
                <w:b/>
                <w:spacing w:val="-2"/>
              </w:rPr>
              <w:t>)</w:t>
            </w:r>
          </w:p>
          <w:p w:rsidR="004C2EE3" w:rsidRPr="004B681C" w14:paraId="6792F3FA" w14:textId="77777777">
            <w:pPr>
              <w:tabs>
                <w:tab w:val="center" w:pos="4680"/>
              </w:tabs>
              <w:suppressAutoHyphens/>
              <w:rPr>
                <w:b/>
                <w:spacing w:val="-2"/>
              </w:rPr>
            </w:pPr>
            <w:r>
              <w:rPr>
                <w:b/>
                <w:spacing w:val="-2"/>
              </w:rPr>
              <w:t>)</w:t>
            </w:r>
          </w:p>
        </w:tc>
        <w:tc>
          <w:tcPr>
            <w:tcW w:w="4248" w:type="dxa"/>
          </w:tcPr>
          <w:p w:rsidR="004C2EE3" w14:paraId="0BA6BC61" w14:textId="77777777">
            <w:pPr>
              <w:tabs>
                <w:tab w:val="center" w:pos="4680"/>
              </w:tabs>
              <w:suppressAutoHyphens/>
              <w:rPr>
                <w:spacing w:val="-2"/>
              </w:rPr>
            </w:pPr>
          </w:p>
          <w:p w:rsidR="004C2EE3" w14:paraId="169580B3" w14:textId="77777777">
            <w:pPr>
              <w:pStyle w:val="TOAHeading"/>
              <w:tabs>
                <w:tab w:val="center" w:pos="4680"/>
                <w:tab w:val="clear" w:pos="9360"/>
              </w:tabs>
              <w:rPr>
                <w:spacing w:val="-2"/>
              </w:rPr>
            </w:pPr>
          </w:p>
          <w:p w:rsidR="004C2EE3" w14:paraId="007713FF" w14:textId="77777777">
            <w:pPr>
              <w:tabs>
                <w:tab w:val="center" w:pos="4680"/>
              </w:tabs>
              <w:suppressAutoHyphens/>
              <w:rPr>
                <w:spacing w:val="-2"/>
              </w:rPr>
            </w:pPr>
            <w:r>
              <w:rPr>
                <w:spacing w:val="-2"/>
              </w:rPr>
              <w:t>WC Docket No. 12-375</w:t>
            </w:r>
          </w:p>
        </w:tc>
      </w:tr>
    </w:tbl>
    <w:p w:rsidR="004C2EE3" w:rsidP="0070224F" w14:paraId="7BD7597A" w14:textId="77777777"/>
    <w:p w:rsidR="00841AB1" w:rsidP="00F021FA" w14:paraId="0F90943C" w14:textId="77777777">
      <w:pPr>
        <w:pStyle w:val="StyleBoldCentered"/>
      </w:pPr>
      <w:r>
        <w:t>Order</w:t>
      </w:r>
    </w:p>
    <w:p w:rsidR="004C2EE3" w14:paraId="38937F77" w14:textId="77777777">
      <w:pPr>
        <w:tabs>
          <w:tab w:val="left" w:pos="-720"/>
        </w:tabs>
        <w:suppressAutoHyphens/>
        <w:spacing w:line="227" w:lineRule="auto"/>
        <w:rPr>
          <w:spacing w:val="-2"/>
        </w:rPr>
      </w:pPr>
    </w:p>
    <w:p w:rsidR="004C2EE3" w:rsidP="00133F79" w14:paraId="0D8DBE84" w14:textId="4A76A03C">
      <w:pPr>
        <w:tabs>
          <w:tab w:val="left" w:pos="720"/>
          <w:tab w:val="right" w:pos="9360"/>
        </w:tabs>
        <w:suppressAutoHyphens/>
        <w:spacing w:line="227" w:lineRule="auto"/>
        <w:rPr>
          <w:spacing w:val="-2"/>
        </w:rPr>
      </w:pPr>
      <w:r>
        <w:rPr>
          <w:b/>
          <w:spacing w:val="-2"/>
        </w:rPr>
        <w:t xml:space="preserve">Adopted:  </w:t>
      </w:r>
      <w:r w:rsidR="008F453A">
        <w:rPr>
          <w:b/>
          <w:spacing w:val="-2"/>
        </w:rPr>
        <w:t>September 1</w:t>
      </w:r>
      <w:r w:rsidR="00424099">
        <w:rPr>
          <w:b/>
          <w:spacing w:val="-2"/>
        </w:rPr>
        <w:t>,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F453A">
        <w:rPr>
          <w:b/>
          <w:spacing w:val="-2"/>
        </w:rPr>
        <w:t>September 1</w:t>
      </w:r>
      <w:r w:rsidR="00424099">
        <w:rPr>
          <w:b/>
          <w:spacing w:val="-2"/>
        </w:rPr>
        <w:t>, 2020</w:t>
      </w:r>
    </w:p>
    <w:p w:rsidR="00822CE0" w14:paraId="11D28FF8" w14:textId="77777777"/>
    <w:p w:rsidR="00822CE0" w14:paraId="55E9D18B" w14:textId="06CB7606">
      <w:r>
        <w:t xml:space="preserve">By </w:t>
      </w:r>
      <w:r w:rsidR="004E4A22">
        <w:t>the</w:t>
      </w:r>
      <w:r w:rsidR="004B681C">
        <w:t xml:space="preserve"> </w:t>
      </w:r>
      <w:r w:rsidR="00AB4F54">
        <w:t>Chief, Wireline Competition Bureau</w:t>
      </w:r>
      <w:r w:rsidR="004B681C">
        <w:t>:</w:t>
      </w:r>
    </w:p>
    <w:p w:rsidR="004B681C" w14:paraId="0618A109" w14:textId="77777777">
      <w:pPr>
        <w:rPr>
          <w:spacing w:val="-2"/>
        </w:rPr>
      </w:pPr>
    </w:p>
    <w:p w:rsidR="00412FC5" w:rsidP="00C36B4C" w14:paraId="79E67A15" w14:textId="77777777">
      <w:pPr>
        <w:pStyle w:val="Heading1"/>
      </w:pPr>
      <w:r>
        <w:t>introduction</w:t>
      </w:r>
    </w:p>
    <w:p w:rsidR="004B681C" w:rsidP="004B681C" w14:paraId="19E67117" w14:textId="37433E9E">
      <w:pPr>
        <w:pStyle w:val="ParaNum"/>
      </w:pPr>
      <w:r>
        <w:t xml:space="preserve">In this Order, </w:t>
      </w:r>
      <w:r w:rsidR="00AB4F54">
        <w:t>the Wireline Competition Bureau</w:t>
      </w:r>
      <w:r w:rsidR="00AC5131">
        <w:t xml:space="preserve"> (Bureau)</w:t>
      </w:r>
      <w:r w:rsidR="00AB4F54">
        <w:t xml:space="preserve"> </w:t>
      </w:r>
      <w:r w:rsidR="00733601">
        <w:t xml:space="preserve">partially </w:t>
      </w:r>
      <w:r w:rsidR="00AB4F54">
        <w:t xml:space="preserve">denies </w:t>
      </w:r>
      <w:r w:rsidR="00595481">
        <w:t>requests for confidential treatmen</w:t>
      </w:r>
      <w:r w:rsidR="00766A41">
        <w:t>t</w:t>
      </w:r>
      <w:r w:rsidR="00595481">
        <w:t xml:space="preserve"> filed</w:t>
      </w:r>
      <w:r w:rsidR="005F4E69">
        <w:t xml:space="preserve"> </w:t>
      </w:r>
      <w:r w:rsidR="003E3F47">
        <w:t>pursuant to</w:t>
      </w:r>
      <w:r w:rsidR="005F4E69">
        <w:t xml:space="preserve"> the </w:t>
      </w:r>
      <w:r w:rsidRPr="00893530" w:rsidR="005F4E69">
        <w:rPr>
          <w:i/>
          <w:iCs/>
        </w:rPr>
        <w:t>Protective Order</w:t>
      </w:r>
      <w:r w:rsidR="005F4E69">
        <w:t xml:space="preserve"> in this proceeding </w:t>
      </w:r>
      <w:r w:rsidR="00595481">
        <w:t>by</w:t>
      </w:r>
      <w:r w:rsidR="00A226A5">
        <w:t xml:space="preserve"> certain inmate calling services providers in connection with their </w:t>
      </w:r>
      <w:r w:rsidR="00DE08CD">
        <w:t xml:space="preserve">2019 </w:t>
      </w:r>
      <w:r w:rsidR="00A226A5">
        <w:t>Annual Rep</w:t>
      </w:r>
      <w:r w:rsidR="00BC0CE3">
        <w:t>orts</w:t>
      </w:r>
      <w:r w:rsidR="00211163">
        <w:t xml:space="preserve"> </w:t>
      </w:r>
      <w:r w:rsidR="003358AA">
        <w:t xml:space="preserve">that were </w:t>
      </w:r>
      <w:r w:rsidR="00211163">
        <w:t>due April 1, 2020</w:t>
      </w:r>
      <w:r w:rsidR="003358AA">
        <w:t>,</w:t>
      </w:r>
      <w:bookmarkStart w:id="0" w:name="_GoBack"/>
      <w:bookmarkEnd w:id="0"/>
      <w:r w:rsidR="00211163">
        <w:t xml:space="preserve"> covering calendar year 2019 (2019 Annual Reports)</w:t>
      </w:r>
      <w:r w:rsidR="00BC0CE3">
        <w:t>.</w:t>
      </w:r>
      <w:r>
        <w:rPr>
          <w:rStyle w:val="FootnoteReference"/>
        </w:rPr>
        <w:footnoteReference w:id="3"/>
      </w:r>
      <w:r w:rsidR="00AB28A7">
        <w:t xml:space="preserve">  </w:t>
      </w:r>
      <w:r w:rsidR="00826C83">
        <w:t>Specifically, t</w:t>
      </w:r>
      <w:r w:rsidR="00987444">
        <w:t>he</w:t>
      </w:r>
      <w:r w:rsidR="00AB28A7">
        <w:t xml:space="preserve"> Bureau denies </w:t>
      </w:r>
      <w:r w:rsidR="00826C83">
        <w:t xml:space="preserve">requests to treat </w:t>
      </w:r>
      <w:r w:rsidR="00653E7C">
        <w:t>facility names</w:t>
      </w:r>
      <w:r w:rsidR="000B08E4">
        <w:t>,</w:t>
      </w:r>
      <w:r w:rsidR="00653E7C">
        <w:t xml:space="preserve"> inmate calling services rates</w:t>
      </w:r>
      <w:r w:rsidR="000B08E4">
        <w:t xml:space="preserve">, </w:t>
      </w:r>
      <w:r w:rsidR="0088256D">
        <w:t>the amount</w:t>
      </w:r>
      <w:r w:rsidR="00501048">
        <w:t>s</w:t>
      </w:r>
      <w:r w:rsidR="0088256D">
        <w:t xml:space="preserve"> of</w:t>
      </w:r>
      <w:r w:rsidR="000B08E4">
        <w:t xml:space="preserve"> ancillary service </w:t>
      </w:r>
      <w:r w:rsidR="003F066C">
        <w:t>charges</w:t>
      </w:r>
      <w:r w:rsidR="00AF10BA">
        <w:t xml:space="preserve">, and </w:t>
      </w:r>
      <w:r w:rsidR="00E57031">
        <w:t>average daily population</w:t>
      </w:r>
      <w:r w:rsidR="00A50227">
        <w:t xml:space="preserve"> </w:t>
      </w:r>
      <w:r w:rsidR="00653E7C">
        <w:t>as confidential</w:t>
      </w:r>
      <w:r w:rsidR="00A604D9">
        <w:t>.</w:t>
      </w:r>
      <w:r>
        <w:rPr>
          <w:rStyle w:val="FootnoteReference"/>
        </w:rPr>
        <w:footnoteReference w:id="4"/>
      </w:r>
      <w:r w:rsidR="002C6B61">
        <w:t xml:space="preserve">  </w:t>
      </w:r>
      <w:r w:rsidR="006754F6">
        <w:t>The Commission’s rules require providers of i</w:t>
      </w:r>
      <w:r w:rsidR="003428C1">
        <w:t>nmate calling services to</w:t>
      </w:r>
      <w:r w:rsidR="0096715F">
        <w:t xml:space="preserve"> make their rates </w:t>
      </w:r>
      <w:r w:rsidR="005D5C58">
        <w:t>and charges</w:t>
      </w:r>
      <w:r w:rsidR="0096715F">
        <w:t xml:space="preserve"> available </w:t>
      </w:r>
      <w:r w:rsidR="00B27D4E">
        <w:t>to consumers</w:t>
      </w:r>
      <w:r>
        <w:rPr>
          <w:rStyle w:val="FootnoteReference"/>
        </w:rPr>
        <w:footnoteReference w:id="5"/>
      </w:r>
      <w:r w:rsidR="00950515">
        <w:t xml:space="preserve"> </w:t>
      </w:r>
      <w:r w:rsidR="00697C87">
        <w:t xml:space="preserve">and </w:t>
      </w:r>
      <w:r w:rsidR="00CF18BB">
        <w:t>much of the information regarding</w:t>
      </w:r>
      <w:r w:rsidR="00D24CDA">
        <w:t xml:space="preserve"> rates</w:t>
      </w:r>
      <w:r w:rsidR="00E57031">
        <w:t>,</w:t>
      </w:r>
      <w:r w:rsidR="00065483">
        <w:t xml:space="preserve"> </w:t>
      </w:r>
      <w:r w:rsidR="00D17E32">
        <w:t xml:space="preserve">charges, </w:t>
      </w:r>
      <w:r w:rsidR="00CF18BB">
        <w:t>facility names</w:t>
      </w:r>
      <w:r w:rsidR="00E57031">
        <w:t>, and average daily population</w:t>
      </w:r>
      <w:r w:rsidR="00CF18BB">
        <w:t xml:space="preserve"> is already available to the public</w:t>
      </w:r>
      <w:r w:rsidR="00C72566">
        <w:t xml:space="preserve"> through individual facility</w:t>
      </w:r>
      <w:r w:rsidR="00544C93">
        <w:t xml:space="preserve"> and provider websites</w:t>
      </w:r>
      <w:r w:rsidR="00065483">
        <w:t xml:space="preserve">, </w:t>
      </w:r>
      <w:r w:rsidR="00086722">
        <w:t>state or local</w:t>
      </w:r>
      <w:r w:rsidR="00065483">
        <w:t xml:space="preserve"> </w:t>
      </w:r>
      <w:r w:rsidR="00366CF3">
        <w:t xml:space="preserve">public </w:t>
      </w:r>
      <w:r w:rsidR="00065483">
        <w:t>proc</w:t>
      </w:r>
      <w:r w:rsidR="00ED2B7D">
        <w:t>urement process</w:t>
      </w:r>
      <w:r w:rsidR="00086722">
        <w:t>es</w:t>
      </w:r>
      <w:r w:rsidR="00ED2B7D">
        <w:t>,</w:t>
      </w:r>
      <w:r w:rsidR="00086722">
        <w:t xml:space="preserve"> or</w:t>
      </w:r>
      <w:r w:rsidR="00ED2B7D">
        <w:t xml:space="preserve"> state open records laws</w:t>
      </w:r>
      <w:r w:rsidR="00544C93">
        <w:t xml:space="preserve">. </w:t>
      </w:r>
      <w:r w:rsidR="00D1316B">
        <w:t xml:space="preserve"> </w:t>
      </w:r>
      <w:r w:rsidR="00544C93">
        <w:t>Given the public availability of much of this information</w:t>
      </w:r>
      <w:r w:rsidR="00D1316B">
        <w:t xml:space="preserve"> and</w:t>
      </w:r>
      <w:r w:rsidR="00595047">
        <w:t xml:space="preserve"> the Commission’s rules requiring </w:t>
      </w:r>
      <w:r w:rsidR="0058084D">
        <w:t>the disclosure of much of this information,</w:t>
      </w:r>
      <w:r w:rsidR="00072646">
        <w:t xml:space="preserve"> </w:t>
      </w:r>
      <w:r w:rsidR="00E22982">
        <w:t xml:space="preserve">the Bureau denies all pending requests for confidential treatment of </w:t>
      </w:r>
      <w:r w:rsidR="00D1316B">
        <w:t>such information</w:t>
      </w:r>
      <w:r w:rsidR="00E22982">
        <w:t>.  We further find that there is a strong public interest in transparency surrounding rates, charges, terms, and fees for inmate calling services</w:t>
      </w:r>
      <w:r w:rsidR="00680A00">
        <w:t xml:space="preserve">, and </w:t>
      </w:r>
      <w:r w:rsidR="0095674C">
        <w:t xml:space="preserve">we find </w:t>
      </w:r>
      <w:r w:rsidR="009E0DB7">
        <w:t xml:space="preserve">no </w:t>
      </w:r>
      <w:r w:rsidR="00CE0185">
        <w:t xml:space="preserve">persuasive </w:t>
      </w:r>
      <w:r w:rsidR="0095674C">
        <w:t>reason for protecting</w:t>
      </w:r>
      <w:r w:rsidR="009E44D1">
        <w:t xml:space="preserve"> information on</w:t>
      </w:r>
      <w:r w:rsidR="0095674C">
        <w:t xml:space="preserve"> average daily population </w:t>
      </w:r>
      <w:r w:rsidR="000F71E4">
        <w:t>from public disclosure</w:t>
      </w:r>
      <w:r w:rsidR="00E22982">
        <w:t>.</w:t>
      </w:r>
      <w:r w:rsidR="00F722AB">
        <w:t xml:space="preserve"> </w:t>
      </w:r>
      <w:r w:rsidR="00E22982">
        <w:t xml:space="preserve"> Accordingly, the Bureau denies all pending requests for confidential treatment of such information.   </w:t>
      </w:r>
    </w:p>
    <w:p w:rsidR="004B681C" w:rsidP="004B681C" w14:paraId="388D43C4" w14:textId="77777777">
      <w:pPr>
        <w:pStyle w:val="Heading1"/>
      </w:pPr>
      <w:r>
        <w:t>Background</w:t>
      </w:r>
    </w:p>
    <w:p w:rsidR="004B681C" w:rsidP="00A03A74" w14:paraId="1E6D89D3" w14:textId="646289D5">
      <w:pPr>
        <w:pStyle w:val="ParaNum"/>
        <w:widowControl/>
      </w:pPr>
      <w:r>
        <w:rPr>
          <w:i/>
          <w:iCs/>
        </w:rPr>
        <w:t xml:space="preserve">The </w:t>
      </w:r>
      <w:r w:rsidRPr="00755CEA">
        <w:rPr>
          <w:i/>
          <w:iCs/>
        </w:rPr>
        <w:t>Protective Order</w:t>
      </w:r>
      <w:r>
        <w:t xml:space="preserve">.  </w:t>
      </w:r>
      <w:r w:rsidRPr="00755CEA" w:rsidR="0088106E">
        <w:t>The</w:t>
      </w:r>
      <w:r w:rsidR="0088106E">
        <w:t xml:space="preserve"> </w:t>
      </w:r>
      <w:r w:rsidR="0088106E">
        <w:rPr>
          <w:i/>
          <w:iCs/>
        </w:rPr>
        <w:t xml:space="preserve">Protective Order </w:t>
      </w:r>
      <w:r w:rsidR="0088106E">
        <w:t xml:space="preserve">in this proceeding </w:t>
      </w:r>
      <w:r w:rsidR="006C1264">
        <w:t xml:space="preserve">permits </w:t>
      </w:r>
      <w:r w:rsidR="00FF63D6">
        <w:t xml:space="preserve">parties </w:t>
      </w:r>
      <w:r w:rsidR="006C1264">
        <w:t xml:space="preserve">to designate certain information as </w:t>
      </w:r>
      <w:r w:rsidR="00FF63D6">
        <w:t>confidential.</w:t>
      </w:r>
      <w:r>
        <w:rPr>
          <w:rStyle w:val="FootnoteReference"/>
        </w:rPr>
        <w:footnoteReference w:id="6"/>
      </w:r>
      <w:r w:rsidR="00526DE2">
        <w:t xml:space="preserve">  By designating documents and information as confidential, the </w:t>
      </w:r>
      <w:r w:rsidR="00E52E26">
        <w:t>submitting party is “deemed to have submitted a request that the material not be made routinely available for public inspection under the Commission’s rules.”</w:t>
      </w:r>
      <w:r>
        <w:rPr>
          <w:rStyle w:val="FootnoteReference"/>
        </w:rPr>
        <w:footnoteReference w:id="7"/>
      </w:r>
      <w:r w:rsidR="00DF6BF5">
        <w:t xml:space="preserve">  The </w:t>
      </w:r>
      <w:r w:rsidR="00DF6BF5">
        <w:rPr>
          <w:i/>
          <w:iCs/>
        </w:rPr>
        <w:t>Protective Order</w:t>
      </w:r>
      <w:r w:rsidR="00DF6BF5">
        <w:t xml:space="preserve"> defines “Confidential Information” to be “information that is not otherwise available from publicly available </w:t>
      </w:r>
      <w:r w:rsidR="00DF6BF5">
        <w:t>sources and th</w:t>
      </w:r>
      <w:r w:rsidR="003B6091">
        <w:t>at</w:t>
      </w:r>
      <w:r w:rsidR="00DF6BF5">
        <w:t xml:space="preserve"> is subject to protection under the Freedom of Information Act (“FOIA”)</w:t>
      </w:r>
      <w:r w:rsidR="00D54D74">
        <w:t>, 5 U.S.C. § 552, and the Commission’s implementing rules.”</w:t>
      </w:r>
      <w:r>
        <w:rPr>
          <w:rStyle w:val="FootnoteReference"/>
        </w:rPr>
        <w:footnoteReference w:id="8"/>
      </w:r>
    </w:p>
    <w:p w:rsidR="006F1234" w:rsidP="004B681C" w14:paraId="1A52C008" w14:textId="1BA571F1">
      <w:pPr>
        <w:pStyle w:val="ParaNum"/>
      </w:pPr>
      <w:r>
        <w:rPr>
          <w:i/>
          <w:iCs/>
        </w:rPr>
        <w:t>The Commission’s Rules Requiring Public Availability of Rates</w:t>
      </w:r>
      <w:r>
        <w:t xml:space="preserve">.  </w:t>
      </w:r>
      <w:r w:rsidR="00D633BD">
        <w:t>Section 64.6110 of the Commission’s rules requires providers of inmate calling services to “clearly, accurately, and conspicuously disclose their interstate, intrastate, and international rates and Ancillary Service Charges to consumers on their Web</w:t>
      </w:r>
      <w:r w:rsidR="00E93DA1">
        <w:t xml:space="preserve"> </w:t>
      </w:r>
      <w:r w:rsidR="00D633BD">
        <w:t>sites or in another reasonable manner readily available to consumers.”</w:t>
      </w:r>
      <w:r>
        <w:rPr>
          <w:rStyle w:val="FootnoteReference"/>
        </w:rPr>
        <w:footnoteReference w:id="9"/>
      </w:r>
      <w:r w:rsidR="00D633BD">
        <w:t xml:space="preserve">  In addition, s</w:t>
      </w:r>
      <w:r>
        <w:t xml:space="preserve">ection </w:t>
      </w:r>
      <w:r w:rsidR="00034B38">
        <w:t>42.10 of the Commission’s rules requires nondominant interexchange carriers to “make available to any member of the public, in at least one location, during regular business hours, information concerning its current rates, terms and</w:t>
      </w:r>
      <w:r w:rsidR="001B7703">
        <w:t xml:space="preserve"> conditions for all of its international and interstate, domestic, interexchange services.”</w:t>
      </w:r>
      <w:r>
        <w:rPr>
          <w:rStyle w:val="FootnoteReference"/>
        </w:rPr>
        <w:footnoteReference w:id="10"/>
      </w:r>
      <w:r w:rsidR="00B6636A">
        <w:t xml:space="preserve">  </w:t>
      </w:r>
      <w:r w:rsidR="0035774B">
        <w:t>The information must be made available “in an easy to understand format and in a timely manner.”</w:t>
      </w:r>
      <w:r>
        <w:rPr>
          <w:rStyle w:val="FootnoteReference"/>
        </w:rPr>
        <w:footnoteReference w:id="11"/>
      </w:r>
      <w:r w:rsidR="00AB0D2A">
        <w:t xml:space="preserve">  Carriers that have a website </w:t>
      </w:r>
      <w:r w:rsidR="00AD5A1E">
        <w:t>must</w:t>
      </w:r>
      <w:r w:rsidR="00AB0D2A">
        <w:t xml:space="preserve"> make their rate and service information available on </w:t>
      </w:r>
      <w:r w:rsidR="00623A5E">
        <w:t>their</w:t>
      </w:r>
      <w:r w:rsidR="00AB0D2A">
        <w:t xml:space="preserve"> website</w:t>
      </w:r>
      <w:r w:rsidR="00623A5E">
        <w:t>s</w:t>
      </w:r>
      <w:r w:rsidR="00AB0D2A">
        <w:t xml:space="preserve"> </w:t>
      </w:r>
      <w:r w:rsidR="00AD5A1E">
        <w:t>and must update that information regularly.</w:t>
      </w:r>
      <w:r>
        <w:rPr>
          <w:rStyle w:val="FootnoteReference"/>
        </w:rPr>
        <w:footnoteReference w:id="12"/>
      </w:r>
      <w:r w:rsidR="0035774B">
        <w:t xml:space="preserve"> </w:t>
      </w:r>
      <w:r w:rsidR="00D7324C">
        <w:t xml:space="preserve"> </w:t>
      </w:r>
    </w:p>
    <w:p w:rsidR="00386ED3" w:rsidP="004B681C" w14:paraId="01E8B6C1" w14:textId="3E2C28D0">
      <w:pPr>
        <w:pStyle w:val="ParaNum"/>
      </w:pPr>
      <w:r>
        <w:rPr>
          <w:i/>
          <w:iCs/>
        </w:rPr>
        <w:t>Public Notice</w:t>
      </w:r>
      <w:r>
        <w:t xml:space="preserve">.  </w:t>
      </w:r>
      <w:r w:rsidR="00B34687">
        <w:t>On March 12, 2019</w:t>
      </w:r>
      <w:r w:rsidR="00D01E2B">
        <w:t>, the</w:t>
      </w:r>
      <w:r w:rsidR="00006AA6">
        <w:t xml:space="preserve"> Bureau released a Public Notice </w:t>
      </w:r>
      <w:r w:rsidR="00F76FC3">
        <w:t>reminding providers of the standards set forth in section 0.459(b) of the Commission’s rules</w:t>
      </w:r>
      <w:r w:rsidR="00154B59">
        <w:t>.</w:t>
      </w:r>
      <w:r>
        <w:rPr>
          <w:rStyle w:val="FootnoteReference"/>
        </w:rPr>
        <w:footnoteReference w:id="13"/>
      </w:r>
      <w:r w:rsidR="00154B59">
        <w:t xml:space="preserve">  </w:t>
      </w:r>
      <w:r w:rsidR="00470B0F">
        <w:t>The Bureau specific</w:t>
      </w:r>
      <w:r w:rsidR="00D06DA7">
        <w:t xml:space="preserve">ally </w:t>
      </w:r>
      <w:r w:rsidR="00A44B15">
        <w:t>noted the staff’s concerns about redaction of rates, ancillary service charges, and average daily population</w:t>
      </w:r>
      <w:r w:rsidR="00C200CE">
        <w:t xml:space="preserve"> in providers’ annual reports</w:t>
      </w:r>
      <w:r w:rsidR="00A44B15">
        <w:t xml:space="preserve">. </w:t>
      </w:r>
      <w:r w:rsidR="00B86AA6">
        <w:t xml:space="preserve"> </w:t>
      </w:r>
      <w:r w:rsidR="00D51E3F">
        <w:t xml:space="preserve">Because the Commission’s rules require </w:t>
      </w:r>
      <w:r w:rsidR="00FD5C16">
        <w:t xml:space="preserve">public disclosure of </w:t>
      </w:r>
      <w:r w:rsidR="00DE6987">
        <w:t>inmate calling services</w:t>
      </w:r>
      <w:r w:rsidR="00961BC4">
        <w:t xml:space="preserve"> </w:t>
      </w:r>
      <w:r w:rsidR="00D313CC">
        <w:t>(ICS)</w:t>
      </w:r>
      <w:r w:rsidR="00961BC4">
        <w:t xml:space="preserve"> rates and ancillary service charges to consumers, </w:t>
      </w:r>
      <w:r w:rsidR="0040466E">
        <w:t xml:space="preserve">the Bureau </w:t>
      </w:r>
      <w:r w:rsidR="007F63C7">
        <w:t xml:space="preserve">requested “compelling justification” </w:t>
      </w:r>
      <w:r w:rsidR="00DA23DB">
        <w:t xml:space="preserve">for protection </w:t>
      </w:r>
      <w:r w:rsidR="007F63C7">
        <w:t>of such information.</w:t>
      </w:r>
      <w:r>
        <w:rPr>
          <w:rStyle w:val="FootnoteReference"/>
        </w:rPr>
        <w:footnoteReference w:id="14"/>
      </w:r>
      <w:r w:rsidR="007F63C7">
        <w:t xml:space="preserve"> </w:t>
      </w:r>
      <w:r w:rsidR="00F237EB">
        <w:t xml:space="preserve"> Noting that the average daily population is publicly available for some facilities</w:t>
      </w:r>
      <w:r w:rsidR="00FD0DD4">
        <w:t xml:space="preserve"> and that </w:t>
      </w:r>
      <w:r w:rsidR="00A10EC8">
        <w:t xml:space="preserve">such information “is not directly related to the provisioning of ICS and does not appear to be competitively sensitive,” the Bureau </w:t>
      </w:r>
      <w:r w:rsidR="00C85788">
        <w:t>stated that “absent additional contextual information, average daily population is not entitled to confidential treatment.”</w:t>
      </w:r>
      <w:r>
        <w:rPr>
          <w:rStyle w:val="FootnoteReference"/>
        </w:rPr>
        <w:footnoteReference w:id="15"/>
      </w:r>
      <w:r w:rsidR="00C85788">
        <w:t xml:space="preserve"> </w:t>
      </w:r>
    </w:p>
    <w:p w:rsidR="00A27009" w:rsidP="004B681C" w14:paraId="307965EE" w14:textId="57CDFBD3">
      <w:pPr>
        <w:pStyle w:val="ParaNum"/>
      </w:pPr>
      <w:r>
        <w:rPr>
          <w:i/>
          <w:iCs/>
        </w:rPr>
        <w:t>Inmate Calling Services Provider Requests</w:t>
      </w:r>
      <w:r>
        <w:t>.</w:t>
      </w:r>
      <w:r w:rsidR="0073723B">
        <w:t xml:space="preserve">  </w:t>
      </w:r>
      <w:r w:rsidR="007B5B4C">
        <w:t xml:space="preserve">Seven </w:t>
      </w:r>
      <w:r w:rsidR="0073723B">
        <w:t>inmate calling services providers</w:t>
      </w:r>
      <w:r w:rsidR="00394A12">
        <w:t xml:space="preserve"> requested confidential treatment of </w:t>
      </w:r>
      <w:r w:rsidR="00980B70">
        <w:t>facility name</w:t>
      </w:r>
      <w:r w:rsidR="008E6D67">
        <w:t>s</w:t>
      </w:r>
      <w:r w:rsidR="00980B70">
        <w:t xml:space="preserve"> and</w:t>
      </w:r>
      <w:r w:rsidR="00DC2350">
        <w:t>/or</w:t>
      </w:r>
      <w:r w:rsidR="00980B70">
        <w:t xml:space="preserve"> rate </w:t>
      </w:r>
      <w:r w:rsidR="00B83CB2">
        <w:t xml:space="preserve">and charge </w:t>
      </w:r>
      <w:r w:rsidR="00980B70">
        <w:t>information</w:t>
      </w:r>
      <w:r w:rsidR="00542EC8">
        <w:t xml:space="preserve"> </w:t>
      </w:r>
      <w:r w:rsidR="00125044">
        <w:t>listed</w:t>
      </w:r>
      <w:r w:rsidR="00542EC8">
        <w:t xml:space="preserve"> in their 2019 Annual Reports</w:t>
      </w:r>
      <w:r w:rsidR="00980B70">
        <w:t xml:space="preserve">.  </w:t>
      </w:r>
      <w:r w:rsidR="001A605D">
        <w:t>Correct Solutions, LLC</w:t>
      </w:r>
      <w:r w:rsidR="00C331CE">
        <w:t xml:space="preserve"> (Correct</w:t>
      </w:r>
      <w:r w:rsidR="005D5965">
        <w:t xml:space="preserve"> Solutions</w:t>
      </w:r>
      <w:r w:rsidR="00C331CE">
        <w:t>)</w:t>
      </w:r>
      <w:r w:rsidR="007B5B4C">
        <w:t xml:space="preserve"> </w:t>
      </w:r>
      <w:r w:rsidR="00617E8D">
        <w:t>and A</w:t>
      </w:r>
      <w:r w:rsidR="008E6D67">
        <w:t>T</w:t>
      </w:r>
      <w:r w:rsidR="00617E8D">
        <w:t>N, Inc.</w:t>
      </w:r>
      <w:r w:rsidR="001A605D">
        <w:t xml:space="preserve"> </w:t>
      </w:r>
      <w:r w:rsidR="00F16A8A">
        <w:t>(ATN)</w:t>
      </w:r>
      <w:r w:rsidR="001A605D">
        <w:t xml:space="preserve"> requested confidential treatment for the name and location of</w:t>
      </w:r>
      <w:r w:rsidR="00B61661">
        <w:t xml:space="preserve"> the</w:t>
      </w:r>
      <w:r w:rsidR="001A605D">
        <w:t xml:space="preserve"> facilities </w:t>
      </w:r>
      <w:r w:rsidR="00360954">
        <w:t xml:space="preserve">they serve </w:t>
      </w:r>
      <w:r w:rsidR="00C45D97">
        <w:t>and</w:t>
      </w:r>
      <w:r w:rsidR="00B61661">
        <w:t xml:space="preserve"> </w:t>
      </w:r>
      <w:r w:rsidR="00360954">
        <w:t xml:space="preserve">of </w:t>
      </w:r>
      <w:r w:rsidR="00B61661">
        <w:t>the rates</w:t>
      </w:r>
      <w:r w:rsidR="00360954">
        <w:t xml:space="preserve"> they charge</w:t>
      </w:r>
      <w:r w:rsidR="00C45D97">
        <w:t>.</w:t>
      </w:r>
      <w:r>
        <w:rPr>
          <w:rStyle w:val="FootnoteReference"/>
        </w:rPr>
        <w:footnoteReference w:id="16"/>
      </w:r>
      <w:r w:rsidR="00227796">
        <w:t xml:space="preserve">  C</w:t>
      </w:r>
      <w:r w:rsidR="002E4BF4">
        <w:t xml:space="preserve">ombined </w:t>
      </w:r>
      <w:r w:rsidR="002E4BF4">
        <w:t xml:space="preserve">Public Communications, LLC </w:t>
      </w:r>
      <w:r w:rsidR="00475B8C">
        <w:t>(C</w:t>
      </w:r>
      <w:r w:rsidR="0052415F">
        <w:t>ombined)</w:t>
      </w:r>
      <w:r w:rsidR="00737AA6">
        <w:t>,</w:t>
      </w:r>
      <w:r w:rsidR="002E4BF4">
        <w:t xml:space="preserve"> </w:t>
      </w:r>
      <w:r w:rsidR="00251EDA">
        <w:t>NCIC</w:t>
      </w:r>
      <w:r w:rsidR="00E8278E">
        <w:t xml:space="preserve"> </w:t>
      </w:r>
      <w:r w:rsidR="00835AFE">
        <w:t>and P</w:t>
      </w:r>
      <w:r w:rsidR="005C312F">
        <w:t>ay Tel Communications, Inc.</w:t>
      </w:r>
      <w:r w:rsidR="00B62A89">
        <w:t xml:space="preserve"> requested confidential treatment of </w:t>
      </w:r>
      <w:r w:rsidR="006C123E">
        <w:t>the names of the</w:t>
      </w:r>
      <w:r w:rsidR="00B62A89">
        <w:t xml:space="preserve"> facilit</w:t>
      </w:r>
      <w:r w:rsidR="00AE2CA3">
        <w:t>ies</w:t>
      </w:r>
      <w:r w:rsidR="00B62A89">
        <w:t xml:space="preserve"> </w:t>
      </w:r>
      <w:r w:rsidR="006C123E">
        <w:t xml:space="preserve">they serve, </w:t>
      </w:r>
      <w:r w:rsidR="00B62A89">
        <w:t xml:space="preserve">but not </w:t>
      </w:r>
      <w:r w:rsidR="006477B4">
        <w:t xml:space="preserve">of the </w:t>
      </w:r>
      <w:r w:rsidR="00B62A89">
        <w:t>rate</w:t>
      </w:r>
      <w:r w:rsidR="006477B4">
        <w:t>s</w:t>
      </w:r>
      <w:r w:rsidR="00B62A89">
        <w:t xml:space="preserve"> </w:t>
      </w:r>
      <w:r w:rsidR="006477B4">
        <w:t>they charge</w:t>
      </w:r>
      <w:r w:rsidR="00B62A89">
        <w:t>.</w:t>
      </w:r>
      <w:r>
        <w:rPr>
          <w:rStyle w:val="FootnoteReference"/>
        </w:rPr>
        <w:footnoteReference w:id="17"/>
      </w:r>
      <w:r w:rsidR="003B2B6F">
        <w:t xml:space="preserve">  Global Tel*Link Corporation</w:t>
      </w:r>
      <w:r w:rsidR="00FF2733">
        <w:t xml:space="preserve"> and Inmate Calling Solutions, LLC requested confidential treatment</w:t>
      </w:r>
      <w:r w:rsidR="007B2D76">
        <w:t xml:space="preserve"> of the narrative description</w:t>
      </w:r>
      <w:r w:rsidR="006477B4">
        <w:t>s</w:t>
      </w:r>
      <w:r w:rsidR="007B2D76">
        <w:t xml:space="preserve"> </w:t>
      </w:r>
      <w:r w:rsidR="006477B4">
        <w:t xml:space="preserve">they provided of </w:t>
      </w:r>
      <w:r w:rsidR="00651F95">
        <w:t>the rates</w:t>
      </w:r>
      <w:r w:rsidR="00B83CB2">
        <w:t xml:space="preserve"> they charged during the reporting period that differed from the rates they listed as their maximum rates charged</w:t>
      </w:r>
      <w:r w:rsidR="00651F95">
        <w:t>.</w:t>
      </w:r>
      <w:r>
        <w:rPr>
          <w:rStyle w:val="FootnoteReference"/>
        </w:rPr>
        <w:footnoteReference w:id="18"/>
      </w:r>
      <w:r w:rsidR="00D440F4">
        <w:t xml:space="preserve">  </w:t>
      </w:r>
      <w:r w:rsidR="001B3E3C">
        <w:t>In contrast, five providers submitted annual reports but did not seek confidential treatment of either the facilities they serve or of the rates they charge.</w:t>
      </w:r>
      <w:r w:rsidR="00F16A8A">
        <w:t xml:space="preserve">  Two providers, ATN and Correct </w:t>
      </w:r>
      <w:r w:rsidR="00A37BEE">
        <w:t>Solutions</w:t>
      </w:r>
      <w:r w:rsidR="005430F5">
        <w:t>,</w:t>
      </w:r>
      <w:r w:rsidR="00F16A8A">
        <w:t xml:space="preserve"> sought confidential treatment of </w:t>
      </w:r>
      <w:r w:rsidR="007C2847">
        <w:t>amount</w:t>
      </w:r>
      <w:r w:rsidR="004E4FC9">
        <w:t>s</w:t>
      </w:r>
      <w:r w:rsidR="007C2847">
        <w:t xml:space="preserve"> of</w:t>
      </w:r>
      <w:r w:rsidR="00F16A8A">
        <w:t xml:space="preserve"> </w:t>
      </w:r>
      <w:r w:rsidR="00A37BEE">
        <w:t>ancillary service charges</w:t>
      </w:r>
      <w:r w:rsidR="007C2847">
        <w:t xml:space="preserve"> assessed</w:t>
      </w:r>
      <w:r w:rsidR="00A37BEE">
        <w:t>.</w:t>
      </w:r>
      <w:r>
        <w:rPr>
          <w:rStyle w:val="FootnoteReference"/>
        </w:rPr>
        <w:footnoteReference w:id="19"/>
      </w:r>
      <w:r w:rsidR="009815F3">
        <w:t xml:space="preserve">  </w:t>
      </w:r>
      <w:r w:rsidR="009D44BA">
        <w:t xml:space="preserve">No other providers sought confidential treatment for </w:t>
      </w:r>
      <w:r w:rsidR="00D8269F">
        <w:t>such information.</w:t>
      </w:r>
      <w:r w:rsidR="00444F9E">
        <w:t xml:space="preserve">  Finally, t</w:t>
      </w:r>
      <w:r w:rsidR="00632738">
        <w:t>hree</w:t>
      </w:r>
      <w:r w:rsidR="008B5DA2">
        <w:t xml:space="preserve"> </w:t>
      </w:r>
      <w:r w:rsidR="00444F9E">
        <w:t>providers, ATN</w:t>
      </w:r>
      <w:r w:rsidR="00E26241">
        <w:t>,</w:t>
      </w:r>
      <w:r w:rsidR="00444F9E">
        <w:t xml:space="preserve"> CenturyLink</w:t>
      </w:r>
      <w:r w:rsidR="00D322DF">
        <w:t xml:space="preserve"> Public Communications, Inc. (CenturyLink)</w:t>
      </w:r>
      <w:r w:rsidR="00632738">
        <w:t xml:space="preserve"> and Correct Solutions</w:t>
      </w:r>
      <w:r w:rsidR="00072179">
        <w:t xml:space="preserve"> sought confidential treatment of the </w:t>
      </w:r>
      <w:r w:rsidR="00444F9E">
        <w:t xml:space="preserve">average daily population </w:t>
      </w:r>
      <w:r w:rsidR="004F427B">
        <w:t>while the remaining inmate calling services providers did not.</w:t>
      </w:r>
      <w:r>
        <w:rPr>
          <w:rStyle w:val="FootnoteReference"/>
        </w:rPr>
        <w:footnoteReference w:id="20"/>
      </w:r>
      <w:r w:rsidR="004F427B">
        <w:t xml:space="preserve">  </w:t>
      </w:r>
      <w:r w:rsidR="00444F9E">
        <w:t xml:space="preserve"> </w:t>
      </w:r>
    </w:p>
    <w:p w:rsidR="004B681C" w:rsidP="004B681C" w14:paraId="6B4D3266" w14:textId="0F8384F1">
      <w:pPr>
        <w:pStyle w:val="Heading1"/>
      </w:pPr>
      <w:r>
        <w:t>Discussion</w:t>
      </w:r>
    </w:p>
    <w:p w:rsidR="009862B4" w:rsidP="00536001" w14:paraId="2D827A69" w14:textId="4C4B837D">
      <w:pPr>
        <w:pStyle w:val="ParaNum"/>
      </w:pPr>
      <w:r>
        <w:t>T</w:t>
      </w:r>
      <w:r w:rsidR="00A74D9B">
        <w:t>he rate</w:t>
      </w:r>
      <w:r w:rsidR="008F7E3C">
        <w:t>, charge</w:t>
      </w:r>
      <w:r w:rsidR="00501048">
        <w:t>,</w:t>
      </w:r>
      <w:r w:rsidR="00A74D9B">
        <w:t xml:space="preserve"> facility name</w:t>
      </w:r>
      <w:r w:rsidR="00D85D3A">
        <w:t>s, and average daily population</w:t>
      </w:r>
      <w:r w:rsidR="00A74D9B">
        <w:t xml:space="preserve"> information</w:t>
      </w:r>
      <w:r w:rsidR="00841235">
        <w:t xml:space="preserve"> </w:t>
      </w:r>
      <w:r w:rsidR="00CF5EE2">
        <w:t xml:space="preserve">included in providers’ Annual Reports </w:t>
      </w:r>
      <w:r w:rsidR="00555B38">
        <w:t>is not entitled to confidential treatment</w:t>
      </w:r>
      <w:r>
        <w:t xml:space="preserve">.  Accordingly, we deny </w:t>
      </w:r>
      <w:r w:rsidR="00026443">
        <w:t>any pending requests</w:t>
      </w:r>
      <w:r>
        <w:t xml:space="preserve"> </w:t>
      </w:r>
      <w:r w:rsidR="00026443">
        <w:t xml:space="preserve">seeking confidential treatment of such information.  </w:t>
      </w:r>
      <w:r w:rsidR="0035365B">
        <w:t>T</w:t>
      </w:r>
      <w:r w:rsidR="00725F01">
        <w:t xml:space="preserve">he Commission’s rules require </w:t>
      </w:r>
      <w:r w:rsidR="004C6159">
        <w:t>clear and conspicuous disclosure of rates</w:t>
      </w:r>
      <w:r w:rsidR="008F7E3C">
        <w:t xml:space="preserve"> and charges</w:t>
      </w:r>
      <w:r w:rsidR="004C6159">
        <w:t>.</w:t>
      </w:r>
      <w:r>
        <w:rPr>
          <w:rStyle w:val="FootnoteReference"/>
        </w:rPr>
        <w:footnoteReference w:id="21"/>
      </w:r>
      <w:r w:rsidR="001B3307">
        <w:t xml:space="preserve">  </w:t>
      </w:r>
      <w:r w:rsidR="0035365B">
        <w:t>Thus</w:t>
      </w:r>
      <w:r w:rsidR="001B3307">
        <w:t xml:space="preserve">, </w:t>
      </w:r>
      <w:r w:rsidR="00C27977">
        <w:t>any</w:t>
      </w:r>
      <w:r w:rsidR="001B3307">
        <w:t xml:space="preserve"> claim that this information is confidential </w:t>
      </w:r>
      <w:r w:rsidR="008F7E3C">
        <w:t xml:space="preserve">is </w:t>
      </w:r>
      <w:r w:rsidR="001B3307">
        <w:t>inconsistent with the Commission’s rules.</w:t>
      </w:r>
      <w:r w:rsidR="00C22D76">
        <w:t xml:space="preserve">  Further, the Commission</w:t>
      </w:r>
      <w:r w:rsidR="00A74A1F">
        <w:t xml:space="preserve"> has previously cautioned </w:t>
      </w:r>
      <w:r w:rsidR="00533048">
        <w:t>providers against seeking confidentiality for rates, ancillary service charges, and average daily population.</w:t>
      </w:r>
      <w:r>
        <w:rPr>
          <w:rStyle w:val="FootnoteReference"/>
        </w:rPr>
        <w:footnoteReference w:id="22"/>
      </w:r>
      <w:r w:rsidR="008E2BCD">
        <w:t xml:space="preserve">  </w:t>
      </w:r>
    </w:p>
    <w:p w:rsidR="004B681C" w:rsidP="00536001" w14:paraId="0B936F97" w14:textId="3960B56C">
      <w:pPr>
        <w:pStyle w:val="ParaNum"/>
      </w:pPr>
      <w:r>
        <w:t xml:space="preserve">Under the </w:t>
      </w:r>
      <w:r w:rsidRPr="00E559A8">
        <w:rPr>
          <w:i/>
          <w:iCs/>
        </w:rPr>
        <w:t>Protective Order</w:t>
      </w:r>
      <w:r>
        <w:t xml:space="preserve">, </w:t>
      </w:r>
      <w:r w:rsidR="00310A59">
        <w:t>confidential information is</w:t>
      </w:r>
      <w:r w:rsidR="009A471D">
        <w:t xml:space="preserve">, among other things, “information that is not </w:t>
      </w:r>
      <w:r w:rsidR="00504EFC">
        <w:t xml:space="preserve">otherwise </w:t>
      </w:r>
      <w:r w:rsidR="009A471D">
        <w:t>available from publicly available sources.”</w:t>
      </w:r>
      <w:r>
        <w:rPr>
          <w:rStyle w:val="FootnoteReference"/>
        </w:rPr>
        <w:footnoteReference w:id="23"/>
      </w:r>
      <w:r w:rsidR="009A471D">
        <w:t xml:space="preserve">  </w:t>
      </w:r>
      <w:r w:rsidR="00253DE9">
        <w:t>However,</w:t>
      </w:r>
      <w:r w:rsidR="00DD6F4F">
        <w:t xml:space="preserve"> </w:t>
      </w:r>
      <w:r w:rsidR="00907C97">
        <w:t>much</w:t>
      </w:r>
      <w:r w:rsidR="00B83CB2">
        <w:t xml:space="preserve">, if not all, </w:t>
      </w:r>
      <w:r w:rsidR="00907C97">
        <w:t xml:space="preserve">of the information regarding rates, charges, facility names, and average daily population is </w:t>
      </w:r>
      <w:r w:rsidR="00AE2A89">
        <w:t xml:space="preserve">publicly available.  </w:t>
      </w:r>
      <w:r w:rsidR="005F249B">
        <w:t>S</w:t>
      </w:r>
      <w:r w:rsidR="00581402">
        <w:t xml:space="preserve">ome providers </w:t>
      </w:r>
      <w:r w:rsidR="0077087E">
        <w:t>that have requested confidentiality</w:t>
      </w:r>
      <w:r w:rsidR="00F731C0">
        <w:t xml:space="preserve"> as to their </w:t>
      </w:r>
      <w:r w:rsidR="00264D4E">
        <w:t xml:space="preserve">rates, charges, </w:t>
      </w:r>
      <w:r w:rsidR="00E45B42">
        <w:t>or</w:t>
      </w:r>
      <w:r w:rsidR="00264D4E">
        <w:t xml:space="preserve"> facility names</w:t>
      </w:r>
      <w:r w:rsidR="00581402">
        <w:t xml:space="preserve"> </w:t>
      </w:r>
      <w:r w:rsidR="00732E9D">
        <w:t>post</w:t>
      </w:r>
      <w:r w:rsidR="00581402">
        <w:t xml:space="preserve"> </w:t>
      </w:r>
      <w:r w:rsidR="00264D4E">
        <w:t>that information</w:t>
      </w:r>
      <w:r w:rsidR="00581402">
        <w:t xml:space="preserve"> on their websites</w:t>
      </w:r>
      <w:r w:rsidR="00356803">
        <w:t>, undercutting any claim of confidentiality</w:t>
      </w:r>
      <w:r w:rsidR="00581402">
        <w:t>.</w:t>
      </w:r>
      <w:r>
        <w:rPr>
          <w:rStyle w:val="FootnoteReference"/>
        </w:rPr>
        <w:footnoteReference w:id="24"/>
      </w:r>
      <w:r w:rsidR="00581402">
        <w:t xml:space="preserve">  </w:t>
      </w:r>
      <w:r w:rsidR="0077087E">
        <w:t>Other providers</w:t>
      </w:r>
      <w:r w:rsidR="00E23042">
        <w:t xml:space="preserve"> that </w:t>
      </w:r>
      <w:r w:rsidR="00E23042">
        <w:t xml:space="preserve">have not requested confidential treatment of facility or rate information </w:t>
      </w:r>
      <w:r w:rsidR="00732E9D">
        <w:t xml:space="preserve">in their annual reports </w:t>
      </w:r>
      <w:r w:rsidR="0028225B">
        <w:t xml:space="preserve">also publicly post </w:t>
      </w:r>
      <w:r w:rsidR="00E02B29">
        <w:t>that</w:t>
      </w:r>
      <w:r w:rsidR="0028225B">
        <w:t xml:space="preserve"> information on their websites, further undercutting </w:t>
      </w:r>
      <w:r w:rsidR="00810A7A">
        <w:t>confidentiality claims of other providers.</w:t>
      </w:r>
      <w:r>
        <w:rPr>
          <w:rStyle w:val="FootnoteReference"/>
        </w:rPr>
        <w:footnoteReference w:id="25"/>
      </w:r>
      <w:r w:rsidR="00810A7A">
        <w:t xml:space="preserve">  </w:t>
      </w:r>
      <w:r w:rsidR="00DE5D0D">
        <w:t>In addition</w:t>
      </w:r>
      <w:r w:rsidR="00365D6D">
        <w:t xml:space="preserve">, </w:t>
      </w:r>
      <w:r w:rsidR="00E51B4F">
        <w:t xml:space="preserve">many </w:t>
      </w:r>
      <w:r w:rsidR="00DE5D0D">
        <w:t>facilities publicly post information about the providers serving those facilities</w:t>
      </w:r>
      <w:r w:rsidR="00F811F4">
        <w:t xml:space="preserve">, </w:t>
      </w:r>
      <w:r w:rsidR="00DE5D0D">
        <w:t>the rates those prov</w:t>
      </w:r>
      <w:r w:rsidR="00F811F4">
        <w:t>iders char</w:t>
      </w:r>
      <w:r w:rsidR="00F7456E">
        <w:t>g</w:t>
      </w:r>
      <w:r w:rsidR="00F811F4">
        <w:t>e</w:t>
      </w:r>
      <w:r w:rsidR="00365D6D">
        <w:t>,</w:t>
      </w:r>
      <w:r w:rsidR="009945B3">
        <w:t xml:space="preserve"> or average daily population statistics</w:t>
      </w:r>
      <w:r w:rsidR="00365D6D">
        <w:t>.</w:t>
      </w:r>
      <w:r>
        <w:rPr>
          <w:rStyle w:val="FootnoteReference"/>
        </w:rPr>
        <w:footnoteReference w:id="26"/>
      </w:r>
      <w:r w:rsidR="00C26F6F">
        <w:t xml:space="preserve">  </w:t>
      </w:r>
      <w:r w:rsidR="005E3DB7">
        <w:t>Compounding matters further</w:t>
      </w:r>
      <w:r w:rsidR="00C26F6F">
        <w:t xml:space="preserve">, </w:t>
      </w:r>
      <w:r w:rsidR="003B1CC7">
        <w:t xml:space="preserve">state and local governments often reveal information about rates, charges, and facility names </w:t>
      </w:r>
      <w:r w:rsidR="00944289">
        <w:t xml:space="preserve">as part of their public procurement process </w:t>
      </w:r>
      <w:r w:rsidR="00241B27">
        <w:t>or</w:t>
      </w:r>
      <w:r w:rsidR="00944289">
        <w:t xml:space="preserve"> </w:t>
      </w:r>
      <w:r w:rsidR="001A20D8">
        <w:t xml:space="preserve">otherwise </w:t>
      </w:r>
      <w:r w:rsidR="00241B27">
        <w:t>do not take the view that such information is confidential under state or local open records laws</w:t>
      </w:r>
      <w:r w:rsidR="00944289">
        <w:t>.</w:t>
      </w:r>
      <w:r>
        <w:rPr>
          <w:rStyle w:val="FootnoteReference"/>
        </w:rPr>
        <w:footnoteReference w:id="27"/>
      </w:r>
      <w:r w:rsidR="00365D6D">
        <w:t xml:space="preserve">  </w:t>
      </w:r>
      <w:r w:rsidR="00E51B4F">
        <w:t xml:space="preserve">To the extent the rates and charges providers charge at each respective facility they serve is not </w:t>
      </w:r>
      <w:r w:rsidR="00390B4D">
        <w:t xml:space="preserve">currently </w:t>
      </w:r>
      <w:r w:rsidR="00E51B4F">
        <w:t>available on their websites, the Commission’s rules require that information to be made available “</w:t>
      </w:r>
      <w:r w:rsidRPr="00E51B4F" w:rsidR="00E51B4F">
        <w:t>in another reasonable manner readily available to consumers</w:t>
      </w:r>
      <w:r w:rsidR="00E51B4F">
        <w:t>.”</w:t>
      </w:r>
      <w:r>
        <w:rPr>
          <w:rStyle w:val="FootnoteReference"/>
        </w:rPr>
        <w:footnoteReference w:id="28"/>
      </w:r>
      <w:r w:rsidR="00E51B4F">
        <w:t xml:space="preserve">  </w:t>
      </w:r>
      <w:r w:rsidR="002A7814">
        <w:t xml:space="preserve">Such publicly-available </w:t>
      </w:r>
      <w:r w:rsidR="00E51B4F">
        <w:t xml:space="preserve">or obligated to be publicly-available </w:t>
      </w:r>
      <w:r w:rsidR="002A7814">
        <w:t>information can</w:t>
      </w:r>
      <w:r w:rsidR="00E51B4F">
        <w:t xml:space="preserve"> hardly </w:t>
      </w:r>
      <w:r w:rsidR="002A7814">
        <w:t xml:space="preserve">meet </w:t>
      </w:r>
      <w:r w:rsidR="00D00289">
        <w:t xml:space="preserve">the definition of “Confidential Information” in the </w:t>
      </w:r>
      <w:r w:rsidRPr="00E51B4F" w:rsidR="00D00289">
        <w:rPr>
          <w:i/>
          <w:iCs/>
        </w:rPr>
        <w:t>Protective Order</w:t>
      </w:r>
      <w:r w:rsidRPr="00A92B35" w:rsidR="0086613D">
        <w:t>.</w:t>
      </w:r>
      <w:r>
        <w:rPr>
          <w:rStyle w:val="FootnoteReference"/>
        </w:rPr>
        <w:footnoteReference w:id="29"/>
      </w:r>
      <w:r w:rsidR="00BD3E59">
        <w:t xml:space="preserve"> </w:t>
      </w:r>
      <w:r w:rsidR="00E51B4F">
        <w:t xml:space="preserve"> </w:t>
      </w:r>
    </w:p>
    <w:p w:rsidR="00092F50" w:rsidP="004B681C" w14:paraId="24E5FD1D" w14:textId="5FA6F5D6">
      <w:pPr>
        <w:pStyle w:val="ParaNum"/>
      </w:pPr>
      <w:r>
        <w:t xml:space="preserve">We </w:t>
      </w:r>
      <w:r w:rsidR="0077186C">
        <w:t>also</w:t>
      </w:r>
      <w:r w:rsidR="001D585D">
        <w:t xml:space="preserve"> </w:t>
      </w:r>
      <w:r w:rsidR="008E5CA7">
        <w:t>find</w:t>
      </w:r>
      <w:r w:rsidR="001D585D">
        <w:t xml:space="preserve"> that</w:t>
      </w:r>
      <w:r w:rsidR="001E737E">
        <w:t xml:space="preserve"> the</w:t>
      </w:r>
      <w:r w:rsidR="009750D6">
        <w:t xml:space="preserve">re is a strong public interest </w:t>
      </w:r>
      <w:r w:rsidR="00890BD1">
        <w:t xml:space="preserve">in </w:t>
      </w:r>
      <w:r w:rsidR="008E5CA7">
        <w:t xml:space="preserve">making </w:t>
      </w:r>
      <w:r w:rsidR="00332832">
        <w:t xml:space="preserve">providers’ rates </w:t>
      </w:r>
      <w:r w:rsidR="00E51B4F">
        <w:t xml:space="preserve">and charges at the facilities each serve </w:t>
      </w:r>
      <w:r w:rsidR="00332832">
        <w:t xml:space="preserve">publicly available and that this public interest </w:t>
      </w:r>
      <w:r w:rsidR="00364F1B">
        <w:t xml:space="preserve">outweighs any </w:t>
      </w:r>
      <w:r w:rsidR="00F73373">
        <w:t>hypothetical</w:t>
      </w:r>
      <w:r w:rsidR="00364F1B">
        <w:t xml:space="preserve"> </w:t>
      </w:r>
      <w:r w:rsidR="00F113E5">
        <w:t xml:space="preserve">competitive harms </w:t>
      </w:r>
      <w:r w:rsidR="00F43E27">
        <w:t xml:space="preserve">that might ensue </w:t>
      </w:r>
      <w:r w:rsidR="00F44958">
        <w:t>from the disclosure of the facilities particular providers serve or the rates they charge at those facilities</w:t>
      </w:r>
      <w:r w:rsidR="003C6750">
        <w:t>.</w:t>
      </w:r>
      <w:r w:rsidR="003B1510">
        <w:t xml:space="preserve">  As the Commission has recognized, </w:t>
      </w:r>
      <w:r w:rsidR="00921EC4">
        <w:t>“</w:t>
      </w:r>
      <w:r w:rsidR="003B1510">
        <w:t>transparency in rates</w:t>
      </w:r>
      <w:r w:rsidR="00C40D4F">
        <w:t>, terms, and fees</w:t>
      </w:r>
      <w:r w:rsidR="00921EC4">
        <w:t xml:space="preserve"> will . . . ensure that consumers are informed of their choices”</w:t>
      </w:r>
      <w:r w:rsidR="00F83B3C">
        <w:t xml:space="preserve"> </w:t>
      </w:r>
      <w:r w:rsidR="00B214AE">
        <w:t>as to the</w:t>
      </w:r>
      <w:r w:rsidR="00AC39AF">
        <w:t xml:space="preserve"> telecommunications</w:t>
      </w:r>
      <w:r w:rsidR="00B214AE">
        <w:t xml:space="preserve"> services </w:t>
      </w:r>
      <w:r w:rsidRPr="003238FA" w:rsidR="00B214AE">
        <w:rPr>
          <w:i/>
          <w:iCs/>
        </w:rPr>
        <w:t>they will use at a given facility</w:t>
      </w:r>
      <w:r w:rsidR="00F83B3C">
        <w:t>.</w:t>
      </w:r>
      <w:r>
        <w:rPr>
          <w:rStyle w:val="FootnoteReference"/>
        </w:rPr>
        <w:footnoteReference w:id="30"/>
      </w:r>
      <w:r w:rsidR="0052580A">
        <w:t xml:space="preserve">  Additionally, making this information available to the public </w:t>
      </w:r>
      <w:r w:rsidR="008213D2">
        <w:t xml:space="preserve">in </w:t>
      </w:r>
      <w:r w:rsidR="008213D2">
        <w:t>providers’</w:t>
      </w:r>
      <w:r w:rsidR="0052580A">
        <w:t xml:space="preserve"> </w:t>
      </w:r>
      <w:r w:rsidR="00F51A91">
        <w:t>a</w:t>
      </w:r>
      <w:r w:rsidR="0052580A">
        <w:t xml:space="preserve">nnual </w:t>
      </w:r>
      <w:r w:rsidR="00F51A91">
        <w:t>r</w:t>
      </w:r>
      <w:r w:rsidR="0052580A">
        <w:t>eports give</w:t>
      </w:r>
      <w:r w:rsidR="00E51B4F">
        <w:t>s</w:t>
      </w:r>
      <w:r w:rsidR="0052580A">
        <w:t xml:space="preserve"> </w:t>
      </w:r>
      <w:r w:rsidR="00BA7B41">
        <w:t>all interested parties—</w:t>
      </w:r>
      <w:r w:rsidR="00405789">
        <w:t xml:space="preserve">incarcerated individuals, their friends and families, </w:t>
      </w:r>
      <w:r w:rsidR="00BA7B41">
        <w:t xml:space="preserve">states, providers, </w:t>
      </w:r>
      <w:r w:rsidR="00430D70">
        <w:t xml:space="preserve">and public interest advocates—the opportunity to review the data independently </w:t>
      </w:r>
      <w:r w:rsidR="00205559">
        <w:t>and</w:t>
      </w:r>
      <w:r w:rsidR="00CC0392">
        <w:t xml:space="preserve"> ensure </w:t>
      </w:r>
      <w:r w:rsidR="00205559">
        <w:t xml:space="preserve">its </w:t>
      </w:r>
      <w:r w:rsidR="00CC0392">
        <w:t>accuracy</w:t>
      </w:r>
      <w:r w:rsidR="002D7464">
        <w:t xml:space="preserve">.  </w:t>
      </w:r>
    </w:p>
    <w:p w:rsidR="00427EE3" w:rsidP="004B681C" w14:paraId="20A3909B" w14:textId="1DE1A035">
      <w:pPr>
        <w:pStyle w:val="ParaNum"/>
      </w:pPr>
      <w:r>
        <w:t xml:space="preserve">The inmate calling services providers that have requested that the Commission treat facility </w:t>
      </w:r>
      <w:r w:rsidR="00514A1C">
        <w:t>names</w:t>
      </w:r>
      <w:r w:rsidR="00810E03">
        <w:t>, rates, charges</w:t>
      </w:r>
      <w:r w:rsidR="006D06F3">
        <w:t>, and average daily population</w:t>
      </w:r>
      <w:r>
        <w:t xml:space="preserve"> as confidential have provided n</w:t>
      </w:r>
      <w:r w:rsidR="00290DF7">
        <w:t>o</w:t>
      </w:r>
      <w:r w:rsidR="009E2BFE">
        <w:t xml:space="preserve"> </w:t>
      </w:r>
      <w:r w:rsidR="00E40586">
        <w:t>meaningful</w:t>
      </w:r>
      <w:r w:rsidR="00CF1423">
        <w:t xml:space="preserve"> </w:t>
      </w:r>
      <w:r w:rsidR="009E2BFE">
        <w:t>justification</w:t>
      </w:r>
      <w:r w:rsidR="003B1740">
        <w:t xml:space="preserve"> </w:t>
      </w:r>
      <w:r w:rsidR="00290DF7">
        <w:t xml:space="preserve">as to why disclosure would be </w:t>
      </w:r>
      <w:r w:rsidR="00540751">
        <w:t>detrimental to them</w:t>
      </w:r>
      <w:r w:rsidR="008151F7">
        <w:t>.</w:t>
      </w:r>
      <w:r>
        <w:rPr>
          <w:rStyle w:val="FootnoteReference"/>
        </w:rPr>
        <w:footnoteReference w:id="31"/>
      </w:r>
      <w:r w:rsidR="008151F7">
        <w:t xml:space="preserve">  Nor have they </w:t>
      </w:r>
      <w:r w:rsidR="00540751">
        <w:t>reconcile</w:t>
      </w:r>
      <w:r w:rsidR="008151F7">
        <w:t>d</w:t>
      </w:r>
      <w:r w:rsidR="00540751">
        <w:t xml:space="preserve"> the fact that much of the information </w:t>
      </w:r>
      <w:r w:rsidR="00021B94">
        <w:t>designated as confidential</w:t>
      </w:r>
      <w:r w:rsidR="00540751">
        <w:t xml:space="preserve"> is already</w:t>
      </w:r>
      <w:r w:rsidR="003B1740">
        <w:t xml:space="preserve"> publicly available</w:t>
      </w:r>
      <w:r w:rsidR="00C8544C">
        <w:t xml:space="preserve"> or </w:t>
      </w:r>
      <w:r w:rsidR="00F7456E">
        <w:t xml:space="preserve">is required to </w:t>
      </w:r>
      <w:r w:rsidR="00C8544C">
        <w:t>be made publicly available under the Commission’s rules</w:t>
      </w:r>
      <w:r w:rsidR="003B1740">
        <w:t xml:space="preserve">.  Absent any such justification, </w:t>
      </w:r>
      <w:r w:rsidR="00AB5F1C">
        <w:t>we are</w:t>
      </w:r>
      <w:r w:rsidR="003B1740">
        <w:t xml:space="preserve"> unpersuaded that this information should be </w:t>
      </w:r>
      <w:r w:rsidR="00AB5F1C">
        <w:t xml:space="preserve">treated </w:t>
      </w:r>
      <w:r w:rsidR="00B8260C">
        <w:t>confidential</w:t>
      </w:r>
      <w:r w:rsidR="00AB5F1C">
        <w:t>ly</w:t>
      </w:r>
      <w:r w:rsidR="00370139">
        <w:t xml:space="preserve">.  </w:t>
      </w:r>
    </w:p>
    <w:p w:rsidR="004B681C" w:rsidP="004B681C" w14:paraId="322CA323" w14:textId="77777777">
      <w:pPr>
        <w:pStyle w:val="Heading1"/>
      </w:pPr>
      <w:r>
        <w:t>Procedural matters</w:t>
      </w:r>
    </w:p>
    <w:p w:rsidR="004B681C" w:rsidP="004B681C" w14:paraId="757B40CA" w14:textId="73CBDAAE">
      <w:pPr>
        <w:pStyle w:val="ParaNum"/>
      </w:pPr>
      <w:r>
        <w:t>Pursuant</w:t>
      </w:r>
      <w:r w:rsidR="00303D99">
        <w:t xml:space="preserve"> to section 0.459(g) of the Commission’s rules, </w:t>
      </w:r>
      <w:r w:rsidR="00994DEC">
        <w:t xml:space="preserve">any provider whose request for confidentiality as to </w:t>
      </w:r>
      <w:r w:rsidR="00DC6E46">
        <w:t>facility names, inmate calling services rates, the amounts of ancillary service charges</w:t>
      </w:r>
      <w:r w:rsidR="00FE1499">
        <w:t>, or average daily population</w:t>
      </w:r>
      <w:r w:rsidR="00994DEC">
        <w:t xml:space="preserve"> is denied herein may file an application for the review by the Commission within ten business days.</w:t>
      </w:r>
      <w:r>
        <w:rPr>
          <w:rStyle w:val="FootnoteReference"/>
        </w:rPr>
        <w:footnoteReference w:id="32"/>
      </w:r>
      <w:r w:rsidR="00994DEC">
        <w:t xml:space="preserve">  </w:t>
      </w:r>
      <w:r w:rsidR="009568AE">
        <w:t xml:space="preserve">The materials will be accorded confidential treatment until the Commission acts on any timely applications for review </w:t>
      </w:r>
      <w:r w:rsidR="002025F8">
        <w:t>of the Bureau’s denial of the confidentiality requests</w:t>
      </w:r>
      <w:r w:rsidR="009108FB">
        <w:t>.</w:t>
      </w:r>
      <w:r>
        <w:rPr>
          <w:rStyle w:val="FootnoteReference"/>
        </w:rPr>
        <w:footnoteReference w:id="33"/>
      </w:r>
      <w:r w:rsidR="00D1048E">
        <w:t xml:space="preserve">  </w:t>
      </w:r>
    </w:p>
    <w:p w:rsidR="004B681C" w:rsidP="004B681C" w14:paraId="147185BD" w14:textId="1E4DE9E7">
      <w:pPr>
        <w:pStyle w:val="Heading1"/>
      </w:pPr>
      <w:r>
        <w:t>ordering clause</w:t>
      </w:r>
    </w:p>
    <w:p w:rsidR="00797A90" w:rsidP="00797A90" w14:paraId="55A78DD2" w14:textId="2331F679">
      <w:pPr>
        <w:pStyle w:val="ParaNum"/>
      </w:pPr>
      <w:r>
        <w:t xml:space="preserve">Accordingly, IT IS ORDERED that, pursuant to </w:t>
      </w:r>
      <w:r w:rsidR="00A54BE2">
        <w:t>Section</w:t>
      </w:r>
      <w:r w:rsidR="00D3638E">
        <w:t xml:space="preserve"> 4(</w:t>
      </w:r>
      <w:r w:rsidR="00F7456E">
        <w:t>j</w:t>
      </w:r>
      <w:r w:rsidR="00D3638E">
        <w:t>) of the Communications Act</w:t>
      </w:r>
      <w:r w:rsidR="008C6186">
        <w:t xml:space="preserve"> of 1934, as amended,</w:t>
      </w:r>
      <w:r w:rsidR="00D3638E">
        <w:t xml:space="preserve"> 47 U.S.C. § 154(</w:t>
      </w:r>
      <w:r w:rsidR="00F7456E">
        <w:t>j</w:t>
      </w:r>
      <w:r w:rsidR="00D3638E">
        <w:t xml:space="preserve">), </w:t>
      </w:r>
      <w:r w:rsidR="00291A07">
        <w:t>and</w:t>
      </w:r>
      <w:r w:rsidR="0015328C">
        <w:t xml:space="preserve"> th</w:t>
      </w:r>
      <w:r w:rsidR="005974A7">
        <w:t>rough the</w:t>
      </w:r>
      <w:r w:rsidR="0015328C">
        <w:t xml:space="preserve"> authority delegated </w:t>
      </w:r>
      <w:r w:rsidR="005974A7">
        <w:t>pursuant to sections 0.91 and 0.291 of the Commission’s rules, 47 CFR §§ 0.91, 0.921, and</w:t>
      </w:r>
      <w:r w:rsidR="00291A07">
        <w:t xml:space="preserve"> </w:t>
      </w:r>
      <w:r w:rsidR="00143A5F">
        <w:t>section 0.459</w:t>
      </w:r>
      <w:r w:rsidR="00B31C62">
        <w:t xml:space="preserve"> of the Commission’s rules, 47 CFR § 0.459,</w:t>
      </w:r>
      <w:r w:rsidR="00F373BC">
        <w:t xml:space="preserve"> the requests for confidential treatment of facility </w:t>
      </w:r>
      <w:r w:rsidR="005C647B">
        <w:t>names, inmate calling services rates, amount</w:t>
      </w:r>
      <w:r w:rsidR="007A153F">
        <w:t>s</w:t>
      </w:r>
      <w:r w:rsidR="005C647B">
        <w:t xml:space="preserve"> of ancillary service charges</w:t>
      </w:r>
      <w:r w:rsidR="00525A74">
        <w:t>, and/or average daily population</w:t>
      </w:r>
      <w:r w:rsidR="00F373BC">
        <w:t xml:space="preserve"> in the </w:t>
      </w:r>
      <w:r w:rsidR="00CE7648">
        <w:t xml:space="preserve">2019 Annual Reports </w:t>
      </w:r>
      <w:r w:rsidR="00B318ED">
        <w:t>filed by</w:t>
      </w:r>
      <w:r w:rsidR="000C1AB9">
        <w:t xml:space="preserve"> Correct Solutions, LLC, ATN, Inc., Combined Public Communications, LLC,</w:t>
      </w:r>
      <w:r w:rsidR="00214D75">
        <w:t xml:space="preserve"> CenturyLink Public Communications, Inc.,</w:t>
      </w:r>
      <w:r w:rsidR="000C1AB9">
        <w:t xml:space="preserve"> Network Communications International Corp, Pay Tel Communications, Inc., Global Tel*Link Corporation, and Inmate Calling Solutions, LLC</w:t>
      </w:r>
      <w:r w:rsidR="00B103E7">
        <w:t xml:space="preserve"> </w:t>
      </w:r>
      <w:r w:rsidR="00CE7648">
        <w:t>are hereby DENIED.</w:t>
      </w:r>
      <w:r w:rsidR="00831B80">
        <w:t xml:space="preserve">  </w:t>
      </w:r>
    </w:p>
    <w:p w:rsidR="00B217D4" w:rsidP="00B217D4" w14:paraId="2D658451" w14:textId="2A91DF6F">
      <w:pPr>
        <w:pStyle w:val="ParaNum"/>
        <w:numPr>
          <w:ilvl w:val="0"/>
          <w:numId w:val="0"/>
        </w:numPr>
        <w:ind w:left="720"/>
      </w:pPr>
    </w:p>
    <w:p w:rsidR="00B217D4" w:rsidP="00B217D4" w14:paraId="39356E28" w14:textId="6326AADD">
      <w:pPr>
        <w:pStyle w:val="ParaNum"/>
        <w:numPr>
          <w:ilvl w:val="0"/>
          <w:numId w:val="0"/>
        </w:numPr>
        <w:ind w:left="4320"/>
      </w:pPr>
      <w:r>
        <w:t>FEDERAL COMMUNICATIONS COMMISSION</w:t>
      </w:r>
    </w:p>
    <w:p w:rsidR="00B217D4" w:rsidP="00B217D4" w14:paraId="5D75DE63" w14:textId="6D0183D1">
      <w:pPr>
        <w:pStyle w:val="ParaNum"/>
        <w:numPr>
          <w:ilvl w:val="0"/>
          <w:numId w:val="0"/>
        </w:numPr>
        <w:ind w:left="4320"/>
      </w:pPr>
    </w:p>
    <w:p w:rsidR="00EC5CF2" w:rsidP="00B217D4" w14:paraId="6E2AE6A7" w14:textId="77777777">
      <w:pPr>
        <w:pStyle w:val="ParaNum"/>
        <w:numPr>
          <w:ilvl w:val="0"/>
          <w:numId w:val="0"/>
        </w:numPr>
        <w:ind w:left="4320"/>
      </w:pPr>
    </w:p>
    <w:p w:rsidR="00EC5CF2" w:rsidP="00F50159" w14:paraId="61340E35" w14:textId="77777777">
      <w:pPr>
        <w:pStyle w:val="ParaNum"/>
        <w:numPr>
          <w:ilvl w:val="0"/>
          <w:numId w:val="0"/>
        </w:numPr>
        <w:spacing w:after="0"/>
        <w:ind w:left="4320"/>
      </w:pPr>
    </w:p>
    <w:p w:rsidR="00B217D4" w:rsidP="00F50159" w14:paraId="1CAD8315" w14:textId="7EDF8D13">
      <w:pPr>
        <w:pStyle w:val="ParaNum"/>
        <w:numPr>
          <w:ilvl w:val="0"/>
          <w:numId w:val="0"/>
        </w:numPr>
        <w:spacing w:after="0"/>
        <w:ind w:left="4320"/>
      </w:pPr>
      <w:r>
        <w:t>Kris Anne Monteith</w:t>
      </w:r>
    </w:p>
    <w:p w:rsidR="00B217D4" w:rsidP="00F50159" w14:paraId="70F15281" w14:textId="3E72AA2F">
      <w:pPr>
        <w:pStyle w:val="ParaNum"/>
        <w:numPr>
          <w:ilvl w:val="0"/>
          <w:numId w:val="0"/>
        </w:numPr>
        <w:spacing w:after="0"/>
        <w:ind w:left="4320"/>
      </w:pPr>
      <w:r>
        <w:t>Chief</w:t>
      </w:r>
    </w:p>
    <w:p w:rsidR="00610C2D" w:rsidRPr="00797A90" w:rsidP="00F50159" w14:paraId="4FF7AF74" w14:textId="349DC01C">
      <w:pPr>
        <w:pStyle w:val="ParaNum"/>
        <w:numPr>
          <w:ilvl w:val="0"/>
          <w:numId w:val="0"/>
        </w:numPr>
        <w:spacing w:after="0"/>
        <w:ind w:left="4320"/>
      </w:pPr>
      <w:r>
        <w:t>Wireline Competition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145FDD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52749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455E3D2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4B5C336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906F4E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3165F" w14:paraId="629804CA" w14:textId="77777777">
      <w:r>
        <w:separator/>
      </w:r>
    </w:p>
  </w:footnote>
  <w:footnote w:type="continuationSeparator" w:id="1">
    <w:p w:rsidR="0023165F" w:rsidP="00C721AC" w14:paraId="03ED3DC0" w14:textId="77777777">
      <w:pPr>
        <w:spacing w:before="120"/>
        <w:rPr>
          <w:sz w:val="20"/>
        </w:rPr>
      </w:pPr>
      <w:r>
        <w:rPr>
          <w:sz w:val="20"/>
        </w:rPr>
        <w:t xml:space="preserve">(Continued from previous page)  </w:t>
      </w:r>
      <w:r>
        <w:rPr>
          <w:sz w:val="20"/>
        </w:rPr>
        <w:separator/>
      </w:r>
    </w:p>
  </w:footnote>
  <w:footnote w:type="continuationNotice" w:id="2">
    <w:p w:rsidR="0023165F" w:rsidP="00C721AC" w14:paraId="5DDDAE96" w14:textId="77777777">
      <w:pPr>
        <w:jc w:val="right"/>
        <w:rPr>
          <w:sz w:val="20"/>
        </w:rPr>
      </w:pPr>
      <w:r>
        <w:rPr>
          <w:sz w:val="20"/>
        </w:rPr>
        <w:t>(continued….)</w:t>
      </w:r>
    </w:p>
  </w:footnote>
  <w:footnote w:id="3">
    <w:p w:rsidR="00FB0B56" w:rsidRPr="00893530" w14:paraId="445167D8" w14:textId="1C2AE86F">
      <w:pPr>
        <w:pStyle w:val="FootnoteText"/>
      </w:pPr>
      <w:r>
        <w:rPr>
          <w:rStyle w:val="FootnoteReference"/>
        </w:rPr>
        <w:footnoteRef/>
      </w:r>
      <w:r>
        <w:t xml:space="preserve"> </w:t>
      </w:r>
      <w:r w:rsidR="00893530">
        <w:rPr>
          <w:i/>
          <w:iCs/>
        </w:rPr>
        <w:t>Rates for Inmate Calling Services</w:t>
      </w:r>
      <w:r w:rsidR="00893530">
        <w:t>, WC Docket No. 12-375, Order, 28 FCC Rcd 169</w:t>
      </w:r>
      <w:r w:rsidR="00950515">
        <w:t>5</w:t>
      </w:r>
      <w:r w:rsidR="00893530">
        <w:t>4 (WCB 2013) (</w:t>
      </w:r>
      <w:r w:rsidR="00893530">
        <w:rPr>
          <w:i/>
          <w:iCs/>
        </w:rPr>
        <w:t>Protective Order</w:t>
      </w:r>
      <w:r w:rsidR="00893530">
        <w:t>); 47 CFR</w:t>
      </w:r>
      <w:r w:rsidR="00D75445">
        <w:t xml:space="preserve"> § 0.459</w:t>
      </w:r>
      <w:r w:rsidR="00842311">
        <w:t>; 47 CFR §</w:t>
      </w:r>
      <w:r w:rsidR="00211163">
        <w:t> </w:t>
      </w:r>
      <w:r w:rsidR="00842311">
        <w:t>64.6060</w:t>
      </w:r>
      <w:r w:rsidR="00211163">
        <w:t xml:space="preserve">; </w:t>
      </w:r>
      <w:r w:rsidR="00211163">
        <w:rPr>
          <w:i/>
          <w:iCs/>
        </w:rPr>
        <w:t>Wireline Competition Bureau Announces OMB Renewal of Information Collection Concerning Inmate Calling Services</w:t>
      </w:r>
      <w:r w:rsidR="00211163">
        <w:t>, WC Docket No. 12-375, Public Notice, 35 FCC Rcd 1456 (WCB 2020)</w:t>
      </w:r>
      <w:r w:rsidR="00D75445">
        <w:t xml:space="preserve">.  </w:t>
      </w:r>
    </w:p>
  </w:footnote>
  <w:footnote w:id="4">
    <w:p w:rsidR="007644C4" w:rsidRPr="004D2C32" w14:paraId="4DE05EBF" w14:textId="31653AA1">
      <w:pPr>
        <w:pStyle w:val="FootnoteText"/>
      </w:pPr>
      <w:r>
        <w:rPr>
          <w:rStyle w:val="FootnoteReference"/>
        </w:rPr>
        <w:footnoteRef/>
      </w:r>
      <w:r>
        <w:t xml:space="preserve"> </w:t>
      </w:r>
      <w:r w:rsidR="004A04C7">
        <w:rPr>
          <w:i/>
          <w:iCs/>
        </w:rPr>
        <w:t>See</w:t>
      </w:r>
      <w:r w:rsidR="00F021CF">
        <w:rPr>
          <w:i/>
          <w:iCs/>
        </w:rPr>
        <w:t xml:space="preserve"> generally</w:t>
      </w:r>
      <w:r w:rsidR="004A04C7">
        <w:rPr>
          <w:i/>
          <w:iCs/>
        </w:rPr>
        <w:t xml:space="preserve"> </w:t>
      </w:r>
      <w:r w:rsidR="004D2C32">
        <w:rPr>
          <w:i/>
          <w:iCs/>
        </w:rPr>
        <w:t>Instructions for Completing the Inmate Calling Services Annual Reporting Form (FCC Form 2301(a))</w:t>
      </w:r>
      <w:r w:rsidR="00695267">
        <w:t xml:space="preserve"> </w:t>
      </w:r>
      <w:r w:rsidR="00F021CF">
        <w:t xml:space="preserve">(Feb. 2020), </w:t>
      </w:r>
      <w:hyperlink r:id="rId1" w:history="1">
        <w:r w:rsidRPr="00623A5E" w:rsidR="00AC0F41">
          <w:rPr>
            <w:snapToGrid w:val="0"/>
            <w:color w:val="0000FF"/>
            <w:kern w:val="28"/>
            <w:szCs w:val="18"/>
            <w:u w:val="single"/>
          </w:rPr>
          <w:t>https://docs.fcc.gov/public/attachments/DOC-362551A2.docx</w:t>
        </w:r>
      </w:hyperlink>
      <w:r w:rsidRPr="00623A5E" w:rsidR="00AC0F41">
        <w:rPr>
          <w:snapToGrid w:val="0"/>
          <w:kern w:val="28"/>
          <w:szCs w:val="18"/>
        </w:rPr>
        <w:t xml:space="preserve">.  </w:t>
      </w:r>
    </w:p>
  </w:footnote>
  <w:footnote w:id="5">
    <w:p w:rsidR="00950515" w:rsidRPr="00B27D4E" w:rsidP="00950515" w14:paraId="5AEF81B4" w14:textId="3255740D">
      <w:pPr>
        <w:pStyle w:val="FootnoteText"/>
      </w:pPr>
      <w:r>
        <w:rPr>
          <w:rStyle w:val="FootnoteReference"/>
        </w:rPr>
        <w:footnoteRef/>
      </w:r>
      <w:r>
        <w:t xml:space="preserve"> </w:t>
      </w:r>
      <w:r>
        <w:rPr>
          <w:i/>
          <w:iCs/>
        </w:rPr>
        <w:t xml:space="preserve">See </w:t>
      </w:r>
      <w:r>
        <w:t>47 CFR §§ </w:t>
      </w:r>
      <w:r w:rsidR="00995375">
        <w:t xml:space="preserve">64.6110; </w:t>
      </w:r>
      <w:r>
        <w:t xml:space="preserve">42.10.  </w:t>
      </w:r>
    </w:p>
  </w:footnote>
  <w:footnote w:id="6">
    <w:p w:rsidR="00FF63D6" w:rsidRPr="00FF63D6" w14:paraId="6341BE48" w14:textId="259DE21E">
      <w:pPr>
        <w:pStyle w:val="FootnoteText"/>
      </w:pPr>
      <w:r>
        <w:rPr>
          <w:rStyle w:val="FootnoteReference"/>
        </w:rPr>
        <w:footnoteRef/>
      </w:r>
      <w:r>
        <w:t xml:space="preserve"> </w:t>
      </w:r>
      <w:r>
        <w:rPr>
          <w:i/>
          <w:iCs/>
        </w:rPr>
        <w:t>Protective Order</w:t>
      </w:r>
      <w:r>
        <w:t xml:space="preserve">, 28 FCC Rcd at 16955, para. 3.  </w:t>
      </w:r>
    </w:p>
  </w:footnote>
  <w:footnote w:id="7">
    <w:p w:rsidR="00E52E26" w:rsidRPr="00E52E26" w14:paraId="4ADE4422" w14:textId="7B2959BB">
      <w:pPr>
        <w:pStyle w:val="FootnoteText"/>
      </w:pPr>
      <w:r>
        <w:rPr>
          <w:rStyle w:val="FootnoteReference"/>
        </w:rPr>
        <w:footnoteRef/>
      </w:r>
      <w:r>
        <w:t xml:space="preserve"> </w:t>
      </w:r>
      <w:r>
        <w:rPr>
          <w:i/>
          <w:iCs/>
        </w:rPr>
        <w:t>Protective Order</w:t>
      </w:r>
      <w:r>
        <w:t xml:space="preserve">, 28 FCC Rcd at </w:t>
      </w:r>
      <w:r w:rsidR="00DF6BF5">
        <w:t>16955, para. 3</w:t>
      </w:r>
      <w:r w:rsidR="00756EA3">
        <w:t xml:space="preserve"> (citing</w:t>
      </w:r>
      <w:r w:rsidR="00B911A3">
        <w:t xml:space="preserve"> 47 CFR </w:t>
      </w:r>
      <w:r w:rsidR="00A27009">
        <w:t>§§ 0.459(a), 0.459(a)(3))</w:t>
      </w:r>
      <w:r w:rsidR="00DF6BF5">
        <w:t xml:space="preserve">.  </w:t>
      </w:r>
    </w:p>
  </w:footnote>
  <w:footnote w:id="8">
    <w:p w:rsidR="00D54D74" w:rsidRPr="00D54D74" w14:paraId="77A3CE58" w14:textId="21CF4EE5">
      <w:pPr>
        <w:pStyle w:val="FootnoteText"/>
      </w:pPr>
      <w:r>
        <w:rPr>
          <w:rStyle w:val="FootnoteReference"/>
        </w:rPr>
        <w:footnoteRef/>
      </w:r>
      <w:r>
        <w:t xml:space="preserve"> </w:t>
      </w:r>
      <w:r>
        <w:rPr>
          <w:i/>
          <w:iCs/>
        </w:rPr>
        <w:t>Protective Order</w:t>
      </w:r>
      <w:r>
        <w:t xml:space="preserve">, 28 FCC Rcd at 16954, para. </w:t>
      </w:r>
      <w:r w:rsidR="003B6091">
        <w:t>2.</w:t>
      </w:r>
      <w:r w:rsidR="00A15F2A">
        <w:t xml:space="preserve">  Broadly, under the FOIA and the Commission’s implementing rules, the following records are not routinely available for public inspection:  records pertaining to national defense or foreign policy; materials related solely to the internal personnel rules and practices of the Commission; materials exempted from disclosure by statute; trade secrets and commercial or financial information; interagency and intra-agency memoranda or letters; personnel, medical and similar files, disclosure of which would constitute a clearly unwarranted invasion of personal privacy; and records compiled for law enforcement purposes.  </w:t>
      </w:r>
      <w:r w:rsidR="00A15F2A">
        <w:rPr>
          <w:i/>
          <w:iCs/>
        </w:rPr>
        <w:t xml:space="preserve">See </w:t>
      </w:r>
      <w:r w:rsidRPr="00AD0940" w:rsidR="00A15F2A">
        <w:t>47</w:t>
      </w:r>
      <w:r w:rsidR="00A15F2A">
        <w:t xml:space="preserve"> CFR § 0.457; </w:t>
      </w:r>
      <w:r w:rsidR="00A15F2A">
        <w:rPr>
          <w:i/>
          <w:iCs/>
        </w:rPr>
        <w:t>see also</w:t>
      </w:r>
      <w:r w:rsidR="00A15F2A">
        <w:t xml:space="preserve"> 5 U.S.C. § 552(b).  </w:t>
      </w:r>
      <w:r w:rsidR="003B6091">
        <w:t xml:space="preserve">  </w:t>
      </w:r>
    </w:p>
  </w:footnote>
  <w:footnote w:id="9">
    <w:p w:rsidR="00D633BD" w:rsidP="00D633BD" w14:paraId="519D3412" w14:textId="70A83178">
      <w:pPr>
        <w:pStyle w:val="FootnoteText"/>
      </w:pPr>
      <w:r>
        <w:rPr>
          <w:rStyle w:val="FootnoteReference"/>
        </w:rPr>
        <w:footnoteRef/>
      </w:r>
      <w:r>
        <w:t xml:space="preserve"> 47 CFR § 64.6110.  This disclosure requirement is not limited to a “Consumer” as defined at 47 CFR § 64.6000 </w:t>
      </w:r>
      <w:r w:rsidRPr="00C00BCD">
        <w:rPr>
          <w:color w:val="000000"/>
          <w:shd w:val="clear" w:color="auto" w:fill="FFFFFF"/>
        </w:rPr>
        <w:t>(</w:t>
      </w:r>
      <w:r>
        <w:rPr>
          <w:color w:val="000000"/>
          <w:shd w:val="clear" w:color="auto" w:fill="FFFFFF"/>
        </w:rPr>
        <w:t>“</w:t>
      </w:r>
      <w:r w:rsidRPr="00C00BCD">
        <w:rPr>
          <w:color w:val="000000"/>
          <w:shd w:val="clear" w:color="auto" w:fill="FFFFFF"/>
        </w:rPr>
        <w:t>C</w:t>
      </w:r>
      <w:r w:rsidRPr="00C00BCD">
        <w:rPr>
          <w:i/>
          <w:iCs/>
          <w:color w:val="000000"/>
          <w:shd w:val="clear" w:color="auto" w:fill="FFFFFF"/>
        </w:rPr>
        <w:t>onsumer</w:t>
      </w:r>
      <w:r w:rsidRPr="00C00BCD">
        <w:rPr>
          <w:color w:val="000000"/>
          <w:shd w:val="clear" w:color="auto" w:fill="FFFFFF"/>
        </w:rPr>
        <w:t> means the party paying a Provider of Inmate Calling Services</w:t>
      </w:r>
      <w:r>
        <w:rPr>
          <w:color w:val="000000"/>
          <w:shd w:val="clear" w:color="auto" w:fill="FFFFFF"/>
        </w:rPr>
        <w:t xml:space="preserve">”) but applies to consumers, generally. </w:t>
      </w:r>
      <w:r w:rsidRPr="00C00BCD">
        <w:rPr>
          <w:i/>
          <w:iCs/>
          <w:color w:val="000000"/>
          <w:shd w:val="clear" w:color="auto" w:fill="FFFFFF"/>
        </w:rPr>
        <w:t>See</w:t>
      </w:r>
      <w:r w:rsidRPr="00334671" w:rsidR="00334671">
        <w:rPr>
          <w:i/>
          <w:iCs/>
        </w:rPr>
        <w:t xml:space="preserve"> </w:t>
      </w:r>
      <w:r w:rsidR="00334671">
        <w:rPr>
          <w:i/>
          <w:iCs/>
        </w:rPr>
        <w:t>Rates for</w:t>
      </w:r>
      <w:r w:rsidR="00E93DA1">
        <w:rPr>
          <w:i/>
          <w:iCs/>
        </w:rPr>
        <w:t xml:space="preserve"> Interstate</w:t>
      </w:r>
      <w:r w:rsidR="00334671">
        <w:rPr>
          <w:i/>
          <w:iCs/>
        </w:rPr>
        <w:t xml:space="preserve"> Inmate Calling Services</w:t>
      </w:r>
      <w:r w:rsidR="00334671">
        <w:t>, WC Docket No. 12-375, Second Report and Order and Third Further Notice of Proposed Rulemaking, 30 FCC Rcd 12763, 12893-</w:t>
      </w:r>
      <w:r w:rsidR="00D031E0">
        <w:t>98</w:t>
      </w:r>
      <w:r w:rsidR="00334671">
        <w:t>, para</w:t>
      </w:r>
      <w:r w:rsidR="00D031E0">
        <w:t>s</w:t>
      </w:r>
      <w:r w:rsidR="00334671">
        <w:t>. 27</w:t>
      </w:r>
      <w:r w:rsidR="00D031E0">
        <w:t>4-288</w:t>
      </w:r>
      <w:r w:rsidR="00334671">
        <w:t xml:space="preserve"> (2015) (</w:t>
      </w:r>
      <w:r w:rsidR="00334671">
        <w:rPr>
          <w:i/>
          <w:iCs/>
        </w:rPr>
        <w:t>2015 ICS Order</w:t>
      </w:r>
      <w:r w:rsidR="00334671">
        <w:t>)</w:t>
      </w:r>
      <w:r w:rsidR="00D031E0">
        <w:t>.</w:t>
      </w:r>
      <w:r w:rsidR="00334671">
        <w:t xml:space="preserve"> </w:t>
      </w:r>
      <w:r>
        <w:rPr>
          <w:color w:val="000000"/>
          <w:shd w:val="clear" w:color="auto" w:fill="FFFFFF"/>
        </w:rPr>
        <w:t xml:space="preserve"> </w:t>
      </w:r>
    </w:p>
  </w:footnote>
  <w:footnote w:id="10">
    <w:p w:rsidR="001B7703" w14:paraId="24283A11" w14:textId="70BDDC01">
      <w:pPr>
        <w:pStyle w:val="FootnoteText"/>
      </w:pPr>
      <w:r>
        <w:rPr>
          <w:rStyle w:val="FootnoteReference"/>
        </w:rPr>
        <w:footnoteRef/>
      </w:r>
      <w:r>
        <w:t xml:space="preserve"> </w:t>
      </w:r>
      <w:r w:rsidR="00D7324C">
        <w:t>47 CFR § 42.10</w:t>
      </w:r>
      <w:r w:rsidR="00AB0D2A">
        <w:t>(a)</w:t>
      </w:r>
      <w:r w:rsidR="00D7324C">
        <w:t xml:space="preserve">.  </w:t>
      </w:r>
    </w:p>
  </w:footnote>
  <w:footnote w:id="11">
    <w:p w:rsidR="00AB0D2A" w14:paraId="7ECCCEB3" w14:textId="1351E699">
      <w:pPr>
        <w:pStyle w:val="FootnoteText"/>
      </w:pPr>
      <w:r>
        <w:rPr>
          <w:rStyle w:val="FootnoteReference"/>
        </w:rPr>
        <w:footnoteRef/>
      </w:r>
      <w:r>
        <w:t xml:space="preserve"> 47 CFR §</w:t>
      </w:r>
      <w:r w:rsidR="00E93DA1">
        <w:t> </w:t>
      </w:r>
      <w:r>
        <w:t xml:space="preserve">42.10(a).  </w:t>
      </w:r>
    </w:p>
  </w:footnote>
  <w:footnote w:id="12">
    <w:p w:rsidR="00AD5A1E" w14:paraId="2167F166" w14:textId="06C6878C">
      <w:pPr>
        <w:pStyle w:val="FootnoteText"/>
      </w:pPr>
      <w:r>
        <w:rPr>
          <w:rStyle w:val="FootnoteReference"/>
        </w:rPr>
        <w:footnoteRef/>
      </w:r>
      <w:r>
        <w:t xml:space="preserve"> 47 CFR § 42.10(b).  </w:t>
      </w:r>
    </w:p>
  </w:footnote>
  <w:footnote w:id="13">
    <w:p w:rsidR="00147932" w14:paraId="291DA56E" w14:textId="3159CAC0">
      <w:pPr>
        <w:pStyle w:val="FootnoteText"/>
      </w:pPr>
      <w:r>
        <w:rPr>
          <w:rStyle w:val="FootnoteReference"/>
        </w:rPr>
        <w:footnoteRef/>
      </w:r>
      <w:r>
        <w:t xml:space="preserve"> </w:t>
      </w:r>
      <w:r>
        <w:rPr>
          <w:i/>
          <w:iCs/>
        </w:rPr>
        <w:t>See Wireline Competition Bureau Reminds Providers of Inmate Calling Services of the April 1, 2019 Deadline for Annual Reports and Certifications</w:t>
      </w:r>
      <w:r>
        <w:t>, WC Docket No. 12-375, Public Notice, 34 FCC Rcd 1292 (WCB 2019)</w:t>
      </w:r>
      <w:r w:rsidR="002115E7">
        <w:t xml:space="preserve"> (</w:t>
      </w:r>
      <w:r w:rsidR="002115E7">
        <w:rPr>
          <w:i/>
          <w:iCs/>
        </w:rPr>
        <w:t>Public Notice</w:t>
      </w:r>
      <w:r w:rsidR="002115E7">
        <w:t>)</w:t>
      </w:r>
      <w:r>
        <w:t xml:space="preserve">.  </w:t>
      </w:r>
    </w:p>
  </w:footnote>
  <w:footnote w:id="14">
    <w:p w:rsidR="007F63C7" w:rsidRPr="007F63C7" w14:paraId="160E8057" w14:textId="123F70EC">
      <w:pPr>
        <w:pStyle w:val="FootnoteText"/>
      </w:pPr>
      <w:r>
        <w:rPr>
          <w:rStyle w:val="FootnoteReference"/>
        </w:rPr>
        <w:footnoteRef/>
      </w:r>
      <w:r>
        <w:t xml:space="preserve"> </w:t>
      </w:r>
      <w:r>
        <w:rPr>
          <w:i/>
          <w:iCs/>
        </w:rPr>
        <w:t>Public Notice</w:t>
      </w:r>
      <w:r>
        <w:t>, 34 FCC R</w:t>
      </w:r>
      <w:r w:rsidR="004D3D7F">
        <w:t>c</w:t>
      </w:r>
      <w:r w:rsidR="0005728D">
        <w:t>d</w:t>
      </w:r>
      <w:r>
        <w:t xml:space="preserve"> at </w:t>
      </w:r>
      <w:r w:rsidR="00EB57E7">
        <w:t>1293.</w:t>
      </w:r>
      <w:r>
        <w:t xml:space="preserve"> </w:t>
      </w:r>
    </w:p>
  </w:footnote>
  <w:footnote w:id="15">
    <w:p w:rsidR="00C85788" w14:paraId="74329BAA" w14:textId="18F4219C">
      <w:pPr>
        <w:pStyle w:val="FootnoteText"/>
      </w:pPr>
      <w:r>
        <w:rPr>
          <w:rStyle w:val="FootnoteReference"/>
        </w:rPr>
        <w:footnoteRef/>
      </w:r>
      <w:r>
        <w:t xml:space="preserve"> </w:t>
      </w:r>
      <w:r>
        <w:rPr>
          <w:i/>
          <w:iCs/>
        </w:rPr>
        <w:t>Public Notice</w:t>
      </w:r>
      <w:r>
        <w:t>, 34 FCC R</w:t>
      </w:r>
      <w:r w:rsidR="004D3D7F">
        <w:t>c</w:t>
      </w:r>
      <w:r w:rsidR="0005728D">
        <w:t>d</w:t>
      </w:r>
      <w:r>
        <w:t xml:space="preserve"> at </w:t>
      </w:r>
      <w:r w:rsidR="000E0CCB">
        <w:t>1293</w:t>
      </w:r>
      <w:r>
        <w:t>.</w:t>
      </w:r>
    </w:p>
  </w:footnote>
  <w:footnote w:id="16">
    <w:p w:rsidR="00C45D97" w14:paraId="3F04ECFC" w14:textId="36AC8F19">
      <w:pPr>
        <w:pStyle w:val="FootnoteText"/>
      </w:pPr>
      <w:r>
        <w:rPr>
          <w:rStyle w:val="FootnoteReference"/>
        </w:rPr>
        <w:footnoteRef/>
      </w:r>
      <w:r>
        <w:t xml:space="preserve"> </w:t>
      </w:r>
      <w:r w:rsidR="00245A00">
        <w:t xml:space="preserve">Annual Report of Correct Solutions, LLC, for 2019, WC Docket No. 12-375 (filed </w:t>
      </w:r>
      <w:r w:rsidR="004040F0">
        <w:t>Mar. 30, 2020)</w:t>
      </w:r>
      <w:r w:rsidR="003017E6">
        <w:t xml:space="preserve"> (Tab II. ICS Rates)</w:t>
      </w:r>
      <w:r w:rsidR="008B3B35">
        <w:t xml:space="preserve"> (Correct Solutions Annual Report</w:t>
      </w:r>
      <w:r w:rsidR="003017E6">
        <w:t>)</w:t>
      </w:r>
      <w:r w:rsidR="00BE644A">
        <w:t xml:space="preserve">; </w:t>
      </w:r>
      <w:r w:rsidR="00BF417A">
        <w:t>Annual Report of ATN, Inc., for 2019, WC Docket No. 12-375 (filed Apr</w:t>
      </w:r>
      <w:r w:rsidR="00B87E12">
        <w:t>.</w:t>
      </w:r>
      <w:r w:rsidR="00BF417A">
        <w:t xml:space="preserve"> 1, 2020) (Tab II. ICS Rates)</w:t>
      </w:r>
      <w:r w:rsidR="005430F5">
        <w:t xml:space="preserve"> (ATN Annual Report</w:t>
      </w:r>
      <w:r w:rsidR="00BF417A">
        <w:t>).</w:t>
      </w:r>
      <w:r w:rsidR="005F0F5A">
        <w:t xml:space="preserve">  Crown</w:t>
      </w:r>
      <w:r w:rsidR="008670A9">
        <w:t xml:space="preserve"> Correctional Telephone</w:t>
      </w:r>
      <w:r w:rsidR="005F0F5A">
        <w:t xml:space="preserve"> did not report </w:t>
      </w:r>
      <w:r w:rsidR="00CC1A63">
        <w:t>rate, facility name, or average daily population information in its annual report, but claims that its data are reported by N</w:t>
      </w:r>
      <w:r w:rsidR="006D587B">
        <w:t xml:space="preserve">etwork </w:t>
      </w:r>
      <w:r w:rsidR="00251EDA">
        <w:t>Communications International Corp (NCIC)</w:t>
      </w:r>
      <w:r w:rsidR="00CC1A63">
        <w:t>.</w:t>
      </w:r>
      <w:r w:rsidR="00174EF6">
        <w:t xml:space="preserve">  </w:t>
      </w:r>
      <w:r w:rsidR="00174EF6">
        <w:rPr>
          <w:i/>
          <w:iCs/>
        </w:rPr>
        <w:t>See</w:t>
      </w:r>
      <w:r w:rsidR="008670A9">
        <w:rPr>
          <w:i/>
          <w:iCs/>
        </w:rPr>
        <w:t xml:space="preserve"> </w:t>
      </w:r>
      <w:r w:rsidR="008670A9">
        <w:t>Annual Report of Crown Correctional Telephone, Inc, for 2019, WC Docket No. 12-375 (filed Mar. 31, 2020) (Tab II</w:t>
      </w:r>
      <w:r w:rsidR="007B5B4C">
        <w:t>(a</w:t>
      </w:r>
      <w:r w:rsidR="008670A9">
        <w:t>)</w:t>
      </w:r>
      <w:r w:rsidR="007B5B4C">
        <w:t>)</w:t>
      </w:r>
      <w:r w:rsidR="00052425">
        <w:t xml:space="preserve">. </w:t>
      </w:r>
      <w:r w:rsidR="008670A9">
        <w:t xml:space="preserve"> </w:t>
      </w:r>
      <w:r w:rsidR="0091557D">
        <w:t xml:space="preserve">As NCIC sought confidential treatment of </w:t>
      </w:r>
      <w:r w:rsidR="00627A9D">
        <w:t>facility names, the Bureau denies NCIC</w:t>
      </w:r>
      <w:r w:rsidR="00E8278E">
        <w:t>’s request as to facility names</w:t>
      </w:r>
      <w:r w:rsidR="00AF0179">
        <w:t xml:space="preserve"> and, to the extent that Crown sought to protect that information </w:t>
      </w:r>
      <w:r w:rsidR="009F23A5">
        <w:t>we also deny that request.</w:t>
      </w:r>
      <w:r w:rsidR="003D0581">
        <w:t xml:space="preserve">  </w:t>
      </w:r>
      <w:r w:rsidR="00174EF6">
        <w:t xml:space="preserve"> </w:t>
      </w:r>
      <w:r w:rsidR="00CC1A63">
        <w:t xml:space="preserve">   </w:t>
      </w:r>
      <w:r w:rsidR="00BF417A">
        <w:t xml:space="preserve">  </w:t>
      </w:r>
    </w:p>
  </w:footnote>
  <w:footnote w:id="17">
    <w:p w:rsidR="005C312F" w14:paraId="63F46A41" w14:textId="4F69ABEB">
      <w:pPr>
        <w:pStyle w:val="FootnoteText"/>
      </w:pPr>
      <w:r>
        <w:rPr>
          <w:rStyle w:val="FootnoteReference"/>
        </w:rPr>
        <w:footnoteRef/>
      </w:r>
      <w:r>
        <w:t xml:space="preserve"> Annual Report of Combined Public Communications, Inc., for 2019, WC Docket No. 12-375 (filed</w:t>
      </w:r>
      <w:r w:rsidR="00047037">
        <w:t xml:space="preserve"> Mar. 31, 2020) (Tab II. ICS Rates)</w:t>
      </w:r>
      <w:r w:rsidR="00556591">
        <w:t>;</w:t>
      </w:r>
      <w:r w:rsidR="00BD6A21">
        <w:t xml:space="preserve"> Annual Report of Network Communications International Corp, for 2019, WC Docket No. 12-375</w:t>
      </w:r>
      <w:r w:rsidR="00BA4854">
        <w:t xml:space="preserve"> (filed May 13, 2020) (Tab II. ICS Rates);</w:t>
      </w:r>
      <w:r w:rsidR="00556591">
        <w:t xml:space="preserve"> Annual Report of Pay Tel Communications, Inc.</w:t>
      </w:r>
      <w:r w:rsidR="007D767E">
        <w:t>, for 2019, WC Docket No. 12-375 (filed Apr. 13, 2020) (Tab II. ICS Rates)</w:t>
      </w:r>
      <w:r w:rsidR="00F74940">
        <w:t>.</w:t>
      </w:r>
    </w:p>
  </w:footnote>
  <w:footnote w:id="18">
    <w:p w:rsidR="00651F95" w14:paraId="51FE0C60" w14:textId="266E7354">
      <w:pPr>
        <w:pStyle w:val="FootnoteText"/>
      </w:pPr>
      <w:r>
        <w:rPr>
          <w:rStyle w:val="FootnoteReference"/>
        </w:rPr>
        <w:footnoteRef/>
      </w:r>
      <w:r>
        <w:t xml:space="preserve"> </w:t>
      </w:r>
      <w:r w:rsidR="0085613C">
        <w:t xml:space="preserve">Annual Report of Global Tel*Link Corporation, for 2019, WC Docket No. 12-375 (filed </w:t>
      </w:r>
      <w:r w:rsidR="00FD55C8">
        <w:t>Apr. 1, 2020) (Tab II(a)</w:t>
      </w:r>
      <w:r w:rsidR="00140823">
        <w:t xml:space="preserve"> – Narrative Description); Annual Report of Inmate Calling Solutions, LLC, for 2019, WC Docket No. 12-375 (filed</w:t>
      </w:r>
      <w:r w:rsidR="00B87E12">
        <w:t xml:space="preserve"> Mar. 31</w:t>
      </w:r>
      <w:r w:rsidR="00737AA6">
        <w:t xml:space="preserve">, 2020) (Tab II(a) – Narrative Description).   </w:t>
      </w:r>
    </w:p>
  </w:footnote>
  <w:footnote w:id="19">
    <w:p w:rsidR="006F7A79" w14:paraId="3C7D09B3" w14:textId="373B60FA">
      <w:pPr>
        <w:pStyle w:val="FootnoteText"/>
      </w:pPr>
      <w:r>
        <w:rPr>
          <w:rStyle w:val="FootnoteReference"/>
        </w:rPr>
        <w:footnoteRef/>
      </w:r>
      <w:r>
        <w:t xml:space="preserve"> </w:t>
      </w:r>
      <w:r w:rsidR="007C2847">
        <w:t>ATN Annual Report</w:t>
      </w:r>
      <w:r w:rsidR="0009457B">
        <w:t xml:space="preserve"> (</w:t>
      </w:r>
      <w:r w:rsidR="007C2847">
        <w:t xml:space="preserve">Tab </w:t>
      </w:r>
      <w:r w:rsidR="0009457B">
        <w:t xml:space="preserve">III. Ancillary Service Charges); </w:t>
      </w:r>
      <w:r w:rsidR="0092748C">
        <w:t xml:space="preserve">Correct Solutions Annual Report (Tab III. Ancillary Service Charges).  </w:t>
      </w:r>
    </w:p>
  </w:footnote>
  <w:footnote w:id="20">
    <w:p w:rsidR="004F427B" w14:paraId="12AC9A6E" w14:textId="4F51C7A8">
      <w:pPr>
        <w:pStyle w:val="FootnoteText"/>
      </w:pPr>
      <w:r>
        <w:rPr>
          <w:rStyle w:val="FootnoteReference"/>
        </w:rPr>
        <w:footnoteRef/>
      </w:r>
      <w:r>
        <w:t xml:space="preserve"> </w:t>
      </w:r>
      <w:r w:rsidR="000D2EE8">
        <w:t>ATN Annual Report (Tab II.</w:t>
      </w:r>
      <w:r w:rsidR="00B94752">
        <w:t xml:space="preserve"> ICS Rates); Correct </w:t>
      </w:r>
      <w:r w:rsidR="00D251CF">
        <w:t xml:space="preserve">Solutions </w:t>
      </w:r>
      <w:r w:rsidR="00B94752">
        <w:t xml:space="preserve">Annual Report </w:t>
      </w:r>
      <w:r w:rsidR="00D251CF">
        <w:t>(Tab II. ICS Rates);</w:t>
      </w:r>
      <w:r w:rsidR="00D322DF">
        <w:t xml:space="preserve"> Annual Report of</w:t>
      </w:r>
      <w:r w:rsidR="00D251CF">
        <w:t xml:space="preserve"> </w:t>
      </w:r>
      <w:r w:rsidR="00D322DF">
        <w:t>CenturyLink Public Communications, Inc.</w:t>
      </w:r>
      <w:r w:rsidR="00202F51">
        <w:t xml:space="preserve">, for 2019, WC Docket No. 12-375 (filed Apr. 1, 2020) (Tab II. ICS Rates).  </w:t>
      </w:r>
      <w:r w:rsidR="00D322DF">
        <w:t xml:space="preserve"> </w:t>
      </w:r>
    </w:p>
  </w:footnote>
  <w:footnote w:id="21">
    <w:p w:rsidR="007026BC" w:rsidRPr="007026BC" w14:paraId="52F1F855" w14:textId="4808472F">
      <w:pPr>
        <w:pStyle w:val="FootnoteText"/>
      </w:pPr>
      <w:r>
        <w:rPr>
          <w:rStyle w:val="FootnoteReference"/>
        </w:rPr>
        <w:footnoteRef/>
      </w:r>
      <w:r>
        <w:t xml:space="preserve"> </w:t>
      </w:r>
      <w:r>
        <w:rPr>
          <w:i/>
          <w:iCs/>
        </w:rPr>
        <w:t xml:space="preserve">See </w:t>
      </w:r>
      <w:r>
        <w:t>47 CFR §§ </w:t>
      </w:r>
      <w:r w:rsidR="00504EFC">
        <w:t>64.6110;</w:t>
      </w:r>
      <w:r>
        <w:t xml:space="preserve">42.10.  </w:t>
      </w:r>
    </w:p>
  </w:footnote>
  <w:footnote w:id="22">
    <w:p w:rsidR="00533048" w:rsidRPr="004C58FC" w14:paraId="15AFC44C" w14:textId="57FA9496">
      <w:pPr>
        <w:pStyle w:val="FootnoteText"/>
      </w:pPr>
      <w:r>
        <w:rPr>
          <w:rStyle w:val="FootnoteReference"/>
        </w:rPr>
        <w:footnoteRef/>
      </w:r>
      <w:r>
        <w:t xml:space="preserve"> </w:t>
      </w:r>
      <w:r w:rsidR="004C58FC">
        <w:rPr>
          <w:i/>
          <w:iCs/>
        </w:rPr>
        <w:t xml:space="preserve">See </w:t>
      </w:r>
      <w:r w:rsidRPr="00E559A8" w:rsidR="004C58FC">
        <w:rPr>
          <w:i/>
          <w:iCs/>
        </w:rPr>
        <w:t>Public Notice</w:t>
      </w:r>
      <w:r w:rsidR="006A67B2">
        <w:t xml:space="preserve">, 34 FCC Rcd </w:t>
      </w:r>
      <w:r w:rsidR="004D7877">
        <w:t xml:space="preserve">at </w:t>
      </w:r>
      <w:r w:rsidR="00C23C9A">
        <w:t>1293</w:t>
      </w:r>
      <w:r w:rsidR="005F249B">
        <w:t xml:space="preserve">.  </w:t>
      </w:r>
    </w:p>
  </w:footnote>
  <w:footnote w:id="23">
    <w:p w:rsidR="009A471D" w:rsidRPr="009A471D" w14:paraId="16E68E7C" w14:textId="688FF352">
      <w:pPr>
        <w:pStyle w:val="FootnoteText"/>
      </w:pPr>
      <w:r>
        <w:rPr>
          <w:rStyle w:val="FootnoteReference"/>
        </w:rPr>
        <w:footnoteRef/>
      </w:r>
      <w:r>
        <w:t xml:space="preserve"> </w:t>
      </w:r>
      <w:r>
        <w:rPr>
          <w:i/>
          <w:iCs/>
        </w:rPr>
        <w:t>See Protective Order</w:t>
      </w:r>
      <w:r>
        <w:t>, 28 FCC Rcd at 16954, para. 2.</w:t>
      </w:r>
    </w:p>
  </w:footnote>
  <w:footnote w:id="24">
    <w:p w:rsidR="00AA5FEA" w14:paraId="682CDCE8" w14:textId="6282D4D9">
      <w:pPr>
        <w:pStyle w:val="FootnoteText"/>
      </w:pPr>
      <w:r>
        <w:rPr>
          <w:rStyle w:val="FootnoteReference"/>
        </w:rPr>
        <w:footnoteRef/>
      </w:r>
      <w:r>
        <w:t xml:space="preserve"> NCIC, for example, posts its interstate, intrastate, and some international rates on its website by facility, fatally undermining its attempts to have the same information treated confidentially in the context of its Annual Report.  </w:t>
      </w:r>
      <w:r w:rsidRPr="00211BB4">
        <w:t>NCIC, Inmate Phone Service,</w:t>
      </w:r>
      <w:r w:rsidR="00EF08CB">
        <w:t xml:space="preserve"> </w:t>
      </w:r>
      <w:hyperlink r:id="rId2" w:history="1">
        <w:r w:rsidR="00EF08CB">
          <w:rPr>
            <w:rStyle w:val="Hyperlink"/>
          </w:rPr>
          <w:t>https://www.ncic.com/jails</w:t>
        </w:r>
      </w:hyperlink>
      <w:hyperlink w:history="1"/>
      <w:r w:rsidRPr="00211BB4">
        <w:rPr>
          <w:snapToGrid w:val="0"/>
          <w:kern w:val="28"/>
        </w:rPr>
        <w:t xml:space="preserve"> (last visited Aug. 27, 2020).</w:t>
      </w:r>
      <w:r>
        <w:rPr>
          <w:snapToGrid w:val="0"/>
          <w:kern w:val="28"/>
        </w:rPr>
        <w:t xml:space="preserve">  </w:t>
      </w:r>
      <w:r>
        <w:t>Similarly, Correct Solutions displays facility names, facility identification numbers, and phone numbers for its facilities.</w:t>
      </w:r>
      <w:r w:rsidR="00012739">
        <w:t xml:space="preserve">  </w:t>
      </w:r>
      <w:r w:rsidR="00012739">
        <w:rPr>
          <w:snapToGrid w:val="0"/>
          <w:kern w:val="28"/>
          <w:szCs w:val="18"/>
        </w:rPr>
        <w:t xml:space="preserve">Correct Solutions Group, Facilities, </w:t>
      </w:r>
      <w:hyperlink r:id="rId3" w:history="1">
        <w:r w:rsidRPr="00F16F0F" w:rsidR="00012739">
          <w:rPr>
            <w:snapToGrid w:val="0"/>
            <w:color w:val="0000FF"/>
            <w:kern w:val="28"/>
            <w:szCs w:val="18"/>
            <w:u w:val="single"/>
          </w:rPr>
          <w:t>https://www.regentpay.com/facilities</w:t>
        </w:r>
      </w:hyperlink>
      <w:r w:rsidRPr="00F16F0F" w:rsidR="00012739">
        <w:rPr>
          <w:snapToGrid w:val="0"/>
          <w:kern w:val="28"/>
          <w:szCs w:val="18"/>
        </w:rPr>
        <w:t xml:space="preserve"> (last visited Aug. 28, 2020</w:t>
      </w:r>
      <w:r w:rsidR="00012739">
        <w:rPr>
          <w:snapToGrid w:val="0"/>
          <w:kern w:val="28"/>
          <w:sz w:val="22"/>
        </w:rPr>
        <w:t>).</w:t>
      </w:r>
      <w:r>
        <w:rPr>
          <w:snapToGrid w:val="0"/>
          <w:kern w:val="28"/>
          <w:sz w:val="22"/>
        </w:rPr>
        <w:t xml:space="preserve">  </w:t>
      </w:r>
      <w:r>
        <w:t xml:space="preserve">  </w:t>
      </w:r>
    </w:p>
  </w:footnote>
  <w:footnote w:id="25">
    <w:p w:rsidR="00012739" w14:paraId="67FD86CE" w14:textId="009FBA7B">
      <w:pPr>
        <w:pStyle w:val="FootnoteText"/>
      </w:pPr>
      <w:r>
        <w:rPr>
          <w:rStyle w:val="FootnoteReference"/>
        </w:rPr>
        <w:footnoteRef/>
      </w:r>
      <w:r>
        <w:t xml:space="preserve"> For example, Securus Technologies, LLC allows users on its website to browse the facilities it serves by state and determine the services offered in those facilities while CenturyLink also provides rate and facility information on its website</w:t>
      </w:r>
      <w:r w:rsidR="00D03FA0">
        <w:t xml:space="preserve">.  Securus Technologies, Facilities We Serve, </w:t>
      </w:r>
      <w:hyperlink r:id="rId4" w:anchor="/facilities-we-serve" w:history="1">
        <w:r w:rsidRPr="00DA19AA" w:rsidR="00D03FA0">
          <w:rPr>
            <w:snapToGrid w:val="0"/>
            <w:color w:val="0000FF"/>
            <w:kern w:val="28"/>
            <w:szCs w:val="18"/>
            <w:u w:val="single"/>
          </w:rPr>
          <w:t>https://securustech.online/#/facilities-we-serve</w:t>
        </w:r>
      </w:hyperlink>
      <w:r w:rsidRPr="00DA19AA" w:rsidR="00D03FA0">
        <w:rPr>
          <w:snapToGrid w:val="0"/>
          <w:kern w:val="28"/>
          <w:szCs w:val="18"/>
        </w:rPr>
        <w:t xml:space="preserve"> (last visited Aug. 28, 2020)</w:t>
      </w:r>
      <w:r w:rsidR="00D03FA0">
        <w:rPr>
          <w:snapToGrid w:val="0"/>
          <w:kern w:val="28"/>
          <w:szCs w:val="18"/>
        </w:rPr>
        <w:t xml:space="preserve">; </w:t>
      </w:r>
      <w:r w:rsidR="00D03FA0">
        <w:t xml:space="preserve">CenturyLink, Friends and Family – How to Stay Connected, </w:t>
      </w:r>
      <w:hyperlink r:id="rId5" w:history="1">
        <w:r w:rsidRPr="00E21B10" w:rsidR="00D03FA0">
          <w:rPr>
            <w:snapToGrid w:val="0"/>
            <w:color w:val="0000FF"/>
            <w:kern w:val="28"/>
            <w:szCs w:val="18"/>
            <w:u w:val="single"/>
          </w:rPr>
          <w:t>https://www.centurylinkcorrections.com/friends-and-family.html</w:t>
        </w:r>
      </w:hyperlink>
      <w:r w:rsidRPr="00E21B10" w:rsidR="00D03FA0">
        <w:rPr>
          <w:snapToGrid w:val="0"/>
          <w:kern w:val="28"/>
          <w:szCs w:val="18"/>
        </w:rPr>
        <w:t xml:space="preserve"> (last visited Aug. 28, 2020).  </w:t>
      </w:r>
    </w:p>
  </w:footnote>
  <w:footnote w:id="26">
    <w:p w:rsidR="00224EA4" w14:paraId="7C73E382" w14:textId="3E90BA23">
      <w:pPr>
        <w:pStyle w:val="FootnoteText"/>
      </w:pPr>
      <w:r>
        <w:rPr>
          <w:rStyle w:val="FootnoteReference"/>
        </w:rPr>
        <w:footnoteRef/>
      </w:r>
      <w:r>
        <w:t xml:space="preserve"> For example, the Calloway County Jail in Murray, Kentucky posts rates that Combined charges for calls from that facility.  Calloway County Jail, Inmate Services, </w:t>
      </w:r>
      <w:hyperlink r:id="rId6" w:history="1">
        <w:r w:rsidRPr="00C6792C">
          <w:rPr>
            <w:snapToGrid w:val="0"/>
            <w:color w:val="0000FF"/>
            <w:kern w:val="28"/>
            <w:szCs w:val="18"/>
            <w:u w:val="single"/>
          </w:rPr>
          <w:t>http://www.callowaycountyjail.com/inmate_services.html</w:t>
        </w:r>
      </w:hyperlink>
      <w:r w:rsidRPr="00C6792C">
        <w:rPr>
          <w:snapToGrid w:val="0"/>
          <w:kern w:val="28"/>
          <w:szCs w:val="18"/>
        </w:rPr>
        <w:t xml:space="preserve"> (last visited Aug. 27, 2020).</w:t>
      </w:r>
      <w:r w:rsidR="00EF56C5">
        <w:rPr>
          <w:snapToGrid w:val="0"/>
          <w:kern w:val="28"/>
          <w:szCs w:val="18"/>
        </w:rPr>
        <w:t xml:space="preserve">  </w:t>
      </w:r>
      <w:r w:rsidR="00AA71B4">
        <w:t>The</w:t>
      </w:r>
      <w:r w:rsidR="00EF56C5">
        <w:t xml:space="preserve"> White County Sheriff’s Office in Searcy, Arkansas displays the name of the provider.  White County Sheriff’s Office, Staying in touch with inmates, </w:t>
      </w:r>
      <w:hyperlink r:id="rId7" w:history="1">
        <w:r w:rsidRPr="0005607C" w:rsidR="00EF56C5">
          <w:rPr>
            <w:snapToGrid w:val="0"/>
            <w:color w:val="0000FF"/>
            <w:kern w:val="28"/>
            <w:szCs w:val="18"/>
            <w:u w:val="single"/>
          </w:rPr>
          <w:t>https://wcso.cc/index.php/inmate-info</w:t>
        </w:r>
      </w:hyperlink>
      <w:r w:rsidRPr="0005607C" w:rsidR="00EF56C5">
        <w:rPr>
          <w:snapToGrid w:val="0"/>
          <w:kern w:val="28"/>
          <w:szCs w:val="18"/>
        </w:rPr>
        <w:t xml:space="preserve"> (last visited Aug. 28, 2020).</w:t>
      </w:r>
      <w:r w:rsidR="00A70171">
        <w:rPr>
          <w:snapToGrid w:val="0"/>
          <w:kern w:val="28"/>
          <w:szCs w:val="18"/>
        </w:rPr>
        <w:t xml:space="preserve">  </w:t>
      </w:r>
      <w:r w:rsidRPr="00D66A2F" w:rsidR="00A70171">
        <w:rPr>
          <w:snapToGrid w:val="0"/>
          <w:kern w:val="28"/>
        </w:rPr>
        <w:t>And the Tallapoosa County Alabama jail pos</w:t>
      </w:r>
      <w:r w:rsidRPr="005E3DB7" w:rsidR="00A70171">
        <w:rPr>
          <w:snapToGrid w:val="0"/>
          <w:kern w:val="28"/>
        </w:rPr>
        <w:t xml:space="preserve">ts </w:t>
      </w:r>
      <w:r w:rsidRPr="005E3DB7" w:rsidR="00D66A2F">
        <w:rPr>
          <w:snapToGrid w:val="0"/>
          <w:kern w:val="28"/>
        </w:rPr>
        <w:t>average daily population statistics</w:t>
      </w:r>
      <w:r w:rsidR="00E7560A">
        <w:rPr>
          <w:snapToGrid w:val="0"/>
          <w:kern w:val="28"/>
        </w:rPr>
        <w:t xml:space="preserve"> while the Tennessee Department of Correction provides detailed monthly reports showing jail </w:t>
      </w:r>
      <w:r w:rsidR="00A30E04">
        <w:rPr>
          <w:snapToGrid w:val="0"/>
          <w:kern w:val="28"/>
        </w:rPr>
        <w:t>populations</w:t>
      </w:r>
      <w:r w:rsidR="00E7560A">
        <w:rPr>
          <w:snapToGrid w:val="0"/>
          <w:kern w:val="28"/>
        </w:rPr>
        <w:t xml:space="preserve"> on the last day of each month in the state</w:t>
      </w:r>
      <w:r w:rsidRPr="005E3DB7" w:rsidR="00D66A2F">
        <w:rPr>
          <w:snapToGrid w:val="0"/>
          <w:kern w:val="28"/>
        </w:rPr>
        <w:t>.</w:t>
      </w:r>
      <w:r w:rsidR="00E7560A">
        <w:rPr>
          <w:snapToGrid w:val="0"/>
          <w:kern w:val="28"/>
        </w:rPr>
        <w:t xml:space="preserve">  </w:t>
      </w:r>
      <w:r w:rsidR="00E7560A">
        <w:rPr>
          <w:i/>
          <w:iCs/>
          <w:snapToGrid w:val="0"/>
          <w:kern w:val="28"/>
        </w:rPr>
        <w:t xml:space="preserve">See </w:t>
      </w:r>
      <w:r w:rsidRPr="005E3DB7" w:rsidR="00D66A2F">
        <w:rPr>
          <w:snapToGrid w:val="0"/>
          <w:kern w:val="28"/>
        </w:rPr>
        <w:t xml:space="preserve">Tallapoosa County Alabama, Jail, </w:t>
      </w:r>
      <w:hyperlink r:id="rId8" w:history="1">
        <w:r w:rsidRPr="00E559A8" w:rsidR="00D66A2F">
          <w:rPr>
            <w:snapToGrid w:val="0"/>
            <w:color w:val="0000FF"/>
            <w:kern w:val="28"/>
            <w:u w:val="single"/>
          </w:rPr>
          <w:t>http://www.tallaco.com/content.asp?id=74101</w:t>
        </w:r>
      </w:hyperlink>
      <w:r w:rsidRPr="00E559A8" w:rsidR="00D66A2F">
        <w:rPr>
          <w:snapToGrid w:val="0"/>
          <w:kern w:val="28"/>
          <w:sz w:val="22"/>
        </w:rPr>
        <w:t xml:space="preserve"> </w:t>
      </w:r>
      <w:r w:rsidRPr="00E559A8" w:rsidR="00D66A2F">
        <w:rPr>
          <w:snapToGrid w:val="0"/>
          <w:kern w:val="28"/>
        </w:rPr>
        <w:t>(last visited Aug. 31, 2020)</w:t>
      </w:r>
      <w:r w:rsidR="00E7560A">
        <w:rPr>
          <w:snapToGrid w:val="0"/>
          <w:kern w:val="28"/>
        </w:rPr>
        <w:t xml:space="preserve">; Tennessee Department of Correction, Jail Summary Reports, </w:t>
      </w:r>
      <w:hyperlink r:id="rId9" w:history="1">
        <w:r w:rsidR="00E7560A">
          <w:rPr>
            <w:rStyle w:val="Hyperlink"/>
          </w:rPr>
          <w:t>https://www.tn.gov/correction/statistics-and-information/jail-summary-reports.html</w:t>
        </w:r>
      </w:hyperlink>
      <w:r w:rsidR="00E7560A">
        <w:t xml:space="preserve"> (last visited Aug. 31, 2020).  </w:t>
      </w:r>
      <w:r w:rsidR="00B83CB2">
        <w:t xml:space="preserve">Facilities that do not have a dedicated website and post only general contact information on their websites readily provide the name of their inmate calling services provider to any member of the public that calls and inquires. </w:t>
      </w:r>
      <w:r w:rsidR="00E7560A">
        <w:rPr>
          <w:snapToGrid w:val="0"/>
          <w:kern w:val="28"/>
        </w:rPr>
        <w:t xml:space="preserve"> </w:t>
      </w:r>
    </w:p>
  </w:footnote>
  <w:footnote w:id="27">
    <w:p w:rsidR="003862FC" w:rsidRPr="00FA4D0F" w14:paraId="7F81AEE2" w14:textId="3E7378DC">
      <w:pPr>
        <w:pStyle w:val="FootnoteText"/>
      </w:pPr>
      <w:r>
        <w:rPr>
          <w:rStyle w:val="FootnoteReference"/>
        </w:rPr>
        <w:footnoteRef/>
      </w:r>
      <w:r>
        <w:t xml:space="preserve"> </w:t>
      </w:r>
      <w:r w:rsidR="00FA4D0F">
        <w:rPr>
          <w:i/>
          <w:iCs/>
        </w:rPr>
        <w:t>See, e.g.</w:t>
      </w:r>
      <w:r w:rsidR="00DF0427">
        <w:t xml:space="preserve"> Letter from </w:t>
      </w:r>
      <w:r w:rsidR="00A870DE">
        <w:t xml:space="preserve">Jim McDonnell, Sheriff, </w:t>
      </w:r>
      <w:r w:rsidR="0074217C">
        <w:t>Los Angeles County</w:t>
      </w:r>
      <w:r w:rsidR="00A870DE">
        <w:t xml:space="preserve">, and Calvin Remington, Interim Chief Probation Officer, </w:t>
      </w:r>
      <w:r w:rsidR="0074217C">
        <w:t>Los Angeles County, to the Honorable Board of Supervisors, Los Angeles County</w:t>
      </w:r>
      <w:r w:rsidR="008A6A04">
        <w:t xml:space="preserve"> (June 8, 2016)</w:t>
      </w:r>
      <w:r w:rsidR="001E2702">
        <w:t xml:space="preserve">, </w:t>
      </w:r>
      <w:hyperlink r:id="rId10" w:history="1">
        <w:r w:rsidR="001E2702">
          <w:rPr>
            <w:rStyle w:val="Hyperlink"/>
          </w:rPr>
          <w:t>http://file.lacounty.gov/SDSInter/bos/supdocs/104632.pdf</w:t>
        </w:r>
      </w:hyperlink>
      <w:r w:rsidR="008A6A04">
        <w:t xml:space="preserve"> (providing notice of approval of</w:t>
      </w:r>
      <w:r w:rsidR="00716D6F">
        <w:t xml:space="preserve"> an amendment to Los Angeles County’s </w:t>
      </w:r>
      <w:r w:rsidR="00827E39">
        <w:t>contract</w:t>
      </w:r>
      <w:r w:rsidR="00716D6F">
        <w:t xml:space="preserve"> </w:t>
      </w:r>
      <w:r w:rsidR="00CE58D0">
        <w:t xml:space="preserve">with </w:t>
      </w:r>
      <w:r w:rsidR="00CE55A3">
        <w:t>GTL</w:t>
      </w:r>
      <w:r w:rsidR="00827E39">
        <w:t xml:space="preserve"> and amending the rates and ancillary service charges under the contract); </w:t>
      </w:r>
      <w:r w:rsidR="00241B27">
        <w:t xml:space="preserve">Alameda County, California, Proprietary and Confidential Information, </w:t>
      </w:r>
      <w:hyperlink r:id="rId11" w:history="1">
        <w:r w:rsidR="001E7024">
          <w:rPr>
            <w:rStyle w:val="Hyperlink"/>
          </w:rPr>
          <w:t>https://www.acgov.org/gsa/departments/purchasing/policy/proprietary.htm</w:t>
        </w:r>
      </w:hyperlink>
      <w:r w:rsidR="001E7024">
        <w:t xml:space="preserve"> (last visited Aug. 31, 2020) (explaining that </w:t>
      </w:r>
      <w:r w:rsidR="00A37611">
        <w:t xml:space="preserve">certain information in bid responses, including pricing information, is not considered confidential under the California Public Records Act).  </w:t>
      </w:r>
    </w:p>
  </w:footnote>
  <w:footnote w:id="28">
    <w:p w:rsidR="00E51B4F" w:rsidP="00E51B4F" w14:paraId="10BEF54D" w14:textId="48DF0A5F">
      <w:pPr>
        <w:pStyle w:val="FootnoteText"/>
      </w:pPr>
      <w:r>
        <w:rPr>
          <w:rStyle w:val="FootnoteReference"/>
        </w:rPr>
        <w:footnoteRef/>
      </w:r>
      <w:r>
        <w:t xml:space="preserve"> </w:t>
      </w:r>
      <w:r w:rsidRPr="002832CA">
        <w:rPr>
          <w:i/>
          <w:iCs/>
        </w:rPr>
        <w:t>See</w:t>
      </w:r>
      <w:r>
        <w:t xml:space="preserve"> </w:t>
      </w:r>
      <w:r w:rsidRPr="00E51B4F">
        <w:t xml:space="preserve">47 CFR § 64.6110.  </w:t>
      </w:r>
      <w:r w:rsidR="00C8544C">
        <w:t xml:space="preserve">Failure to publicly disclose the required information is subject to Commission enforcement action. </w:t>
      </w:r>
      <w:r w:rsidR="00F51A91">
        <w:t xml:space="preserve"> </w:t>
      </w:r>
      <w:r w:rsidRPr="003115ED" w:rsidR="00C8544C">
        <w:rPr>
          <w:i/>
          <w:iCs/>
        </w:rPr>
        <w:t>See</w:t>
      </w:r>
      <w:r w:rsidR="00C64114">
        <w:t xml:space="preserve"> </w:t>
      </w:r>
      <w:r w:rsidR="006977FB">
        <w:rPr>
          <w:i/>
          <w:iCs/>
        </w:rPr>
        <w:t xml:space="preserve">2015 ICS </w:t>
      </w:r>
      <w:r w:rsidRPr="003115ED" w:rsidR="006977FB">
        <w:rPr>
          <w:i/>
          <w:iCs/>
        </w:rPr>
        <w:t>Order</w:t>
      </w:r>
      <w:r w:rsidR="006977FB">
        <w:t xml:space="preserve">, 30 FCC Rcd at 12896, para. 279 </w:t>
      </w:r>
      <w:r w:rsidR="00C6171F">
        <w:t>(explaining that “</w:t>
      </w:r>
      <w:r w:rsidR="008601A0">
        <w:t>each failure to disclose all charges to consumers is counted as individual violation . . .”)</w:t>
      </w:r>
      <w:r w:rsidR="00CB27B0">
        <w:t>.</w:t>
      </w:r>
      <w:r w:rsidR="00C8544C">
        <w:t xml:space="preserve"> </w:t>
      </w:r>
    </w:p>
  </w:footnote>
  <w:footnote w:id="29">
    <w:p w:rsidR="00D00289" w14:paraId="6B5F74ED" w14:textId="2AF66F3B">
      <w:pPr>
        <w:pStyle w:val="FootnoteText"/>
      </w:pPr>
      <w:r>
        <w:rPr>
          <w:rStyle w:val="FootnoteReference"/>
        </w:rPr>
        <w:footnoteRef/>
      </w:r>
      <w:r>
        <w:t xml:space="preserve"> </w:t>
      </w:r>
      <w:r>
        <w:rPr>
          <w:i/>
          <w:iCs/>
        </w:rPr>
        <w:t>Protective Order</w:t>
      </w:r>
      <w:r>
        <w:t>, 28 FCC Rcd at 1695</w:t>
      </w:r>
      <w:r w:rsidR="00F3113E">
        <w:t>4, para. 2</w:t>
      </w:r>
      <w:r w:rsidR="0086613D">
        <w:t xml:space="preserve"> (</w:t>
      </w:r>
      <w:r w:rsidR="001D00B9">
        <w:t xml:space="preserve">defining “Confidential Information” </w:t>
      </w:r>
      <w:r w:rsidR="00420744">
        <w:t xml:space="preserve">in part to mean information that is not otherwise available from public sources).  </w:t>
      </w:r>
      <w:r w:rsidR="007752D0">
        <w:t xml:space="preserve">  </w:t>
      </w:r>
    </w:p>
  </w:footnote>
  <w:footnote w:id="30">
    <w:p w:rsidR="00921EC4" w:rsidRPr="005028BB" w14:paraId="4AB473E5" w14:textId="7771ED2E">
      <w:pPr>
        <w:pStyle w:val="FootnoteText"/>
      </w:pPr>
      <w:r>
        <w:rPr>
          <w:rStyle w:val="FootnoteReference"/>
        </w:rPr>
        <w:footnoteRef/>
      </w:r>
      <w:r>
        <w:t xml:space="preserve"> </w:t>
      </w:r>
      <w:r w:rsidR="00CB27B0">
        <w:rPr>
          <w:i/>
          <w:iCs/>
        </w:rPr>
        <w:t>2015 ICS Order</w:t>
      </w:r>
      <w:r w:rsidR="005028BB">
        <w:t xml:space="preserve">, 30 FCC Rcd </w:t>
      </w:r>
      <w:r w:rsidR="00CB27B0">
        <w:t>at</w:t>
      </w:r>
      <w:r w:rsidR="006B06A0">
        <w:t xml:space="preserve"> 12895, para. 278</w:t>
      </w:r>
      <w:r w:rsidR="005028BB">
        <w:t xml:space="preserve">.  </w:t>
      </w:r>
    </w:p>
  </w:footnote>
  <w:footnote w:id="31">
    <w:p w:rsidR="00F27E6F" w:rsidRPr="002B4BB7" w14:paraId="2177D6AA" w14:textId="61A0B343">
      <w:pPr>
        <w:pStyle w:val="FootnoteText"/>
      </w:pPr>
      <w:r>
        <w:rPr>
          <w:rStyle w:val="FootnoteReference"/>
        </w:rPr>
        <w:footnoteRef/>
      </w:r>
      <w:r>
        <w:t xml:space="preserve"> </w:t>
      </w:r>
      <w:r w:rsidR="002B4BB7">
        <w:rPr>
          <w:i/>
          <w:iCs/>
        </w:rPr>
        <w:t>See</w:t>
      </w:r>
      <w:r w:rsidR="002B4BB7">
        <w:t xml:space="preserve"> 47 CFR §</w:t>
      </w:r>
      <w:r w:rsidR="00F51A91">
        <w:t> </w:t>
      </w:r>
      <w:r w:rsidR="0037341D">
        <w:t>0.</w:t>
      </w:r>
      <w:r w:rsidR="008D53A9">
        <w:t>459</w:t>
      </w:r>
      <w:r w:rsidR="00137002">
        <w:t>(b)</w:t>
      </w:r>
      <w:r w:rsidR="00F9561B">
        <w:t xml:space="preserve"> (requiring </w:t>
      </w:r>
      <w:r w:rsidR="0095795D">
        <w:t xml:space="preserve">requesting parties to provide an </w:t>
      </w:r>
      <w:r w:rsidR="00A83480">
        <w:t>“</w:t>
      </w:r>
      <w:r w:rsidRPr="00516FF2" w:rsidR="00516FF2">
        <w:t>explanation of the degree to which the information is commercial or financial</w:t>
      </w:r>
      <w:r w:rsidR="00F51A91">
        <w:t xml:space="preserve"> . . . </w:t>
      </w:r>
      <w:r w:rsidRPr="00516FF2" w:rsidR="00516FF2">
        <w:t>[or]</w:t>
      </w:r>
      <w:r w:rsidR="003B7F32">
        <w:t xml:space="preserve"> concerns a service that is</w:t>
      </w:r>
      <w:r w:rsidRPr="00516FF2" w:rsidR="00516FF2">
        <w:t xml:space="preserve"> subject to competition” or an “explanation of how the disclosure of the information could result in substantial competitive harm”</w:t>
      </w:r>
      <w:r w:rsidR="00F15A74">
        <w:t>).</w:t>
      </w:r>
      <w:r w:rsidRPr="00516FF2" w:rsidR="00516FF2">
        <w:t> </w:t>
      </w:r>
      <w:r w:rsidR="00AE0E8B">
        <w:t xml:space="preserve"> </w:t>
      </w:r>
      <w:r w:rsidR="00235706">
        <w:t>By contrast, providers’ justification</w:t>
      </w:r>
      <w:r w:rsidR="00F51A91">
        <w:t>s</w:t>
      </w:r>
      <w:r w:rsidR="00235706">
        <w:t xml:space="preserve"> of </w:t>
      </w:r>
      <w:r w:rsidR="00231661">
        <w:t>their request</w:t>
      </w:r>
      <w:r w:rsidR="00F51A91">
        <w:t>s</w:t>
      </w:r>
      <w:r w:rsidR="00231661">
        <w:t xml:space="preserve"> for confidential treatment of </w:t>
      </w:r>
      <w:r w:rsidR="00DB4ED2">
        <w:t>this information generally consisted</w:t>
      </w:r>
      <w:r w:rsidR="00143870">
        <w:t xml:space="preserve"> </w:t>
      </w:r>
      <w:r w:rsidR="00DB4ED2">
        <w:t>of conclusory statements</w:t>
      </w:r>
      <w:r w:rsidR="00365B3C">
        <w:t xml:space="preserve">. </w:t>
      </w:r>
      <w:r w:rsidR="00EA7A3F">
        <w:t xml:space="preserve"> </w:t>
      </w:r>
      <w:r w:rsidR="005B5588">
        <w:rPr>
          <w:i/>
          <w:iCs/>
        </w:rPr>
        <w:t>See, e.g.</w:t>
      </w:r>
      <w:r w:rsidR="005B5588">
        <w:t>,</w:t>
      </w:r>
      <w:r w:rsidR="005B5588">
        <w:rPr>
          <w:i/>
          <w:iCs/>
        </w:rPr>
        <w:t xml:space="preserve"> </w:t>
      </w:r>
      <w:r w:rsidR="005B5588">
        <w:t>Letter from John E. Benedict, Vice President – Federal Regulatory Affairs</w:t>
      </w:r>
      <w:r w:rsidR="00EA7A3F">
        <w:t xml:space="preserve"> </w:t>
      </w:r>
      <w:r w:rsidR="007F34F3">
        <w:t>&amp; Regulatory Counsel, CenturyLink Public Communications, Inc., to Marlene H. Dortch, Secretary, FCC, WC Docket No. 12-375 (filed Apr. 1, 2020)</w:t>
      </w:r>
      <w:r w:rsidR="008C478D">
        <w:t xml:space="preserve"> (</w:t>
      </w:r>
      <w:r w:rsidR="00221424">
        <w:t>concluding that releas</w:t>
      </w:r>
      <w:r w:rsidR="00C44AAA">
        <w:t xml:space="preserve">e of information designated as confidential </w:t>
      </w:r>
      <w:r w:rsidR="00B36223">
        <w:t xml:space="preserve">would </w:t>
      </w:r>
      <w:r w:rsidR="00073526">
        <w:t>cause competitive harm</w:t>
      </w:r>
      <w:r w:rsidR="00A06FF2">
        <w:t xml:space="preserve"> </w:t>
      </w:r>
      <w:r w:rsidR="00FA2C8B">
        <w:t>“</w:t>
      </w:r>
      <w:r w:rsidR="0010424B">
        <w:t xml:space="preserve">by allowing . . . competitors </w:t>
      </w:r>
      <w:r w:rsidR="00C111B7">
        <w:t xml:space="preserve">to become aware of sensitive proprietary information </w:t>
      </w:r>
      <w:r w:rsidR="00C111B7">
        <w:rPr>
          <w:sz w:val="22"/>
          <w:szCs w:val="22"/>
        </w:rPr>
        <w:t>. . </w:t>
      </w:r>
      <w:r w:rsidRPr="00B65AE1" w:rsidR="004A541C">
        <w:t>.”)</w:t>
      </w:r>
      <w:r w:rsidRPr="00B65AE1" w:rsidR="00EA1056">
        <w:t>.</w:t>
      </w:r>
      <w:r w:rsidR="00EA1056">
        <w:t xml:space="preserve">  </w:t>
      </w:r>
    </w:p>
  </w:footnote>
  <w:footnote w:id="32">
    <w:p w:rsidR="002C0606" w14:paraId="2D1942F6" w14:textId="6D09EDF3">
      <w:pPr>
        <w:pStyle w:val="FootnoteText"/>
      </w:pPr>
      <w:r>
        <w:rPr>
          <w:rStyle w:val="FootnoteReference"/>
        </w:rPr>
        <w:footnoteRef/>
      </w:r>
      <w:r>
        <w:t xml:space="preserve"> 47 CFR § 0.459(g).  </w:t>
      </w:r>
      <w:r w:rsidR="00E5267A">
        <w:t xml:space="preserve">This </w:t>
      </w:r>
      <w:r w:rsidR="000B371B">
        <w:t>10-business</w:t>
      </w:r>
      <w:r w:rsidR="00BD4E61">
        <w:t xml:space="preserve"> day</w:t>
      </w:r>
      <w:r w:rsidR="00E5267A">
        <w:t xml:space="preserve"> period begins to run from</w:t>
      </w:r>
      <w:r w:rsidR="00BD4E61">
        <w:t xml:space="preserve"> a</w:t>
      </w:r>
      <w:r w:rsidR="00E5267A">
        <w:t xml:space="preserve"> telephonic notice provided to the parties that their request for confidential treatment has been denied.  </w:t>
      </w:r>
      <w:r w:rsidRPr="00D12299" w:rsidR="00E5267A">
        <w:rPr>
          <w:i/>
          <w:iCs/>
        </w:rPr>
        <w:t>Id.</w:t>
      </w:r>
    </w:p>
  </w:footnote>
  <w:footnote w:id="33">
    <w:p w:rsidR="00D1048E" w14:paraId="6F7C6251" w14:textId="24DE42CC">
      <w:pPr>
        <w:pStyle w:val="FootnoteText"/>
      </w:pPr>
      <w:r>
        <w:rPr>
          <w:rStyle w:val="FootnoteReference"/>
        </w:rPr>
        <w:footnoteRef/>
      </w:r>
      <w:r>
        <w:t xml:space="preserve"> </w:t>
      </w:r>
      <w:r w:rsidR="00753F5E">
        <w:t xml:space="preserve">47 CFR § 0.459(g).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74A4F2B" w14:textId="7FA13B3B">
    <w:pPr>
      <w:pStyle w:val="Header"/>
      <w:rPr>
        <w:b w:val="0"/>
      </w:rPr>
    </w:pPr>
    <w:r>
      <w:tab/>
      <w:t>Federal Communications Commission</w:t>
    </w:r>
    <w:r>
      <w:tab/>
    </w:r>
    <w:r w:rsidR="00322EA4">
      <w:rPr>
        <w:spacing w:val="-2"/>
      </w:rPr>
      <w:t>DA 20-</w:t>
    </w:r>
    <w:r w:rsidR="000C37CF">
      <w:rPr>
        <w:spacing w:val="-2"/>
      </w:rPr>
      <w:t>1006</w:t>
    </w:r>
  </w:p>
  <w:p w:rsidR="00D25FB5" w14:paraId="38CBFC37" w14:textId="309FB1F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4978A6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29FAE07" w14:textId="71FDEB3D">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9814F0">
      <w:rPr>
        <w:spacing w:val="-2"/>
      </w:rPr>
      <w:t>DA</w:t>
    </w:r>
    <w:r w:rsidR="00EA447C">
      <w:rPr>
        <w:spacing w:val="-2"/>
      </w:rPr>
      <w:t xml:space="preserve"> 20-</w:t>
    </w:r>
    <w:r w:rsidR="00582E8A">
      <w:rPr>
        <w:spacing w:val="-2"/>
      </w:rPr>
      <w:t>1006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81C"/>
    <w:rsid w:val="00000544"/>
    <w:rsid w:val="00002A15"/>
    <w:rsid w:val="000040F7"/>
    <w:rsid w:val="000053DD"/>
    <w:rsid w:val="00006AA6"/>
    <w:rsid w:val="00012739"/>
    <w:rsid w:val="00012AB1"/>
    <w:rsid w:val="00014A84"/>
    <w:rsid w:val="00020C2E"/>
    <w:rsid w:val="00021B94"/>
    <w:rsid w:val="000253F1"/>
    <w:rsid w:val="00026443"/>
    <w:rsid w:val="00026B52"/>
    <w:rsid w:val="00027977"/>
    <w:rsid w:val="00027A2C"/>
    <w:rsid w:val="00030CDE"/>
    <w:rsid w:val="0003117F"/>
    <w:rsid w:val="00034B38"/>
    <w:rsid w:val="00036039"/>
    <w:rsid w:val="00037F90"/>
    <w:rsid w:val="00040EAE"/>
    <w:rsid w:val="00045104"/>
    <w:rsid w:val="0004539D"/>
    <w:rsid w:val="00047037"/>
    <w:rsid w:val="00052425"/>
    <w:rsid w:val="000528BE"/>
    <w:rsid w:val="00053A66"/>
    <w:rsid w:val="0005607C"/>
    <w:rsid w:val="0005728D"/>
    <w:rsid w:val="00061787"/>
    <w:rsid w:val="00063430"/>
    <w:rsid w:val="00065483"/>
    <w:rsid w:val="00066C42"/>
    <w:rsid w:val="00072179"/>
    <w:rsid w:val="00072646"/>
    <w:rsid w:val="00073526"/>
    <w:rsid w:val="00075A01"/>
    <w:rsid w:val="00081394"/>
    <w:rsid w:val="00085CB9"/>
    <w:rsid w:val="00086722"/>
    <w:rsid w:val="000875BF"/>
    <w:rsid w:val="0009039B"/>
    <w:rsid w:val="00092F50"/>
    <w:rsid w:val="0009457B"/>
    <w:rsid w:val="000947E3"/>
    <w:rsid w:val="00094BB1"/>
    <w:rsid w:val="00096AC8"/>
    <w:rsid w:val="00096D8C"/>
    <w:rsid w:val="00097167"/>
    <w:rsid w:val="000A2D64"/>
    <w:rsid w:val="000A4DA0"/>
    <w:rsid w:val="000A5870"/>
    <w:rsid w:val="000B08E4"/>
    <w:rsid w:val="000B371B"/>
    <w:rsid w:val="000B3743"/>
    <w:rsid w:val="000B3971"/>
    <w:rsid w:val="000B4E5A"/>
    <w:rsid w:val="000C0B65"/>
    <w:rsid w:val="000C0C2F"/>
    <w:rsid w:val="000C1559"/>
    <w:rsid w:val="000C16EF"/>
    <w:rsid w:val="000C1AB9"/>
    <w:rsid w:val="000C35FF"/>
    <w:rsid w:val="000C3652"/>
    <w:rsid w:val="000C37CF"/>
    <w:rsid w:val="000C4039"/>
    <w:rsid w:val="000C4B4E"/>
    <w:rsid w:val="000C7F2E"/>
    <w:rsid w:val="000D0A85"/>
    <w:rsid w:val="000D2EE8"/>
    <w:rsid w:val="000E05FE"/>
    <w:rsid w:val="000E09B4"/>
    <w:rsid w:val="000E0CCB"/>
    <w:rsid w:val="000E1042"/>
    <w:rsid w:val="000E3D42"/>
    <w:rsid w:val="000E6457"/>
    <w:rsid w:val="000F0C76"/>
    <w:rsid w:val="000F2A10"/>
    <w:rsid w:val="000F378D"/>
    <w:rsid w:val="000F418D"/>
    <w:rsid w:val="000F442B"/>
    <w:rsid w:val="000F678F"/>
    <w:rsid w:val="000F71E4"/>
    <w:rsid w:val="0010424B"/>
    <w:rsid w:val="00111FAD"/>
    <w:rsid w:val="0011376E"/>
    <w:rsid w:val="00114456"/>
    <w:rsid w:val="001227B3"/>
    <w:rsid w:val="00122BD5"/>
    <w:rsid w:val="001231CA"/>
    <w:rsid w:val="00125044"/>
    <w:rsid w:val="001254D4"/>
    <w:rsid w:val="0013052A"/>
    <w:rsid w:val="00130C31"/>
    <w:rsid w:val="00133876"/>
    <w:rsid w:val="00133F79"/>
    <w:rsid w:val="00134822"/>
    <w:rsid w:val="00134BDE"/>
    <w:rsid w:val="001357C4"/>
    <w:rsid w:val="00137002"/>
    <w:rsid w:val="001404D7"/>
    <w:rsid w:val="00140823"/>
    <w:rsid w:val="001423D5"/>
    <w:rsid w:val="00143870"/>
    <w:rsid w:val="00143A5F"/>
    <w:rsid w:val="00147932"/>
    <w:rsid w:val="00152485"/>
    <w:rsid w:val="0015328C"/>
    <w:rsid w:val="00154B59"/>
    <w:rsid w:val="00154C24"/>
    <w:rsid w:val="00161096"/>
    <w:rsid w:val="00161682"/>
    <w:rsid w:val="00163E2D"/>
    <w:rsid w:val="001658BA"/>
    <w:rsid w:val="00174E83"/>
    <w:rsid w:val="00174EF6"/>
    <w:rsid w:val="001759BD"/>
    <w:rsid w:val="0017634B"/>
    <w:rsid w:val="00181A5B"/>
    <w:rsid w:val="00190351"/>
    <w:rsid w:val="001921D4"/>
    <w:rsid w:val="00194A66"/>
    <w:rsid w:val="001976D8"/>
    <w:rsid w:val="001A20D8"/>
    <w:rsid w:val="001A524B"/>
    <w:rsid w:val="001A56B6"/>
    <w:rsid w:val="001A5A80"/>
    <w:rsid w:val="001A605D"/>
    <w:rsid w:val="001B3307"/>
    <w:rsid w:val="001B3E3C"/>
    <w:rsid w:val="001B7703"/>
    <w:rsid w:val="001B7FED"/>
    <w:rsid w:val="001D00B9"/>
    <w:rsid w:val="001D1132"/>
    <w:rsid w:val="001D18D7"/>
    <w:rsid w:val="001D585D"/>
    <w:rsid w:val="001D62F9"/>
    <w:rsid w:val="001D6BCF"/>
    <w:rsid w:val="001D6F7D"/>
    <w:rsid w:val="001D6FDB"/>
    <w:rsid w:val="001E01CA"/>
    <w:rsid w:val="001E041C"/>
    <w:rsid w:val="001E2702"/>
    <w:rsid w:val="001E5D83"/>
    <w:rsid w:val="001E65EC"/>
    <w:rsid w:val="001E7024"/>
    <w:rsid w:val="001E737E"/>
    <w:rsid w:val="001F0656"/>
    <w:rsid w:val="001F26BD"/>
    <w:rsid w:val="001F578D"/>
    <w:rsid w:val="002017B7"/>
    <w:rsid w:val="002025F8"/>
    <w:rsid w:val="00202F51"/>
    <w:rsid w:val="00205559"/>
    <w:rsid w:val="00210757"/>
    <w:rsid w:val="00211163"/>
    <w:rsid w:val="002112BA"/>
    <w:rsid w:val="002115E7"/>
    <w:rsid w:val="00211BB4"/>
    <w:rsid w:val="0021371A"/>
    <w:rsid w:val="00214A43"/>
    <w:rsid w:val="00214D75"/>
    <w:rsid w:val="00220FF7"/>
    <w:rsid w:val="00221007"/>
    <w:rsid w:val="00221424"/>
    <w:rsid w:val="00222999"/>
    <w:rsid w:val="00224EA4"/>
    <w:rsid w:val="00227796"/>
    <w:rsid w:val="00230BFB"/>
    <w:rsid w:val="0023165F"/>
    <w:rsid w:val="00231661"/>
    <w:rsid w:val="00233C0D"/>
    <w:rsid w:val="00235706"/>
    <w:rsid w:val="00237E77"/>
    <w:rsid w:val="00241B27"/>
    <w:rsid w:val="002421E9"/>
    <w:rsid w:val="00245787"/>
    <w:rsid w:val="00245A00"/>
    <w:rsid w:val="00247072"/>
    <w:rsid w:val="002474A9"/>
    <w:rsid w:val="00250CBE"/>
    <w:rsid w:val="002514FD"/>
    <w:rsid w:val="00251E0D"/>
    <w:rsid w:val="00251EDA"/>
    <w:rsid w:val="00253DE9"/>
    <w:rsid w:val="00261D9B"/>
    <w:rsid w:val="0026412A"/>
    <w:rsid w:val="00264D4E"/>
    <w:rsid w:val="00265CB4"/>
    <w:rsid w:val="002672D5"/>
    <w:rsid w:val="00275CF5"/>
    <w:rsid w:val="002771DE"/>
    <w:rsid w:val="0028225B"/>
    <w:rsid w:val="0028301F"/>
    <w:rsid w:val="002832CA"/>
    <w:rsid w:val="00285017"/>
    <w:rsid w:val="00285136"/>
    <w:rsid w:val="00290DF7"/>
    <w:rsid w:val="00291A07"/>
    <w:rsid w:val="00294A09"/>
    <w:rsid w:val="002A18CA"/>
    <w:rsid w:val="002A2D2E"/>
    <w:rsid w:val="002A4378"/>
    <w:rsid w:val="002A52EC"/>
    <w:rsid w:val="002A692B"/>
    <w:rsid w:val="002A7814"/>
    <w:rsid w:val="002B2F8D"/>
    <w:rsid w:val="002B4BB7"/>
    <w:rsid w:val="002C00E8"/>
    <w:rsid w:val="002C0606"/>
    <w:rsid w:val="002C0D70"/>
    <w:rsid w:val="002C1F75"/>
    <w:rsid w:val="002C6A6B"/>
    <w:rsid w:val="002C6B61"/>
    <w:rsid w:val="002C750C"/>
    <w:rsid w:val="002D18E9"/>
    <w:rsid w:val="002D260D"/>
    <w:rsid w:val="002D3BFE"/>
    <w:rsid w:val="002D7464"/>
    <w:rsid w:val="002E4BF4"/>
    <w:rsid w:val="002F4D6D"/>
    <w:rsid w:val="002F5D7E"/>
    <w:rsid w:val="002F750D"/>
    <w:rsid w:val="0030023B"/>
    <w:rsid w:val="00300F90"/>
    <w:rsid w:val="003017E6"/>
    <w:rsid w:val="00303137"/>
    <w:rsid w:val="00303D99"/>
    <w:rsid w:val="00304FAE"/>
    <w:rsid w:val="00310A59"/>
    <w:rsid w:val="003115ED"/>
    <w:rsid w:val="00322EA4"/>
    <w:rsid w:val="003238FA"/>
    <w:rsid w:val="0032715B"/>
    <w:rsid w:val="00327B56"/>
    <w:rsid w:val="00332832"/>
    <w:rsid w:val="00334671"/>
    <w:rsid w:val="003358AA"/>
    <w:rsid w:val="00335BA1"/>
    <w:rsid w:val="00341115"/>
    <w:rsid w:val="00341C84"/>
    <w:rsid w:val="00341F18"/>
    <w:rsid w:val="003428C1"/>
    <w:rsid w:val="00343749"/>
    <w:rsid w:val="00343B05"/>
    <w:rsid w:val="00345157"/>
    <w:rsid w:val="0034532D"/>
    <w:rsid w:val="0035226A"/>
    <w:rsid w:val="0035365B"/>
    <w:rsid w:val="003542DE"/>
    <w:rsid w:val="00354735"/>
    <w:rsid w:val="00356803"/>
    <w:rsid w:val="0035774B"/>
    <w:rsid w:val="00357EE8"/>
    <w:rsid w:val="00360954"/>
    <w:rsid w:val="00364F1B"/>
    <w:rsid w:val="00365B3C"/>
    <w:rsid w:val="00365D6D"/>
    <w:rsid w:val="003660ED"/>
    <w:rsid w:val="00366CF3"/>
    <w:rsid w:val="00367592"/>
    <w:rsid w:val="00370139"/>
    <w:rsid w:val="00370844"/>
    <w:rsid w:val="0037341D"/>
    <w:rsid w:val="00377F73"/>
    <w:rsid w:val="00381DCA"/>
    <w:rsid w:val="00383E8A"/>
    <w:rsid w:val="00385DE6"/>
    <w:rsid w:val="003862FC"/>
    <w:rsid w:val="00386ED3"/>
    <w:rsid w:val="00387455"/>
    <w:rsid w:val="00390B4D"/>
    <w:rsid w:val="003922D2"/>
    <w:rsid w:val="00393388"/>
    <w:rsid w:val="0039353E"/>
    <w:rsid w:val="00394A12"/>
    <w:rsid w:val="00394C53"/>
    <w:rsid w:val="00396E89"/>
    <w:rsid w:val="003A368D"/>
    <w:rsid w:val="003A4881"/>
    <w:rsid w:val="003B0550"/>
    <w:rsid w:val="003B1510"/>
    <w:rsid w:val="003B1740"/>
    <w:rsid w:val="003B1CC7"/>
    <w:rsid w:val="003B2B6F"/>
    <w:rsid w:val="003B2DE9"/>
    <w:rsid w:val="003B3882"/>
    <w:rsid w:val="003B5DE7"/>
    <w:rsid w:val="003B6091"/>
    <w:rsid w:val="003B694F"/>
    <w:rsid w:val="003B7F32"/>
    <w:rsid w:val="003C00D0"/>
    <w:rsid w:val="003C14F9"/>
    <w:rsid w:val="003C2FB9"/>
    <w:rsid w:val="003C4382"/>
    <w:rsid w:val="003C44D3"/>
    <w:rsid w:val="003C6750"/>
    <w:rsid w:val="003D0581"/>
    <w:rsid w:val="003D74AB"/>
    <w:rsid w:val="003D777E"/>
    <w:rsid w:val="003E3F47"/>
    <w:rsid w:val="003E64F6"/>
    <w:rsid w:val="003E67A5"/>
    <w:rsid w:val="003E700A"/>
    <w:rsid w:val="003E77D3"/>
    <w:rsid w:val="003F066C"/>
    <w:rsid w:val="003F0CE0"/>
    <w:rsid w:val="003F171C"/>
    <w:rsid w:val="003F513C"/>
    <w:rsid w:val="00401C0E"/>
    <w:rsid w:val="00403F30"/>
    <w:rsid w:val="004040F0"/>
    <w:rsid w:val="0040466E"/>
    <w:rsid w:val="00405789"/>
    <w:rsid w:val="004074F5"/>
    <w:rsid w:val="00407DBC"/>
    <w:rsid w:val="00412FC5"/>
    <w:rsid w:val="004147F0"/>
    <w:rsid w:val="00420744"/>
    <w:rsid w:val="004207DC"/>
    <w:rsid w:val="00420B3F"/>
    <w:rsid w:val="00422276"/>
    <w:rsid w:val="00422E54"/>
    <w:rsid w:val="00424099"/>
    <w:rsid w:val="004242F1"/>
    <w:rsid w:val="00425247"/>
    <w:rsid w:val="00426CF7"/>
    <w:rsid w:val="00427EE3"/>
    <w:rsid w:val="00430D70"/>
    <w:rsid w:val="004327CD"/>
    <w:rsid w:val="00434C0B"/>
    <w:rsid w:val="00444F9E"/>
    <w:rsid w:val="00445A00"/>
    <w:rsid w:val="0044724E"/>
    <w:rsid w:val="00451B0F"/>
    <w:rsid w:val="004601DB"/>
    <w:rsid w:val="004666EA"/>
    <w:rsid w:val="00470B0F"/>
    <w:rsid w:val="004714E1"/>
    <w:rsid w:val="00475568"/>
    <w:rsid w:val="00475B8C"/>
    <w:rsid w:val="0047707B"/>
    <w:rsid w:val="00484887"/>
    <w:rsid w:val="004901B4"/>
    <w:rsid w:val="004A04C7"/>
    <w:rsid w:val="004A1C21"/>
    <w:rsid w:val="004A3DEB"/>
    <w:rsid w:val="004A4F9D"/>
    <w:rsid w:val="004A541C"/>
    <w:rsid w:val="004A71EF"/>
    <w:rsid w:val="004B1F91"/>
    <w:rsid w:val="004B29E4"/>
    <w:rsid w:val="004B3217"/>
    <w:rsid w:val="004B4999"/>
    <w:rsid w:val="004B6030"/>
    <w:rsid w:val="004B681C"/>
    <w:rsid w:val="004C0DBB"/>
    <w:rsid w:val="004C0FAE"/>
    <w:rsid w:val="004C1151"/>
    <w:rsid w:val="004C2EE3"/>
    <w:rsid w:val="004C57B6"/>
    <w:rsid w:val="004C58FC"/>
    <w:rsid w:val="004C5DA4"/>
    <w:rsid w:val="004C6159"/>
    <w:rsid w:val="004C696A"/>
    <w:rsid w:val="004D093F"/>
    <w:rsid w:val="004D1D2B"/>
    <w:rsid w:val="004D1F68"/>
    <w:rsid w:val="004D2C32"/>
    <w:rsid w:val="004D2D4B"/>
    <w:rsid w:val="004D3D7F"/>
    <w:rsid w:val="004D6BD0"/>
    <w:rsid w:val="004D7877"/>
    <w:rsid w:val="004E0C95"/>
    <w:rsid w:val="004E4A22"/>
    <w:rsid w:val="004E4FC9"/>
    <w:rsid w:val="004E7EBF"/>
    <w:rsid w:val="004E7F78"/>
    <w:rsid w:val="004F07A3"/>
    <w:rsid w:val="004F2796"/>
    <w:rsid w:val="004F3AF4"/>
    <w:rsid w:val="004F427B"/>
    <w:rsid w:val="004F621E"/>
    <w:rsid w:val="00501048"/>
    <w:rsid w:val="0050192A"/>
    <w:rsid w:val="005028BB"/>
    <w:rsid w:val="00502C73"/>
    <w:rsid w:val="00504EFC"/>
    <w:rsid w:val="005112AF"/>
    <w:rsid w:val="00511423"/>
    <w:rsid w:val="00511968"/>
    <w:rsid w:val="00514A1C"/>
    <w:rsid w:val="00516FF2"/>
    <w:rsid w:val="00520D56"/>
    <w:rsid w:val="0052415F"/>
    <w:rsid w:val="0052580A"/>
    <w:rsid w:val="00525A74"/>
    <w:rsid w:val="00526DE2"/>
    <w:rsid w:val="005308F5"/>
    <w:rsid w:val="00533048"/>
    <w:rsid w:val="005357D0"/>
    <w:rsid w:val="00535A05"/>
    <w:rsid w:val="00536001"/>
    <w:rsid w:val="00540751"/>
    <w:rsid w:val="00540CF9"/>
    <w:rsid w:val="00542EC8"/>
    <w:rsid w:val="005430F5"/>
    <w:rsid w:val="00544C93"/>
    <w:rsid w:val="00544D25"/>
    <w:rsid w:val="005455AB"/>
    <w:rsid w:val="00546AD6"/>
    <w:rsid w:val="005523FB"/>
    <w:rsid w:val="00555B38"/>
    <w:rsid w:val="0055614C"/>
    <w:rsid w:val="00556591"/>
    <w:rsid w:val="00566D06"/>
    <w:rsid w:val="00570971"/>
    <w:rsid w:val="0057098E"/>
    <w:rsid w:val="005733FB"/>
    <w:rsid w:val="00580203"/>
    <w:rsid w:val="0058084D"/>
    <w:rsid w:val="00581402"/>
    <w:rsid w:val="00582E8A"/>
    <w:rsid w:val="00582F5C"/>
    <w:rsid w:val="00584C2F"/>
    <w:rsid w:val="00587226"/>
    <w:rsid w:val="0059247B"/>
    <w:rsid w:val="00595047"/>
    <w:rsid w:val="00595481"/>
    <w:rsid w:val="005974A7"/>
    <w:rsid w:val="005A4A76"/>
    <w:rsid w:val="005B0422"/>
    <w:rsid w:val="005B148F"/>
    <w:rsid w:val="005B1551"/>
    <w:rsid w:val="005B369B"/>
    <w:rsid w:val="005B5588"/>
    <w:rsid w:val="005C1A31"/>
    <w:rsid w:val="005C312F"/>
    <w:rsid w:val="005C3A85"/>
    <w:rsid w:val="005C647B"/>
    <w:rsid w:val="005D2102"/>
    <w:rsid w:val="005D5965"/>
    <w:rsid w:val="005D5C58"/>
    <w:rsid w:val="005E14C2"/>
    <w:rsid w:val="005E3DB7"/>
    <w:rsid w:val="005E5102"/>
    <w:rsid w:val="005E5614"/>
    <w:rsid w:val="005E60DE"/>
    <w:rsid w:val="005F098B"/>
    <w:rsid w:val="005F0F5A"/>
    <w:rsid w:val="005F249B"/>
    <w:rsid w:val="005F348E"/>
    <w:rsid w:val="005F4E69"/>
    <w:rsid w:val="005F4EF6"/>
    <w:rsid w:val="005F7AA4"/>
    <w:rsid w:val="006011AC"/>
    <w:rsid w:val="00607BA5"/>
    <w:rsid w:val="00610C2D"/>
    <w:rsid w:val="006112EA"/>
    <w:rsid w:val="0061180A"/>
    <w:rsid w:val="00614380"/>
    <w:rsid w:val="00614C8A"/>
    <w:rsid w:val="00617E8D"/>
    <w:rsid w:val="00617F11"/>
    <w:rsid w:val="0062108F"/>
    <w:rsid w:val="00622B3C"/>
    <w:rsid w:val="00623A5E"/>
    <w:rsid w:val="00626EB6"/>
    <w:rsid w:val="006272E5"/>
    <w:rsid w:val="00627A9D"/>
    <w:rsid w:val="00632738"/>
    <w:rsid w:val="00634726"/>
    <w:rsid w:val="0063770E"/>
    <w:rsid w:val="00646E48"/>
    <w:rsid w:val="006477B4"/>
    <w:rsid w:val="00650D2D"/>
    <w:rsid w:val="00651F95"/>
    <w:rsid w:val="00653E7C"/>
    <w:rsid w:val="00655D03"/>
    <w:rsid w:val="006575BE"/>
    <w:rsid w:val="006600B3"/>
    <w:rsid w:val="00661EDC"/>
    <w:rsid w:val="00662180"/>
    <w:rsid w:val="00662207"/>
    <w:rsid w:val="00662EF9"/>
    <w:rsid w:val="00664930"/>
    <w:rsid w:val="00665BC8"/>
    <w:rsid w:val="00666934"/>
    <w:rsid w:val="00667E69"/>
    <w:rsid w:val="00667EA0"/>
    <w:rsid w:val="00674D75"/>
    <w:rsid w:val="006754F6"/>
    <w:rsid w:val="00676037"/>
    <w:rsid w:val="00680A00"/>
    <w:rsid w:val="00683388"/>
    <w:rsid w:val="00683F84"/>
    <w:rsid w:val="0069025B"/>
    <w:rsid w:val="00690BE2"/>
    <w:rsid w:val="00695267"/>
    <w:rsid w:val="00696271"/>
    <w:rsid w:val="00696D29"/>
    <w:rsid w:val="006977FB"/>
    <w:rsid w:val="00697C87"/>
    <w:rsid w:val="006A0929"/>
    <w:rsid w:val="006A19D0"/>
    <w:rsid w:val="006A67B2"/>
    <w:rsid w:val="006A6A81"/>
    <w:rsid w:val="006A745B"/>
    <w:rsid w:val="006B06A0"/>
    <w:rsid w:val="006B5A2D"/>
    <w:rsid w:val="006B5CB1"/>
    <w:rsid w:val="006C123E"/>
    <w:rsid w:val="006C1264"/>
    <w:rsid w:val="006C2C4F"/>
    <w:rsid w:val="006C31B2"/>
    <w:rsid w:val="006C65A7"/>
    <w:rsid w:val="006C76F3"/>
    <w:rsid w:val="006D06F3"/>
    <w:rsid w:val="006D2C92"/>
    <w:rsid w:val="006D3537"/>
    <w:rsid w:val="006D587B"/>
    <w:rsid w:val="006E249B"/>
    <w:rsid w:val="006E468E"/>
    <w:rsid w:val="006E6A45"/>
    <w:rsid w:val="006E6A93"/>
    <w:rsid w:val="006F1234"/>
    <w:rsid w:val="006F7393"/>
    <w:rsid w:val="006F7A79"/>
    <w:rsid w:val="0070224F"/>
    <w:rsid w:val="007026BC"/>
    <w:rsid w:val="00702D4B"/>
    <w:rsid w:val="007031CB"/>
    <w:rsid w:val="00703D98"/>
    <w:rsid w:val="00705C3C"/>
    <w:rsid w:val="007115F7"/>
    <w:rsid w:val="00716D6F"/>
    <w:rsid w:val="00717359"/>
    <w:rsid w:val="007173F1"/>
    <w:rsid w:val="00717F3E"/>
    <w:rsid w:val="00720EA4"/>
    <w:rsid w:val="00721849"/>
    <w:rsid w:val="00725F01"/>
    <w:rsid w:val="00726565"/>
    <w:rsid w:val="00727271"/>
    <w:rsid w:val="00727B4E"/>
    <w:rsid w:val="00732E9D"/>
    <w:rsid w:val="00733601"/>
    <w:rsid w:val="00733AFF"/>
    <w:rsid w:val="00733DCE"/>
    <w:rsid w:val="0073723B"/>
    <w:rsid w:val="00737AA6"/>
    <w:rsid w:val="00737FFE"/>
    <w:rsid w:val="0074217C"/>
    <w:rsid w:val="007530F6"/>
    <w:rsid w:val="00753635"/>
    <w:rsid w:val="00753F5E"/>
    <w:rsid w:val="00755CEA"/>
    <w:rsid w:val="007563EA"/>
    <w:rsid w:val="00756EA3"/>
    <w:rsid w:val="00762802"/>
    <w:rsid w:val="00762910"/>
    <w:rsid w:val="007644C4"/>
    <w:rsid w:val="00766A41"/>
    <w:rsid w:val="0077087E"/>
    <w:rsid w:val="0077186C"/>
    <w:rsid w:val="007752D0"/>
    <w:rsid w:val="007760AF"/>
    <w:rsid w:val="00776B06"/>
    <w:rsid w:val="00776BA9"/>
    <w:rsid w:val="007778FE"/>
    <w:rsid w:val="007813B9"/>
    <w:rsid w:val="0078173C"/>
    <w:rsid w:val="007823AB"/>
    <w:rsid w:val="0078432B"/>
    <w:rsid w:val="00785689"/>
    <w:rsid w:val="00791509"/>
    <w:rsid w:val="0079261D"/>
    <w:rsid w:val="0079324B"/>
    <w:rsid w:val="0079754B"/>
    <w:rsid w:val="00797A90"/>
    <w:rsid w:val="00797D3D"/>
    <w:rsid w:val="007A153F"/>
    <w:rsid w:val="007A1E6D"/>
    <w:rsid w:val="007B0EB2"/>
    <w:rsid w:val="007B110F"/>
    <w:rsid w:val="007B22AF"/>
    <w:rsid w:val="007B2D76"/>
    <w:rsid w:val="007B5B4C"/>
    <w:rsid w:val="007C2847"/>
    <w:rsid w:val="007C6A9A"/>
    <w:rsid w:val="007C7992"/>
    <w:rsid w:val="007D767E"/>
    <w:rsid w:val="007F268E"/>
    <w:rsid w:val="007F34F3"/>
    <w:rsid w:val="007F3B20"/>
    <w:rsid w:val="007F4A85"/>
    <w:rsid w:val="007F63C7"/>
    <w:rsid w:val="00810A7A"/>
    <w:rsid w:val="00810B6F"/>
    <w:rsid w:val="00810E03"/>
    <w:rsid w:val="00811167"/>
    <w:rsid w:val="008151F7"/>
    <w:rsid w:val="0081584B"/>
    <w:rsid w:val="00815FA7"/>
    <w:rsid w:val="00816CAA"/>
    <w:rsid w:val="008213D2"/>
    <w:rsid w:val="00821B39"/>
    <w:rsid w:val="00822CE0"/>
    <w:rsid w:val="00826C83"/>
    <w:rsid w:val="00827E39"/>
    <w:rsid w:val="00831B80"/>
    <w:rsid w:val="00832124"/>
    <w:rsid w:val="00833C86"/>
    <w:rsid w:val="008357BB"/>
    <w:rsid w:val="00835AFE"/>
    <w:rsid w:val="00836A6A"/>
    <w:rsid w:val="00841235"/>
    <w:rsid w:val="00841970"/>
    <w:rsid w:val="00841AB1"/>
    <w:rsid w:val="00842311"/>
    <w:rsid w:val="00842864"/>
    <w:rsid w:val="0084399B"/>
    <w:rsid w:val="0085613C"/>
    <w:rsid w:val="008601A0"/>
    <w:rsid w:val="00862E8A"/>
    <w:rsid w:val="0086300D"/>
    <w:rsid w:val="0086613D"/>
    <w:rsid w:val="008665E0"/>
    <w:rsid w:val="008670A9"/>
    <w:rsid w:val="008744F3"/>
    <w:rsid w:val="00875815"/>
    <w:rsid w:val="0088106E"/>
    <w:rsid w:val="0088256D"/>
    <w:rsid w:val="00882F24"/>
    <w:rsid w:val="0088720E"/>
    <w:rsid w:val="00890BD1"/>
    <w:rsid w:val="008933ED"/>
    <w:rsid w:val="00893530"/>
    <w:rsid w:val="0089396B"/>
    <w:rsid w:val="00896235"/>
    <w:rsid w:val="008A6183"/>
    <w:rsid w:val="008A6A04"/>
    <w:rsid w:val="008A7446"/>
    <w:rsid w:val="008A7FDA"/>
    <w:rsid w:val="008B12A1"/>
    <w:rsid w:val="008B3B35"/>
    <w:rsid w:val="008B4386"/>
    <w:rsid w:val="008B5DA2"/>
    <w:rsid w:val="008C2D21"/>
    <w:rsid w:val="008C2F81"/>
    <w:rsid w:val="008C4323"/>
    <w:rsid w:val="008C478D"/>
    <w:rsid w:val="008C6186"/>
    <w:rsid w:val="008C68F1"/>
    <w:rsid w:val="008D24F6"/>
    <w:rsid w:val="008D4F41"/>
    <w:rsid w:val="008D53A9"/>
    <w:rsid w:val="008D58AB"/>
    <w:rsid w:val="008E2B9E"/>
    <w:rsid w:val="008E2BCD"/>
    <w:rsid w:val="008E3227"/>
    <w:rsid w:val="008E5548"/>
    <w:rsid w:val="008E5CA7"/>
    <w:rsid w:val="008E6D67"/>
    <w:rsid w:val="008E74F6"/>
    <w:rsid w:val="008E77E7"/>
    <w:rsid w:val="008E7A8B"/>
    <w:rsid w:val="008F2981"/>
    <w:rsid w:val="008F453A"/>
    <w:rsid w:val="008F5367"/>
    <w:rsid w:val="008F7E3C"/>
    <w:rsid w:val="00904FF1"/>
    <w:rsid w:val="00906E1A"/>
    <w:rsid w:val="00907C97"/>
    <w:rsid w:val="009108FB"/>
    <w:rsid w:val="00913FA9"/>
    <w:rsid w:val="0091557D"/>
    <w:rsid w:val="00920B3A"/>
    <w:rsid w:val="00921803"/>
    <w:rsid w:val="00921EC4"/>
    <w:rsid w:val="00924922"/>
    <w:rsid w:val="00924F0D"/>
    <w:rsid w:val="009251A4"/>
    <w:rsid w:val="00926503"/>
    <w:rsid w:val="009269DF"/>
    <w:rsid w:val="00926CD7"/>
    <w:rsid w:val="0092748C"/>
    <w:rsid w:val="00927770"/>
    <w:rsid w:val="00933A2C"/>
    <w:rsid w:val="0093403C"/>
    <w:rsid w:val="00934A20"/>
    <w:rsid w:val="0093558A"/>
    <w:rsid w:val="009415E5"/>
    <w:rsid w:val="009419BB"/>
    <w:rsid w:val="00941D59"/>
    <w:rsid w:val="00943FDA"/>
    <w:rsid w:val="00944289"/>
    <w:rsid w:val="00944653"/>
    <w:rsid w:val="00950515"/>
    <w:rsid w:val="009506DF"/>
    <w:rsid w:val="00950AB5"/>
    <w:rsid w:val="00951B86"/>
    <w:rsid w:val="0095674C"/>
    <w:rsid w:val="009568AE"/>
    <w:rsid w:val="00956E13"/>
    <w:rsid w:val="0095795D"/>
    <w:rsid w:val="00961BC4"/>
    <w:rsid w:val="00963750"/>
    <w:rsid w:val="0096715F"/>
    <w:rsid w:val="009711A3"/>
    <w:rsid w:val="00971314"/>
    <w:rsid w:val="009726D8"/>
    <w:rsid w:val="009750D6"/>
    <w:rsid w:val="009769CA"/>
    <w:rsid w:val="0097755E"/>
    <w:rsid w:val="00977DD2"/>
    <w:rsid w:val="00980B70"/>
    <w:rsid w:val="009814F0"/>
    <w:rsid w:val="009815F3"/>
    <w:rsid w:val="00981F61"/>
    <w:rsid w:val="00983AA0"/>
    <w:rsid w:val="009862B4"/>
    <w:rsid w:val="00987444"/>
    <w:rsid w:val="00991922"/>
    <w:rsid w:val="009945B3"/>
    <w:rsid w:val="00994DEC"/>
    <w:rsid w:val="00995375"/>
    <w:rsid w:val="009959D4"/>
    <w:rsid w:val="00997A21"/>
    <w:rsid w:val="009A0FDE"/>
    <w:rsid w:val="009A3D92"/>
    <w:rsid w:val="009A471D"/>
    <w:rsid w:val="009B0E8B"/>
    <w:rsid w:val="009B30D5"/>
    <w:rsid w:val="009B442A"/>
    <w:rsid w:val="009B710E"/>
    <w:rsid w:val="009C051E"/>
    <w:rsid w:val="009D44BA"/>
    <w:rsid w:val="009D7308"/>
    <w:rsid w:val="009E0DB7"/>
    <w:rsid w:val="009E1CA1"/>
    <w:rsid w:val="009E2BFE"/>
    <w:rsid w:val="009E44D1"/>
    <w:rsid w:val="009F04AE"/>
    <w:rsid w:val="009F1D1D"/>
    <w:rsid w:val="009F23A5"/>
    <w:rsid w:val="009F472A"/>
    <w:rsid w:val="009F76DB"/>
    <w:rsid w:val="009F7804"/>
    <w:rsid w:val="009F7C8B"/>
    <w:rsid w:val="00A00059"/>
    <w:rsid w:val="00A01C73"/>
    <w:rsid w:val="00A02491"/>
    <w:rsid w:val="00A03A74"/>
    <w:rsid w:val="00A06FF2"/>
    <w:rsid w:val="00A10EC8"/>
    <w:rsid w:val="00A15F2A"/>
    <w:rsid w:val="00A17A5D"/>
    <w:rsid w:val="00A226A5"/>
    <w:rsid w:val="00A231C8"/>
    <w:rsid w:val="00A24CFA"/>
    <w:rsid w:val="00A26511"/>
    <w:rsid w:val="00A27009"/>
    <w:rsid w:val="00A3006C"/>
    <w:rsid w:val="00A30E04"/>
    <w:rsid w:val="00A32A90"/>
    <w:rsid w:val="00A32C3B"/>
    <w:rsid w:val="00A37611"/>
    <w:rsid w:val="00A37BEE"/>
    <w:rsid w:val="00A41D29"/>
    <w:rsid w:val="00A44B15"/>
    <w:rsid w:val="00A4545D"/>
    <w:rsid w:val="00A45F4F"/>
    <w:rsid w:val="00A4637D"/>
    <w:rsid w:val="00A50227"/>
    <w:rsid w:val="00A54BE2"/>
    <w:rsid w:val="00A600A9"/>
    <w:rsid w:val="00A60468"/>
    <w:rsid w:val="00A604D9"/>
    <w:rsid w:val="00A62699"/>
    <w:rsid w:val="00A62883"/>
    <w:rsid w:val="00A70171"/>
    <w:rsid w:val="00A7253E"/>
    <w:rsid w:val="00A739F0"/>
    <w:rsid w:val="00A739F9"/>
    <w:rsid w:val="00A74A1F"/>
    <w:rsid w:val="00A74D9B"/>
    <w:rsid w:val="00A75C76"/>
    <w:rsid w:val="00A8177A"/>
    <w:rsid w:val="00A83480"/>
    <w:rsid w:val="00A84339"/>
    <w:rsid w:val="00A84916"/>
    <w:rsid w:val="00A85440"/>
    <w:rsid w:val="00A870DE"/>
    <w:rsid w:val="00A87AD6"/>
    <w:rsid w:val="00A92B35"/>
    <w:rsid w:val="00A9349A"/>
    <w:rsid w:val="00AA376B"/>
    <w:rsid w:val="00AA3AE7"/>
    <w:rsid w:val="00AA3D23"/>
    <w:rsid w:val="00AA54A2"/>
    <w:rsid w:val="00AA55B7"/>
    <w:rsid w:val="00AA5B9E"/>
    <w:rsid w:val="00AA5FEA"/>
    <w:rsid w:val="00AA71B4"/>
    <w:rsid w:val="00AB03F1"/>
    <w:rsid w:val="00AB0D2A"/>
    <w:rsid w:val="00AB1ADB"/>
    <w:rsid w:val="00AB2407"/>
    <w:rsid w:val="00AB28A7"/>
    <w:rsid w:val="00AB28C6"/>
    <w:rsid w:val="00AB4649"/>
    <w:rsid w:val="00AB4F54"/>
    <w:rsid w:val="00AB53DF"/>
    <w:rsid w:val="00AB5F1C"/>
    <w:rsid w:val="00AB67EE"/>
    <w:rsid w:val="00AB7CD2"/>
    <w:rsid w:val="00AC0736"/>
    <w:rsid w:val="00AC0F41"/>
    <w:rsid w:val="00AC39AF"/>
    <w:rsid w:val="00AC5131"/>
    <w:rsid w:val="00AC51C2"/>
    <w:rsid w:val="00AC6F70"/>
    <w:rsid w:val="00AD0940"/>
    <w:rsid w:val="00AD1F29"/>
    <w:rsid w:val="00AD2A27"/>
    <w:rsid w:val="00AD3799"/>
    <w:rsid w:val="00AD4DAC"/>
    <w:rsid w:val="00AD5A1E"/>
    <w:rsid w:val="00AD714C"/>
    <w:rsid w:val="00AE0713"/>
    <w:rsid w:val="00AE0E8B"/>
    <w:rsid w:val="00AE2A89"/>
    <w:rsid w:val="00AE2CA3"/>
    <w:rsid w:val="00AE31E7"/>
    <w:rsid w:val="00AE3848"/>
    <w:rsid w:val="00AE398E"/>
    <w:rsid w:val="00AE57A1"/>
    <w:rsid w:val="00AF0179"/>
    <w:rsid w:val="00AF0D37"/>
    <w:rsid w:val="00AF10BA"/>
    <w:rsid w:val="00AF3635"/>
    <w:rsid w:val="00AF542C"/>
    <w:rsid w:val="00B0018E"/>
    <w:rsid w:val="00B00CFB"/>
    <w:rsid w:val="00B0222D"/>
    <w:rsid w:val="00B04FF6"/>
    <w:rsid w:val="00B07E5C"/>
    <w:rsid w:val="00B103E7"/>
    <w:rsid w:val="00B11ECB"/>
    <w:rsid w:val="00B122C1"/>
    <w:rsid w:val="00B20BE6"/>
    <w:rsid w:val="00B214AE"/>
    <w:rsid w:val="00B217D4"/>
    <w:rsid w:val="00B254E3"/>
    <w:rsid w:val="00B271A0"/>
    <w:rsid w:val="00B277EC"/>
    <w:rsid w:val="00B27D4E"/>
    <w:rsid w:val="00B3130F"/>
    <w:rsid w:val="00B318ED"/>
    <w:rsid w:val="00B31C62"/>
    <w:rsid w:val="00B338EC"/>
    <w:rsid w:val="00B34687"/>
    <w:rsid w:val="00B34CF5"/>
    <w:rsid w:val="00B3588F"/>
    <w:rsid w:val="00B36223"/>
    <w:rsid w:val="00B41239"/>
    <w:rsid w:val="00B4580B"/>
    <w:rsid w:val="00B45C77"/>
    <w:rsid w:val="00B4781F"/>
    <w:rsid w:val="00B479A2"/>
    <w:rsid w:val="00B60CFA"/>
    <w:rsid w:val="00B61661"/>
    <w:rsid w:val="00B62A0D"/>
    <w:rsid w:val="00B62A89"/>
    <w:rsid w:val="00B6522F"/>
    <w:rsid w:val="00B65AE1"/>
    <w:rsid w:val="00B6636A"/>
    <w:rsid w:val="00B71D81"/>
    <w:rsid w:val="00B811F7"/>
    <w:rsid w:val="00B817FB"/>
    <w:rsid w:val="00B81D09"/>
    <w:rsid w:val="00B8260C"/>
    <w:rsid w:val="00B83CB2"/>
    <w:rsid w:val="00B86AA6"/>
    <w:rsid w:val="00B87BFE"/>
    <w:rsid w:val="00B87E12"/>
    <w:rsid w:val="00B90D9A"/>
    <w:rsid w:val="00B911A3"/>
    <w:rsid w:val="00B9346B"/>
    <w:rsid w:val="00B9397D"/>
    <w:rsid w:val="00B94752"/>
    <w:rsid w:val="00B95C0B"/>
    <w:rsid w:val="00B977DB"/>
    <w:rsid w:val="00BA0A5E"/>
    <w:rsid w:val="00BA147A"/>
    <w:rsid w:val="00BA4854"/>
    <w:rsid w:val="00BA5DC6"/>
    <w:rsid w:val="00BA6196"/>
    <w:rsid w:val="00BA65F2"/>
    <w:rsid w:val="00BA7B41"/>
    <w:rsid w:val="00BB0790"/>
    <w:rsid w:val="00BB2931"/>
    <w:rsid w:val="00BB2C32"/>
    <w:rsid w:val="00BB4694"/>
    <w:rsid w:val="00BB586F"/>
    <w:rsid w:val="00BC0CE3"/>
    <w:rsid w:val="00BC6D8C"/>
    <w:rsid w:val="00BD1503"/>
    <w:rsid w:val="00BD15B7"/>
    <w:rsid w:val="00BD3E59"/>
    <w:rsid w:val="00BD4E61"/>
    <w:rsid w:val="00BD6A21"/>
    <w:rsid w:val="00BE35D7"/>
    <w:rsid w:val="00BE644A"/>
    <w:rsid w:val="00BE770D"/>
    <w:rsid w:val="00BE773D"/>
    <w:rsid w:val="00BE7DDC"/>
    <w:rsid w:val="00BF417A"/>
    <w:rsid w:val="00BF7BB8"/>
    <w:rsid w:val="00C00BCD"/>
    <w:rsid w:val="00C01750"/>
    <w:rsid w:val="00C063E6"/>
    <w:rsid w:val="00C111B7"/>
    <w:rsid w:val="00C130E7"/>
    <w:rsid w:val="00C200CE"/>
    <w:rsid w:val="00C206B0"/>
    <w:rsid w:val="00C22D76"/>
    <w:rsid w:val="00C238F8"/>
    <w:rsid w:val="00C23C9A"/>
    <w:rsid w:val="00C25BDC"/>
    <w:rsid w:val="00C26F6F"/>
    <w:rsid w:val="00C27977"/>
    <w:rsid w:val="00C32C21"/>
    <w:rsid w:val="00C331CE"/>
    <w:rsid w:val="00C34006"/>
    <w:rsid w:val="00C36B4C"/>
    <w:rsid w:val="00C37516"/>
    <w:rsid w:val="00C40596"/>
    <w:rsid w:val="00C40D4F"/>
    <w:rsid w:val="00C41BFC"/>
    <w:rsid w:val="00C426B1"/>
    <w:rsid w:val="00C449A3"/>
    <w:rsid w:val="00C44AAA"/>
    <w:rsid w:val="00C45D97"/>
    <w:rsid w:val="00C4784C"/>
    <w:rsid w:val="00C536F6"/>
    <w:rsid w:val="00C6171F"/>
    <w:rsid w:val="00C62847"/>
    <w:rsid w:val="00C63A26"/>
    <w:rsid w:val="00C64114"/>
    <w:rsid w:val="00C64853"/>
    <w:rsid w:val="00C659DD"/>
    <w:rsid w:val="00C66160"/>
    <w:rsid w:val="00C6792C"/>
    <w:rsid w:val="00C708D4"/>
    <w:rsid w:val="00C721AC"/>
    <w:rsid w:val="00C72566"/>
    <w:rsid w:val="00C74C4C"/>
    <w:rsid w:val="00C8544C"/>
    <w:rsid w:val="00C85542"/>
    <w:rsid w:val="00C85788"/>
    <w:rsid w:val="00C85F8D"/>
    <w:rsid w:val="00C86CB3"/>
    <w:rsid w:val="00C90D6A"/>
    <w:rsid w:val="00C92AC1"/>
    <w:rsid w:val="00C96174"/>
    <w:rsid w:val="00CA1D10"/>
    <w:rsid w:val="00CA247E"/>
    <w:rsid w:val="00CA391D"/>
    <w:rsid w:val="00CA6D21"/>
    <w:rsid w:val="00CB10E7"/>
    <w:rsid w:val="00CB27B0"/>
    <w:rsid w:val="00CC0392"/>
    <w:rsid w:val="00CC0D17"/>
    <w:rsid w:val="00CC1A63"/>
    <w:rsid w:val="00CC25CF"/>
    <w:rsid w:val="00CC72B6"/>
    <w:rsid w:val="00CC743D"/>
    <w:rsid w:val="00CD6BCC"/>
    <w:rsid w:val="00CE0185"/>
    <w:rsid w:val="00CE4F02"/>
    <w:rsid w:val="00CE526E"/>
    <w:rsid w:val="00CE55A3"/>
    <w:rsid w:val="00CE58D0"/>
    <w:rsid w:val="00CE7411"/>
    <w:rsid w:val="00CE7648"/>
    <w:rsid w:val="00CF084A"/>
    <w:rsid w:val="00CF0E3B"/>
    <w:rsid w:val="00CF1423"/>
    <w:rsid w:val="00CF18BB"/>
    <w:rsid w:val="00CF5EE2"/>
    <w:rsid w:val="00D00289"/>
    <w:rsid w:val="00D01E2B"/>
    <w:rsid w:val="00D0218D"/>
    <w:rsid w:val="00D031E0"/>
    <w:rsid w:val="00D03CF6"/>
    <w:rsid w:val="00D03FA0"/>
    <w:rsid w:val="00D06DA7"/>
    <w:rsid w:val="00D1048E"/>
    <w:rsid w:val="00D12299"/>
    <w:rsid w:val="00D1316B"/>
    <w:rsid w:val="00D13D14"/>
    <w:rsid w:val="00D14716"/>
    <w:rsid w:val="00D15161"/>
    <w:rsid w:val="00D17E32"/>
    <w:rsid w:val="00D21A9A"/>
    <w:rsid w:val="00D24CDA"/>
    <w:rsid w:val="00D251CF"/>
    <w:rsid w:val="00D25C7C"/>
    <w:rsid w:val="00D25FB5"/>
    <w:rsid w:val="00D30717"/>
    <w:rsid w:val="00D313CC"/>
    <w:rsid w:val="00D31A59"/>
    <w:rsid w:val="00D322DF"/>
    <w:rsid w:val="00D34062"/>
    <w:rsid w:val="00D3638E"/>
    <w:rsid w:val="00D40134"/>
    <w:rsid w:val="00D40815"/>
    <w:rsid w:val="00D440F4"/>
    <w:rsid w:val="00D44223"/>
    <w:rsid w:val="00D469DC"/>
    <w:rsid w:val="00D4749E"/>
    <w:rsid w:val="00D51E3F"/>
    <w:rsid w:val="00D54D74"/>
    <w:rsid w:val="00D55698"/>
    <w:rsid w:val="00D61ACC"/>
    <w:rsid w:val="00D633BD"/>
    <w:rsid w:val="00D66A2F"/>
    <w:rsid w:val="00D66F8F"/>
    <w:rsid w:val="00D72014"/>
    <w:rsid w:val="00D7324C"/>
    <w:rsid w:val="00D748FD"/>
    <w:rsid w:val="00D75445"/>
    <w:rsid w:val="00D755D2"/>
    <w:rsid w:val="00D75B71"/>
    <w:rsid w:val="00D76469"/>
    <w:rsid w:val="00D8269F"/>
    <w:rsid w:val="00D842C1"/>
    <w:rsid w:val="00D84B6A"/>
    <w:rsid w:val="00D85996"/>
    <w:rsid w:val="00D85D3A"/>
    <w:rsid w:val="00D90D4F"/>
    <w:rsid w:val="00D91ABD"/>
    <w:rsid w:val="00D92AC3"/>
    <w:rsid w:val="00D95AF8"/>
    <w:rsid w:val="00DA19AA"/>
    <w:rsid w:val="00DA23DB"/>
    <w:rsid w:val="00DA2529"/>
    <w:rsid w:val="00DA313C"/>
    <w:rsid w:val="00DA4E02"/>
    <w:rsid w:val="00DA5162"/>
    <w:rsid w:val="00DB0549"/>
    <w:rsid w:val="00DB130A"/>
    <w:rsid w:val="00DB14FA"/>
    <w:rsid w:val="00DB2EB1"/>
    <w:rsid w:val="00DB2EBB"/>
    <w:rsid w:val="00DB311F"/>
    <w:rsid w:val="00DB3CB8"/>
    <w:rsid w:val="00DB4ED2"/>
    <w:rsid w:val="00DB55C7"/>
    <w:rsid w:val="00DB5F3D"/>
    <w:rsid w:val="00DC10A1"/>
    <w:rsid w:val="00DC2350"/>
    <w:rsid w:val="00DC5E47"/>
    <w:rsid w:val="00DC655F"/>
    <w:rsid w:val="00DC6E46"/>
    <w:rsid w:val="00DD0B59"/>
    <w:rsid w:val="00DD1337"/>
    <w:rsid w:val="00DD6F4F"/>
    <w:rsid w:val="00DD7EBD"/>
    <w:rsid w:val="00DE08CD"/>
    <w:rsid w:val="00DE5D0D"/>
    <w:rsid w:val="00DE6987"/>
    <w:rsid w:val="00DE7844"/>
    <w:rsid w:val="00DF0427"/>
    <w:rsid w:val="00DF4308"/>
    <w:rsid w:val="00DF62B6"/>
    <w:rsid w:val="00DF6BF5"/>
    <w:rsid w:val="00DF724C"/>
    <w:rsid w:val="00E02B29"/>
    <w:rsid w:val="00E04FDD"/>
    <w:rsid w:val="00E07225"/>
    <w:rsid w:val="00E126D0"/>
    <w:rsid w:val="00E20097"/>
    <w:rsid w:val="00E216F5"/>
    <w:rsid w:val="00E21B10"/>
    <w:rsid w:val="00E22982"/>
    <w:rsid w:val="00E23042"/>
    <w:rsid w:val="00E26241"/>
    <w:rsid w:val="00E27BF4"/>
    <w:rsid w:val="00E27FF3"/>
    <w:rsid w:val="00E36E29"/>
    <w:rsid w:val="00E40586"/>
    <w:rsid w:val="00E45B42"/>
    <w:rsid w:val="00E51B4F"/>
    <w:rsid w:val="00E5267A"/>
    <w:rsid w:val="00E52E26"/>
    <w:rsid w:val="00E5409F"/>
    <w:rsid w:val="00E559A8"/>
    <w:rsid w:val="00E57031"/>
    <w:rsid w:val="00E66969"/>
    <w:rsid w:val="00E70DC4"/>
    <w:rsid w:val="00E754A4"/>
    <w:rsid w:val="00E7560A"/>
    <w:rsid w:val="00E75DE8"/>
    <w:rsid w:val="00E75F54"/>
    <w:rsid w:val="00E77ECF"/>
    <w:rsid w:val="00E8133F"/>
    <w:rsid w:val="00E821CF"/>
    <w:rsid w:val="00E8278E"/>
    <w:rsid w:val="00E85A2A"/>
    <w:rsid w:val="00E912E3"/>
    <w:rsid w:val="00E93DA1"/>
    <w:rsid w:val="00E95015"/>
    <w:rsid w:val="00EA01BE"/>
    <w:rsid w:val="00EA1056"/>
    <w:rsid w:val="00EA1C32"/>
    <w:rsid w:val="00EA2EA6"/>
    <w:rsid w:val="00EA447C"/>
    <w:rsid w:val="00EA459A"/>
    <w:rsid w:val="00EA5656"/>
    <w:rsid w:val="00EA7A3F"/>
    <w:rsid w:val="00EB0566"/>
    <w:rsid w:val="00EB1264"/>
    <w:rsid w:val="00EB21CF"/>
    <w:rsid w:val="00EB26F9"/>
    <w:rsid w:val="00EB57E7"/>
    <w:rsid w:val="00EB7436"/>
    <w:rsid w:val="00EC11C3"/>
    <w:rsid w:val="00EC5CF2"/>
    <w:rsid w:val="00EC6CCA"/>
    <w:rsid w:val="00ED0795"/>
    <w:rsid w:val="00ED2B7D"/>
    <w:rsid w:val="00EE1874"/>
    <w:rsid w:val="00EE1B4C"/>
    <w:rsid w:val="00EE44FB"/>
    <w:rsid w:val="00EE543B"/>
    <w:rsid w:val="00EE5480"/>
    <w:rsid w:val="00EE6488"/>
    <w:rsid w:val="00EE7997"/>
    <w:rsid w:val="00EF03D8"/>
    <w:rsid w:val="00EF0564"/>
    <w:rsid w:val="00EF08CB"/>
    <w:rsid w:val="00EF392E"/>
    <w:rsid w:val="00EF56C5"/>
    <w:rsid w:val="00F021CF"/>
    <w:rsid w:val="00F021FA"/>
    <w:rsid w:val="00F03541"/>
    <w:rsid w:val="00F059A4"/>
    <w:rsid w:val="00F10574"/>
    <w:rsid w:val="00F1072D"/>
    <w:rsid w:val="00F10C2B"/>
    <w:rsid w:val="00F10D05"/>
    <w:rsid w:val="00F113E5"/>
    <w:rsid w:val="00F14F32"/>
    <w:rsid w:val="00F15A74"/>
    <w:rsid w:val="00F16A8A"/>
    <w:rsid w:val="00F16F0F"/>
    <w:rsid w:val="00F21893"/>
    <w:rsid w:val="00F22DF6"/>
    <w:rsid w:val="00F237EB"/>
    <w:rsid w:val="00F266CA"/>
    <w:rsid w:val="00F26E3B"/>
    <w:rsid w:val="00F27E6F"/>
    <w:rsid w:val="00F3113E"/>
    <w:rsid w:val="00F31FF6"/>
    <w:rsid w:val="00F33413"/>
    <w:rsid w:val="00F373BC"/>
    <w:rsid w:val="00F43AA7"/>
    <w:rsid w:val="00F43E27"/>
    <w:rsid w:val="00F44958"/>
    <w:rsid w:val="00F50159"/>
    <w:rsid w:val="00F51A91"/>
    <w:rsid w:val="00F51AB3"/>
    <w:rsid w:val="00F53A52"/>
    <w:rsid w:val="00F560DC"/>
    <w:rsid w:val="00F56C5C"/>
    <w:rsid w:val="00F606FC"/>
    <w:rsid w:val="00F62E97"/>
    <w:rsid w:val="00F64209"/>
    <w:rsid w:val="00F66A3C"/>
    <w:rsid w:val="00F722AB"/>
    <w:rsid w:val="00F731C0"/>
    <w:rsid w:val="00F73373"/>
    <w:rsid w:val="00F7456E"/>
    <w:rsid w:val="00F74940"/>
    <w:rsid w:val="00F7615A"/>
    <w:rsid w:val="00F76FC3"/>
    <w:rsid w:val="00F811F4"/>
    <w:rsid w:val="00F81459"/>
    <w:rsid w:val="00F83B3C"/>
    <w:rsid w:val="00F848BA"/>
    <w:rsid w:val="00F925A2"/>
    <w:rsid w:val="00F93095"/>
    <w:rsid w:val="00F932E8"/>
    <w:rsid w:val="00F93BF5"/>
    <w:rsid w:val="00F94292"/>
    <w:rsid w:val="00F9561B"/>
    <w:rsid w:val="00F95870"/>
    <w:rsid w:val="00FA2C8B"/>
    <w:rsid w:val="00FA3EBC"/>
    <w:rsid w:val="00FA4D0F"/>
    <w:rsid w:val="00FA7E22"/>
    <w:rsid w:val="00FB0B56"/>
    <w:rsid w:val="00FB37DF"/>
    <w:rsid w:val="00FC5255"/>
    <w:rsid w:val="00FD0DD4"/>
    <w:rsid w:val="00FD362E"/>
    <w:rsid w:val="00FD42CD"/>
    <w:rsid w:val="00FD55C8"/>
    <w:rsid w:val="00FD5B86"/>
    <w:rsid w:val="00FD5C16"/>
    <w:rsid w:val="00FD5E99"/>
    <w:rsid w:val="00FE1499"/>
    <w:rsid w:val="00FE7F98"/>
    <w:rsid w:val="00FF2733"/>
    <w:rsid w:val="00FF4B7C"/>
    <w:rsid w:val="00FF63D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8E59CC7-C029-4F22-866B-28DB39A2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676037"/>
    <w:rPr>
      <w:rFonts w:ascii="Segoe UI" w:hAnsi="Segoe UI" w:cs="Segoe UI"/>
      <w:sz w:val="18"/>
      <w:szCs w:val="18"/>
    </w:rPr>
  </w:style>
  <w:style w:type="character" w:customStyle="1" w:styleId="BalloonTextChar">
    <w:name w:val="Balloon Text Char"/>
    <w:link w:val="BalloonText"/>
    <w:rsid w:val="00676037"/>
    <w:rPr>
      <w:rFonts w:ascii="Segoe UI" w:hAnsi="Segoe UI" w:cs="Segoe UI"/>
      <w:snapToGrid w:val="0"/>
      <w:kern w:val="28"/>
      <w:sz w:val="18"/>
      <w:szCs w:val="18"/>
    </w:rPr>
  </w:style>
  <w:style w:type="character" w:styleId="CommentReference">
    <w:name w:val="annotation reference"/>
    <w:rsid w:val="00357EE8"/>
    <w:rPr>
      <w:sz w:val="16"/>
      <w:szCs w:val="16"/>
    </w:rPr>
  </w:style>
  <w:style w:type="paragraph" w:styleId="CommentText">
    <w:name w:val="annotation text"/>
    <w:basedOn w:val="Normal"/>
    <w:link w:val="CommentTextChar"/>
    <w:rsid w:val="00357EE8"/>
    <w:rPr>
      <w:sz w:val="20"/>
    </w:rPr>
  </w:style>
  <w:style w:type="character" w:customStyle="1" w:styleId="CommentTextChar">
    <w:name w:val="Comment Text Char"/>
    <w:link w:val="CommentText"/>
    <w:rsid w:val="00357EE8"/>
    <w:rPr>
      <w:snapToGrid w:val="0"/>
      <w:kern w:val="28"/>
    </w:rPr>
  </w:style>
  <w:style w:type="paragraph" w:styleId="CommentSubject">
    <w:name w:val="annotation subject"/>
    <w:basedOn w:val="CommentText"/>
    <w:next w:val="CommentText"/>
    <w:link w:val="CommentSubjectChar"/>
    <w:rsid w:val="00357EE8"/>
    <w:rPr>
      <w:b/>
      <w:bCs/>
    </w:rPr>
  </w:style>
  <w:style w:type="character" w:customStyle="1" w:styleId="CommentSubjectChar">
    <w:name w:val="Comment Subject Char"/>
    <w:link w:val="CommentSubject"/>
    <w:rsid w:val="00357EE8"/>
    <w:rPr>
      <w:b/>
      <w:bCs/>
      <w:snapToGrid w:val="0"/>
      <w:kern w:val="28"/>
    </w:rPr>
  </w:style>
  <w:style w:type="character" w:customStyle="1" w:styleId="FootnoteTextChar">
    <w:name w:val="Footnote Text Char"/>
    <w:link w:val="FootnoteText"/>
    <w:rsid w:val="00E51B4F"/>
  </w:style>
  <w:style w:type="character" w:customStyle="1" w:styleId="UnresolvedMention">
    <w:name w:val="Unresolved Mention"/>
    <w:basedOn w:val="DefaultParagraphFont"/>
    <w:uiPriority w:val="99"/>
    <w:semiHidden/>
    <w:unhideWhenUsed/>
    <w:rsid w:val="00EF08CB"/>
    <w:rPr>
      <w:color w:val="605E5C"/>
      <w:shd w:val="clear" w:color="auto" w:fill="E1DFDD"/>
    </w:rPr>
  </w:style>
  <w:style w:type="character" w:styleId="FollowedHyperlink">
    <w:name w:val="FollowedHyperlink"/>
    <w:basedOn w:val="DefaultParagraphFont"/>
    <w:rsid w:val="00EF08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DOC-362551A2.docx" TargetMode="External" /><Relationship Id="rId10" Type="http://schemas.openxmlformats.org/officeDocument/2006/relationships/hyperlink" Target="http://file.lacounty.gov/SDSInter/bos/supdocs/104632.pdf" TargetMode="External" /><Relationship Id="rId11" Type="http://schemas.openxmlformats.org/officeDocument/2006/relationships/hyperlink" Target="https://www.acgov.org/gsa/departments/purchasing/policy/proprietary.htm" TargetMode="External" /><Relationship Id="rId2" Type="http://schemas.openxmlformats.org/officeDocument/2006/relationships/hyperlink" Target="https://www.ncic.com/jails" TargetMode="External" /><Relationship Id="rId3" Type="http://schemas.openxmlformats.org/officeDocument/2006/relationships/hyperlink" Target="https://www.regentpay.com/facilities" TargetMode="External" /><Relationship Id="rId4" Type="http://schemas.openxmlformats.org/officeDocument/2006/relationships/hyperlink" Target="https://securustech.online/" TargetMode="External" /><Relationship Id="rId5" Type="http://schemas.openxmlformats.org/officeDocument/2006/relationships/hyperlink" Target="https://www.centurylinkcorrections.com/friends-and-family.html" TargetMode="External" /><Relationship Id="rId6" Type="http://schemas.openxmlformats.org/officeDocument/2006/relationships/hyperlink" Target="http://www.callowaycountyjail.com/inmate_services.html" TargetMode="External" /><Relationship Id="rId7" Type="http://schemas.openxmlformats.org/officeDocument/2006/relationships/hyperlink" Target="https://wcso.cc/index.php/inmate-info" TargetMode="External" /><Relationship Id="rId8" Type="http://schemas.openxmlformats.org/officeDocument/2006/relationships/hyperlink" Target="http://www.tallaco.com/content.asp?id=74101" TargetMode="External" /><Relationship Id="rId9" Type="http://schemas.openxmlformats.org/officeDocument/2006/relationships/hyperlink" Target="https://www.tn.gov/correction/statistics-and-information/jail-summary-reports.html"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