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220CB" w14:paraId="32975324" w14:textId="77777777">
      <w:pPr>
        <w:jc w:val="center"/>
        <w:rPr>
          <w:b/>
        </w:rPr>
      </w:pPr>
    </w:p>
    <w:p w:rsidR="00961EAA" w14:paraId="344BF686" w14:textId="5193EA7B">
      <w:pPr>
        <w:jc w:val="center"/>
        <w:rPr>
          <w:b/>
        </w:rPr>
      </w:pPr>
      <w:r>
        <w:rPr>
          <w:b/>
        </w:rPr>
        <w:t>Before the</w:t>
      </w:r>
    </w:p>
    <w:p w:rsidR="00961EAA" w14:paraId="613D3E6E" w14:textId="77777777">
      <w:pPr>
        <w:jc w:val="center"/>
        <w:rPr>
          <w:b/>
        </w:rPr>
      </w:pPr>
      <w:r>
        <w:rPr>
          <w:b/>
        </w:rPr>
        <w:t>Federal Communications Commission</w:t>
      </w:r>
    </w:p>
    <w:p w:rsidR="00961EAA" w14:paraId="0590F44E" w14:textId="77777777">
      <w:pPr>
        <w:jc w:val="center"/>
        <w:rPr>
          <w:b/>
        </w:rPr>
      </w:pPr>
      <w:r>
        <w:rPr>
          <w:b/>
        </w:rPr>
        <w:t>Washington, D.C. 20554</w:t>
      </w:r>
    </w:p>
    <w:p w:rsidR="00961EAA" w14:paraId="24F90EDB" w14:textId="77777777"/>
    <w:p w:rsidR="00961EAA" w14:paraId="01BBBC15" w14:textId="77777777"/>
    <w:tbl>
      <w:tblPr>
        <w:tblW w:w="9744" w:type="dxa"/>
        <w:tblLayout w:type="fixed"/>
        <w:tblLook w:val="0000"/>
      </w:tblPr>
      <w:tblGrid>
        <w:gridCol w:w="4745"/>
        <w:gridCol w:w="727"/>
        <w:gridCol w:w="4272"/>
      </w:tblGrid>
      <w:tr w14:paraId="1FF2A848" w14:textId="77777777" w:rsidTr="000925B7">
        <w:tblPrEx>
          <w:tblW w:w="9744" w:type="dxa"/>
          <w:tblLayout w:type="fixed"/>
          <w:tblLook w:val="0000"/>
        </w:tblPrEx>
        <w:trPr>
          <w:trHeight w:val="2655"/>
        </w:trPr>
        <w:tc>
          <w:tcPr>
            <w:tcW w:w="4745" w:type="dxa"/>
          </w:tcPr>
          <w:p w:rsidR="00961EAA" w14:paraId="1A2B20E9" w14:textId="77777777">
            <w:pPr>
              <w:ind w:right="-18"/>
            </w:pPr>
            <w:r>
              <w:t xml:space="preserve">In re </w:t>
            </w:r>
          </w:p>
          <w:p w:rsidR="00961EAA" w14:paraId="039A55BB" w14:textId="77777777">
            <w:pPr>
              <w:ind w:right="-18"/>
            </w:pPr>
          </w:p>
          <w:p w:rsidR="00961EAA" w14:paraId="52D78B33" w14:textId="0F529146">
            <w:pPr>
              <w:ind w:right="-18"/>
            </w:pPr>
            <w:r>
              <w:t>Native Network, Inc.</w:t>
            </w:r>
          </w:p>
          <w:p w:rsidR="000C2B64" w14:paraId="6D9BDDC1" w14:textId="4A7367AB">
            <w:pPr>
              <w:ind w:right="-18"/>
            </w:pPr>
            <w:r>
              <w:t>SmartSky</w:t>
            </w:r>
            <w:r>
              <w:t xml:space="preserve"> Networks, L.L.C.</w:t>
            </w:r>
          </w:p>
          <w:p w:rsidR="000C2B64" w14:paraId="485CEAF4" w14:textId="494C4C49">
            <w:pPr>
              <w:ind w:right="-18"/>
            </w:pPr>
            <w:r>
              <w:t>Affinity Technology Solutions LLC</w:t>
            </w:r>
          </w:p>
          <w:p w:rsidR="000C2B64" w14:paraId="0F1778CB" w14:textId="04F8C77B">
            <w:pPr>
              <w:ind w:right="-18"/>
            </w:pPr>
            <w:r>
              <w:t>Elektrafi</w:t>
            </w:r>
            <w:r>
              <w:t xml:space="preserve"> LLC</w:t>
            </w:r>
          </w:p>
          <w:p w:rsidR="008C76EF" w14:paraId="57095C39" w14:textId="0BADD60F">
            <w:pPr>
              <w:ind w:right="-18"/>
            </w:pPr>
            <w:r>
              <w:t>Little Miami Gig</w:t>
            </w:r>
            <w:r w:rsidR="00817ED8">
              <w:t xml:space="preserve"> LLC</w:t>
            </w:r>
          </w:p>
          <w:p w:rsidR="00961EAA" w14:paraId="3203FA12" w14:textId="77777777">
            <w:pPr>
              <w:ind w:right="-18"/>
            </w:pPr>
          </w:p>
          <w:p w:rsidR="00961EAA" w14:paraId="51BCD3DF" w14:textId="77777777">
            <w:pPr>
              <w:ind w:right="-18"/>
            </w:pPr>
            <w:r>
              <w:t xml:space="preserve">Request for Waiver of </w:t>
            </w:r>
            <w:r w:rsidR="00BB6BF0">
              <w:t>Deadline for Filing Short-Form Application to Participate in</w:t>
            </w:r>
            <w:r>
              <w:t xml:space="preserve"> Auction </w:t>
            </w:r>
            <w:r w:rsidR="00CD43C8">
              <w:t>904</w:t>
            </w:r>
            <w:r w:rsidR="00BB6BF0">
              <w:t xml:space="preserve"> (FCC Form 183)</w:t>
            </w:r>
          </w:p>
          <w:p w:rsidR="00EA48CF" w14:paraId="780CAE7C" w14:textId="49EE3039">
            <w:pPr>
              <w:ind w:right="-18"/>
            </w:pPr>
          </w:p>
        </w:tc>
        <w:tc>
          <w:tcPr>
            <w:tcW w:w="727" w:type="dxa"/>
          </w:tcPr>
          <w:p w:rsidR="00961EAA" w14:paraId="198ED584" w14:textId="77777777">
            <w:pPr>
              <w:rPr>
                <w:b/>
              </w:rPr>
            </w:pPr>
            <w:r>
              <w:rPr>
                <w:b/>
              </w:rPr>
              <w:t>)</w:t>
            </w:r>
          </w:p>
          <w:p w:rsidR="00961EAA" w14:paraId="17A1F635" w14:textId="77777777">
            <w:pPr>
              <w:rPr>
                <w:b/>
              </w:rPr>
            </w:pPr>
            <w:r>
              <w:rPr>
                <w:b/>
              </w:rPr>
              <w:t>)</w:t>
            </w:r>
          </w:p>
          <w:p w:rsidR="00961EAA" w14:paraId="3B6F0D25" w14:textId="77777777">
            <w:pPr>
              <w:rPr>
                <w:b/>
              </w:rPr>
            </w:pPr>
            <w:r>
              <w:rPr>
                <w:b/>
              </w:rPr>
              <w:t>)</w:t>
            </w:r>
          </w:p>
          <w:p w:rsidR="00961EAA" w14:paraId="2E581FA1" w14:textId="77777777">
            <w:pPr>
              <w:rPr>
                <w:b/>
              </w:rPr>
            </w:pPr>
            <w:r>
              <w:rPr>
                <w:b/>
              </w:rPr>
              <w:t>)</w:t>
            </w:r>
          </w:p>
          <w:p w:rsidR="00961EAA" w14:paraId="05C23F81" w14:textId="77777777">
            <w:pPr>
              <w:rPr>
                <w:b/>
              </w:rPr>
            </w:pPr>
            <w:r>
              <w:rPr>
                <w:b/>
              </w:rPr>
              <w:t>)</w:t>
            </w:r>
          </w:p>
          <w:p w:rsidR="00961EAA" w14:paraId="080AED71" w14:textId="77777777">
            <w:pPr>
              <w:rPr>
                <w:b/>
              </w:rPr>
            </w:pPr>
            <w:r>
              <w:rPr>
                <w:b/>
              </w:rPr>
              <w:t>)</w:t>
            </w:r>
          </w:p>
          <w:p w:rsidR="00961EAA" w14:paraId="2643B6A8" w14:textId="03694F99">
            <w:pPr>
              <w:rPr>
                <w:b/>
              </w:rPr>
            </w:pPr>
            <w:r>
              <w:rPr>
                <w:b/>
              </w:rPr>
              <w:t>)</w:t>
            </w:r>
          </w:p>
          <w:p w:rsidR="00961EAA" w14:paraId="5763633F" w14:textId="77777777">
            <w:pPr>
              <w:rPr>
                <w:b/>
              </w:rPr>
            </w:pPr>
            <w:r>
              <w:rPr>
                <w:b/>
              </w:rPr>
              <w:t>)</w:t>
            </w:r>
          </w:p>
          <w:p w:rsidR="00BB6BF0" w14:paraId="2B445A15" w14:textId="77777777">
            <w:pPr>
              <w:rPr>
                <w:b/>
              </w:rPr>
            </w:pPr>
            <w:r>
              <w:rPr>
                <w:b/>
              </w:rPr>
              <w:t>)</w:t>
            </w:r>
          </w:p>
          <w:p w:rsidR="00BB6BF0" w14:paraId="3AAD9DA1" w14:textId="77777777">
            <w:pPr>
              <w:rPr>
                <w:b/>
              </w:rPr>
            </w:pPr>
            <w:r>
              <w:rPr>
                <w:b/>
              </w:rPr>
              <w:t>)</w:t>
            </w:r>
          </w:p>
          <w:p w:rsidR="00EA48CF" w14:paraId="0EC32420" w14:textId="3184EE80">
            <w:pPr>
              <w:rPr>
                <w:b/>
              </w:rPr>
            </w:pPr>
            <w:r>
              <w:rPr>
                <w:b/>
              </w:rPr>
              <w:t>)</w:t>
            </w:r>
          </w:p>
        </w:tc>
        <w:tc>
          <w:tcPr>
            <w:tcW w:w="4272" w:type="dxa"/>
          </w:tcPr>
          <w:p w:rsidR="00961EAA" w14:paraId="6F4D91F9" w14:textId="77777777"/>
          <w:p w:rsidR="00961EAA" w14:paraId="0DE6000F" w14:textId="77777777"/>
          <w:p w:rsidR="00961EAA" w14:paraId="4B9D0A01" w14:textId="1352451E">
            <w:r>
              <w:t xml:space="preserve">AU </w:t>
            </w:r>
            <w:r w:rsidR="002837C1">
              <w:t xml:space="preserve">Docket No. </w:t>
            </w:r>
            <w:r w:rsidR="0036238C">
              <w:t>20-34</w:t>
            </w:r>
          </w:p>
          <w:p w:rsidR="00961EAA" w14:paraId="629597EF" w14:textId="77777777"/>
        </w:tc>
      </w:tr>
    </w:tbl>
    <w:p w:rsidR="00961EAA" w14:paraId="3B2EA0AF" w14:textId="0EC97CE9">
      <w:pPr>
        <w:spacing w:before="120"/>
        <w:jc w:val="center"/>
        <w:rPr>
          <w:b/>
        </w:rPr>
      </w:pPr>
      <w:r>
        <w:rPr>
          <w:b/>
        </w:rPr>
        <w:t>ORDER</w:t>
      </w:r>
    </w:p>
    <w:p w:rsidR="00961EAA" w14:paraId="06D71AD7" w14:textId="77777777"/>
    <w:p w:rsidR="00961EAA" w14:paraId="052D659A" w14:textId="26399575">
      <w:pPr>
        <w:tabs>
          <w:tab w:val="left" w:pos="5760"/>
        </w:tabs>
        <w:jc w:val="both"/>
        <w:rPr>
          <w:b/>
        </w:rPr>
      </w:pPr>
      <w:r>
        <w:rPr>
          <w:b/>
        </w:rPr>
        <w:t xml:space="preserve">Adopted:  </w:t>
      </w:r>
      <w:r w:rsidR="001746EC">
        <w:rPr>
          <w:b/>
        </w:rPr>
        <w:t>September 1</w:t>
      </w:r>
      <w:r>
        <w:rPr>
          <w:b/>
        </w:rPr>
        <w:t>, 20</w:t>
      </w:r>
      <w:r w:rsidR="00CD43C8">
        <w:rPr>
          <w:b/>
        </w:rPr>
        <w:t>20</w:t>
      </w:r>
      <w:r>
        <w:rPr>
          <w:b/>
        </w:rPr>
        <w:tab/>
        <w:t xml:space="preserve">Released:  </w:t>
      </w:r>
      <w:r w:rsidR="001746EC">
        <w:rPr>
          <w:b/>
        </w:rPr>
        <w:t>September 1</w:t>
      </w:r>
      <w:r>
        <w:rPr>
          <w:b/>
        </w:rPr>
        <w:t>, 20</w:t>
      </w:r>
      <w:r w:rsidR="00CD43C8">
        <w:rPr>
          <w:b/>
        </w:rPr>
        <w:t>20</w:t>
      </w:r>
    </w:p>
    <w:p w:rsidR="00961EAA" w14:paraId="399F80F7" w14:textId="77777777">
      <w:pPr>
        <w:tabs>
          <w:tab w:val="left" w:pos="5760"/>
        </w:tabs>
        <w:rPr>
          <w:b/>
        </w:rPr>
      </w:pPr>
    </w:p>
    <w:p w:rsidR="00961EAA" w14:paraId="37234A2A" w14:textId="5C0344FF">
      <w:pPr>
        <w:tabs>
          <w:tab w:val="left" w:pos="5760"/>
        </w:tabs>
        <w:ind w:left="1350" w:hanging="1350"/>
        <w:rPr>
          <w:spacing w:val="-2"/>
          <w:szCs w:val="22"/>
        </w:rPr>
      </w:pPr>
      <w:r>
        <w:rPr>
          <w:szCs w:val="22"/>
        </w:rPr>
        <w:t xml:space="preserve">By the Chief, Auctions Division, </w:t>
      </w:r>
      <w:r w:rsidR="00CD43C8">
        <w:rPr>
          <w:szCs w:val="22"/>
        </w:rPr>
        <w:t>Office of Economics and Analytics</w:t>
      </w:r>
      <w:r>
        <w:rPr>
          <w:spacing w:val="-2"/>
          <w:szCs w:val="22"/>
        </w:rPr>
        <w:t>:</w:t>
      </w:r>
    </w:p>
    <w:p w:rsidR="00961EAA" w14:paraId="5FE0FD34" w14:textId="107FD8A5">
      <w:pPr>
        <w:tabs>
          <w:tab w:val="left" w:pos="5760"/>
        </w:tabs>
        <w:rPr>
          <w:b/>
          <w:spacing w:val="-2"/>
          <w:szCs w:val="22"/>
        </w:rPr>
      </w:pPr>
    </w:p>
    <w:p w:rsidR="00961EAA" w:rsidP="00961EAA" w14:paraId="555EACD3" w14:textId="77777777">
      <w:pPr>
        <w:pStyle w:val="Heading1"/>
        <w:widowControl/>
        <w:rPr>
          <w:b w:val="0"/>
          <w:szCs w:val="22"/>
        </w:rPr>
      </w:pPr>
      <w:r>
        <w:t>INTRODUCTION</w:t>
      </w:r>
      <w:r>
        <w:rPr>
          <w:b w:val="0"/>
          <w:szCs w:val="22"/>
        </w:rPr>
        <w:tab/>
      </w:r>
    </w:p>
    <w:p w:rsidR="00961EAA" w:rsidP="00961EAA" w14:paraId="2C18FAF0" w14:textId="29739B10">
      <w:pPr>
        <w:pStyle w:val="ParaNum"/>
        <w:widowControl/>
        <w:numPr>
          <w:ilvl w:val="0"/>
          <w:numId w:val="2"/>
        </w:numPr>
        <w:tabs>
          <w:tab w:val="clear" w:pos="1080"/>
          <w:tab w:val="num" w:pos="1440"/>
        </w:tabs>
      </w:pPr>
      <w:r>
        <w:t xml:space="preserve">In this Order, we </w:t>
      </w:r>
      <w:r w:rsidR="008043DB">
        <w:t xml:space="preserve">resolve </w:t>
      </w:r>
      <w:r w:rsidR="008C76EF">
        <w:t xml:space="preserve">five </w:t>
      </w:r>
      <w:r>
        <w:t>request</w:t>
      </w:r>
      <w:r w:rsidR="008F6234">
        <w:t>s</w:t>
      </w:r>
      <w:r>
        <w:t xml:space="preserve"> for waiver of the deadline for filing a short-form application to participate in Auction </w:t>
      </w:r>
      <w:r w:rsidR="008F6234">
        <w:t>904</w:t>
      </w:r>
      <w:r w:rsidR="008043DB">
        <w:t xml:space="preserve">, filed </w:t>
      </w:r>
      <w:r w:rsidR="008F6234">
        <w:t xml:space="preserve">by </w:t>
      </w:r>
      <w:r w:rsidR="00A86B93">
        <w:t>Native Network, Inc. (Native Network)</w:t>
      </w:r>
      <w:r w:rsidR="0041180B">
        <w:t>;</w:t>
      </w:r>
      <w:r w:rsidR="00A86B93">
        <w:t xml:space="preserve"> </w:t>
      </w:r>
      <w:r w:rsidR="0041180B">
        <w:t>SmartSky</w:t>
      </w:r>
      <w:r w:rsidR="0041180B">
        <w:t xml:space="preserve"> Networks, L.L.C. (</w:t>
      </w:r>
      <w:r w:rsidR="0041180B">
        <w:t>SmartSky</w:t>
      </w:r>
      <w:r w:rsidR="0041180B">
        <w:t>); Affinity Technology Solutions LLC (ATS)</w:t>
      </w:r>
      <w:r w:rsidR="008C76EF">
        <w:t>;</w:t>
      </w:r>
      <w:r w:rsidR="008F6234">
        <w:t xml:space="preserve"> </w:t>
      </w:r>
      <w:r w:rsidR="0041180B">
        <w:t>Elektrafi</w:t>
      </w:r>
      <w:r w:rsidR="00A317CC">
        <w:t xml:space="preserve"> LLC (</w:t>
      </w:r>
      <w:r w:rsidR="00A317CC">
        <w:t>Elektrafi</w:t>
      </w:r>
      <w:r w:rsidR="00A317CC">
        <w:t>)</w:t>
      </w:r>
      <w:r w:rsidR="00A4101C">
        <w:t>; and Little Miami Gig</w:t>
      </w:r>
      <w:r w:rsidR="00817ED8">
        <w:t xml:space="preserve"> LLC</w:t>
      </w:r>
      <w:r w:rsidR="00A4101C">
        <w:t xml:space="preserve"> (LMG)</w:t>
      </w:r>
      <w:r w:rsidR="008F6234">
        <w:t xml:space="preserve"> (</w:t>
      </w:r>
      <w:r w:rsidR="0041180B">
        <w:t xml:space="preserve">each </w:t>
      </w:r>
      <w:r w:rsidR="00A317CC">
        <w:t>separately a Petitioner</w:t>
      </w:r>
      <w:r w:rsidR="0041180B">
        <w:t xml:space="preserve"> and </w:t>
      </w:r>
      <w:r w:rsidR="008F6234">
        <w:t>collectively Petitioners).  Petitioners</w:t>
      </w:r>
      <w:r>
        <w:t xml:space="preserve"> </w:t>
      </w:r>
      <w:r w:rsidR="00820BF1">
        <w:t>did not</w:t>
      </w:r>
      <w:r>
        <w:t xml:space="preserve"> file </w:t>
      </w:r>
      <w:r w:rsidR="00130F6C">
        <w:t xml:space="preserve">the required </w:t>
      </w:r>
      <w:r>
        <w:t>short-form application</w:t>
      </w:r>
      <w:r w:rsidR="0037232F">
        <w:t>s</w:t>
      </w:r>
      <w:r>
        <w:t xml:space="preserve"> </w:t>
      </w:r>
      <w:r w:rsidR="00BE607E">
        <w:t>before the deadline</w:t>
      </w:r>
      <w:r w:rsidR="00A77B56">
        <w:t>.  E</w:t>
      </w:r>
      <w:r w:rsidR="008F6234">
        <w:t xml:space="preserve">ach </w:t>
      </w:r>
      <w:r>
        <w:t xml:space="preserve">now </w:t>
      </w:r>
      <w:r w:rsidR="00E2788B">
        <w:t xml:space="preserve">independently </w:t>
      </w:r>
      <w:r>
        <w:t xml:space="preserve">seeks a waiver </w:t>
      </w:r>
      <w:r w:rsidR="00793C45">
        <w:t>so that it may submit an untimely application to</w:t>
      </w:r>
      <w:r w:rsidR="00A04245">
        <w:t xml:space="preserve"> participate</w:t>
      </w:r>
      <w:r>
        <w:t xml:space="preserve"> in Auction </w:t>
      </w:r>
      <w:r w:rsidR="008F6234">
        <w:t>904</w:t>
      </w:r>
      <w:r w:rsidR="00AD537E">
        <w:t xml:space="preserve"> and join the auction process</w:t>
      </w:r>
      <w:r>
        <w:t xml:space="preserve">.  For the reasons set forth below, we deny </w:t>
      </w:r>
      <w:r w:rsidR="008F6234">
        <w:t>each</w:t>
      </w:r>
      <w:r>
        <w:t xml:space="preserve"> request for waiver.</w:t>
      </w:r>
    </w:p>
    <w:p w:rsidR="00961EAA" w:rsidP="00961EAA" w14:paraId="555F8C53" w14:textId="77777777">
      <w:pPr>
        <w:pStyle w:val="Heading1"/>
        <w:widowControl/>
        <w:rPr>
          <w:b w:val="0"/>
          <w:szCs w:val="22"/>
        </w:rPr>
      </w:pPr>
      <w:r>
        <w:t>BACKGROUND</w:t>
      </w:r>
      <w:r>
        <w:rPr>
          <w:b w:val="0"/>
          <w:szCs w:val="22"/>
        </w:rPr>
        <w:t xml:space="preserve"> </w:t>
      </w:r>
    </w:p>
    <w:p w:rsidR="00DB090B" w:rsidP="00961EAA" w14:paraId="7BF2F009" w14:textId="54FED922">
      <w:pPr>
        <w:pStyle w:val="ParaNum"/>
        <w:widowControl/>
        <w:numPr>
          <w:ilvl w:val="0"/>
          <w:numId w:val="2"/>
        </w:numPr>
        <w:tabs>
          <w:tab w:val="clear" w:pos="1080"/>
          <w:tab w:val="num" w:pos="1440"/>
        </w:tabs>
      </w:pPr>
      <w:r>
        <w:t>The</w:t>
      </w:r>
      <w:r w:rsidR="00260BE0">
        <w:t xml:space="preserve"> </w:t>
      </w:r>
      <w:r w:rsidR="00BD2B70">
        <w:t xml:space="preserve">Commission’s competitive bidding rules provide that a party seeking to participate in an auction for universal service support such as Auction 904 must provide specified information </w:t>
      </w:r>
      <w:r w:rsidR="00C728EC">
        <w:t>according to procedures</w:t>
      </w:r>
      <w:r w:rsidR="00BD2B70">
        <w:t xml:space="preserve"> announced by public notice.</w:t>
      </w:r>
      <w:r>
        <w:rPr>
          <w:rStyle w:val="FootnoteReference"/>
        </w:rPr>
        <w:footnoteReference w:id="3"/>
      </w:r>
      <w:r w:rsidR="00BD2B70">
        <w:t xml:space="preserve">  Those rules expressly state that “no untimely applications shall be reviewed or considered.”</w:t>
      </w:r>
      <w:r>
        <w:rPr>
          <w:rStyle w:val="FootnoteReference"/>
        </w:rPr>
        <w:footnoteReference w:id="4"/>
      </w:r>
      <w:r w:rsidR="00441F3A">
        <w:t xml:space="preserve">  The rules further underscore that </w:t>
      </w:r>
      <w:r w:rsidR="0043463F">
        <w:t xml:space="preserve">an </w:t>
      </w:r>
      <w:r w:rsidR="00441F3A">
        <w:t>“applicant will not be permitted to participate in competitive bidding if the application . . . does not include all required certifications, as of the deadline for submitting applications.”</w:t>
      </w:r>
      <w:r>
        <w:rPr>
          <w:rStyle w:val="FootnoteReference"/>
        </w:rPr>
        <w:footnoteReference w:id="5"/>
      </w:r>
    </w:p>
    <w:p w:rsidR="00961EAA" w:rsidP="002E4DFE" w14:paraId="4D971C66" w14:textId="53107D1E">
      <w:pPr>
        <w:pStyle w:val="ParaNum"/>
        <w:widowControl/>
        <w:numPr>
          <w:ilvl w:val="0"/>
          <w:numId w:val="2"/>
        </w:numPr>
        <w:tabs>
          <w:tab w:val="clear" w:pos="1080"/>
          <w:tab w:val="num" w:pos="1440"/>
        </w:tabs>
      </w:pPr>
      <w:r>
        <w:t xml:space="preserve">On </w:t>
      </w:r>
      <w:r w:rsidR="00563256">
        <w:t xml:space="preserve">June </w:t>
      </w:r>
      <w:r w:rsidR="00694C77">
        <w:t>11</w:t>
      </w:r>
      <w:r w:rsidR="00260BE0">
        <w:t>, 20</w:t>
      </w:r>
      <w:r w:rsidR="001F17DD">
        <w:t>20,</w:t>
      </w:r>
      <w:r w:rsidR="00260BE0">
        <w:t xml:space="preserve"> the Commission </w:t>
      </w:r>
      <w:r w:rsidR="00694C77">
        <w:t>released a Public Notice establishing</w:t>
      </w:r>
      <w:r w:rsidR="00260BE0">
        <w:t xml:space="preserve"> application and bidding procedures for the </w:t>
      </w:r>
      <w:r w:rsidR="00903074">
        <w:t>Rural Digi</w:t>
      </w:r>
      <w:r w:rsidR="00E10260">
        <w:t xml:space="preserve">tal Opportunity Fund Phase </w:t>
      </w:r>
      <w:r w:rsidR="008043DB">
        <w:t>I</w:t>
      </w:r>
      <w:r w:rsidR="00E10260">
        <w:t xml:space="preserve"> </w:t>
      </w:r>
      <w:r w:rsidR="007F4B92">
        <w:t>A</w:t>
      </w:r>
      <w:r w:rsidR="00E10260">
        <w:t xml:space="preserve">uction </w:t>
      </w:r>
      <w:r w:rsidR="00260BE0">
        <w:t xml:space="preserve">(Auction </w:t>
      </w:r>
      <w:r w:rsidR="001F17DD">
        <w:t>904</w:t>
      </w:r>
      <w:r w:rsidR="00260BE0">
        <w:t>).</w:t>
      </w:r>
      <w:r>
        <w:rPr>
          <w:rStyle w:val="FootnoteReference"/>
        </w:rPr>
        <w:footnoteReference w:id="6"/>
      </w:r>
      <w:r w:rsidR="00260BE0">
        <w:t xml:space="preserve">  The Commission announced that the window for electronically filing </w:t>
      </w:r>
      <w:r w:rsidR="00D271E2">
        <w:t xml:space="preserve">the required </w:t>
      </w:r>
      <w:r w:rsidR="00260BE0">
        <w:t xml:space="preserve">short-form application to participate in Auction </w:t>
      </w:r>
      <w:r w:rsidR="001F17DD">
        <w:t>904</w:t>
      </w:r>
      <w:r w:rsidR="00705A6B">
        <w:t xml:space="preserve"> </w:t>
      </w:r>
      <w:r w:rsidR="000B20EE">
        <w:t xml:space="preserve">(FCC Form 183) </w:t>
      </w:r>
      <w:r w:rsidR="00260BE0">
        <w:t xml:space="preserve">would open </w:t>
      </w:r>
      <w:r w:rsidR="00174639">
        <w:t xml:space="preserve">three weeks later </w:t>
      </w:r>
      <w:r w:rsidR="00260BE0">
        <w:t xml:space="preserve">at 12:00 </w:t>
      </w:r>
      <w:r w:rsidR="00043CE3">
        <w:t>noon</w:t>
      </w:r>
      <w:r w:rsidR="00260BE0">
        <w:t xml:space="preserve"> Eastern </w:t>
      </w:r>
      <w:r w:rsidR="00043CE3">
        <w:t xml:space="preserve">Daylight </w:t>
      </w:r>
      <w:r w:rsidR="00260BE0">
        <w:t>Time (</w:t>
      </w:r>
      <w:r w:rsidR="00211D33">
        <w:t>EDT)</w:t>
      </w:r>
      <w:r w:rsidR="00260BE0">
        <w:t xml:space="preserve"> on </w:t>
      </w:r>
      <w:r w:rsidR="001F17DD">
        <w:t xml:space="preserve">July </w:t>
      </w:r>
      <w:r w:rsidR="00211D33">
        <w:t>1</w:t>
      </w:r>
      <w:r w:rsidR="00260BE0">
        <w:t>, 2</w:t>
      </w:r>
      <w:r w:rsidR="001F17DD">
        <w:t>020</w:t>
      </w:r>
      <w:r w:rsidR="00F54EC0">
        <w:t>,</w:t>
      </w:r>
      <w:r w:rsidR="00260BE0">
        <w:t xml:space="preserve"> and close at 6:00 p.m. E</w:t>
      </w:r>
      <w:r w:rsidR="00043CE3">
        <w:t>D</w:t>
      </w:r>
      <w:r w:rsidR="00260BE0">
        <w:t xml:space="preserve">T on </w:t>
      </w:r>
      <w:r w:rsidR="001F17DD">
        <w:t>July 15</w:t>
      </w:r>
      <w:r w:rsidR="00260BE0">
        <w:t>, 20</w:t>
      </w:r>
      <w:r w:rsidR="001F17DD">
        <w:t>20</w:t>
      </w:r>
      <w:r w:rsidR="00260BE0">
        <w:t>.</w:t>
      </w:r>
      <w:r>
        <w:rPr>
          <w:rStyle w:val="FootnoteReference"/>
        </w:rPr>
        <w:footnoteReference w:id="7"/>
      </w:r>
      <w:r w:rsidR="006B2815">
        <w:t xml:space="preserve">  Th</w:t>
      </w:r>
      <w:r w:rsidR="004061E1">
        <w:t xml:space="preserve">e </w:t>
      </w:r>
      <w:r w:rsidR="00BD68C6">
        <w:rPr>
          <w:i/>
          <w:iCs/>
        </w:rPr>
        <w:t>Auction 904 Procedures Public Notice</w:t>
      </w:r>
      <w:r w:rsidR="00BD68C6">
        <w:t xml:space="preserve"> </w:t>
      </w:r>
      <w:r w:rsidR="004256C8">
        <w:t xml:space="preserve">announced </w:t>
      </w:r>
      <w:r w:rsidR="00E514D3">
        <w:t xml:space="preserve">that </w:t>
      </w:r>
      <w:r w:rsidR="000B762E">
        <w:t xml:space="preserve">bidding in the auction </w:t>
      </w:r>
      <w:r w:rsidR="00E514D3">
        <w:t xml:space="preserve">will begin </w:t>
      </w:r>
      <w:r w:rsidR="00493804">
        <w:t>o</w:t>
      </w:r>
      <w:r w:rsidR="002B0262">
        <w:t xml:space="preserve">n </w:t>
      </w:r>
      <w:r w:rsidR="000B762E">
        <w:t xml:space="preserve">October </w:t>
      </w:r>
      <w:r w:rsidR="00493804">
        <w:t>29</w:t>
      </w:r>
      <w:r w:rsidR="009F6891">
        <w:t xml:space="preserve">, </w:t>
      </w:r>
      <w:r w:rsidR="000B762E">
        <w:t>2020.</w:t>
      </w:r>
      <w:r>
        <w:rPr>
          <w:rStyle w:val="FootnoteReference"/>
        </w:rPr>
        <w:footnoteReference w:id="8"/>
      </w:r>
    </w:p>
    <w:p w:rsidR="00804B59" w:rsidP="001176B9" w14:paraId="40725ECC" w14:textId="40AC7BC6">
      <w:pPr>
        <w:pStyle w:val="ParaNum"/>
        <w:widowControl/>
        <w:numPr>
          <w:ilvl w:val="0"/>
          <w:numId w:val="2"/>
        </w:numPr>
        <w:tabs>
          <w:tab w:val="clear" w:pos="1080"/>
          <w:tab w:val="num" w:pos="1440"/>
        </w:tabs>
      </w:pPr>
      <w:r>
        <w:t xml:space="preserve">In addition to announcing </w:t>
      </w:r>
      <w:r w:rsidR="00D27DB9">
        <w:t xml:space="preserve">important dates and deadlines for </w:t>
      </w:r>
      <w:r w:rsidR="005D379F">
        <w:t>the auction</w:t>
      </w:r>
      <w:r>
        <w:t xml:space="preserve">, the </w:t>
      </w:r>
      <w:r w:rsidR="005B3D58">
        <w:rPr>
          <w:i/>
          <w:iCs/>
        </w:rPr>
        <w:t>Auctions 904 Procedures Public Notice</w:t>
      </w:r>
      <w:r w:rsidR="005B3D58">
        <w:t xml:space="preserve"> </w:t>
      </w:r>
      <w:r w:rsidR="00911E8C">
        <w:t>called attention to</w:t>
      </w:r>
      <w:r w:rsidR="00CD007D">
        <w:t xml:space="preserve"> </w:t>
      </w:r>
      <w:r>
        <w:t xml:space="preserve">the </w:t>
      </w:r>
      <w:r w:rsidR="00EA12DF">
        <w:t xml:space="preserve">relevant </w:t>
      </w:r>
      <w:r w:rsidR="00992D93">
        <w:t>rules</w:t>
      </w:r>
      <w:r w:rsidR="003F0D39">
        <w:t xml:space="preserve">, </w:t>
      </w:r>
      <w:r w:rsidR="00EA12DF">
        <w:t>cautioning</w:t>
      </w:r>
      <w:r w:rsidR="003F0D39">
        <w:t xml:space="preserve"> that “[l]ate applications will not be accepted” and </w:t>
      </w:r>
      <w:r w:rsidR="00044772">
        <w:t>that “</w:t>
      </w:r>
      <w:r w:rsidR="009E4F30">
        <w:t>[a]</w:t>
      </w:r>
      <w:r w:rsidR="009E4F30">
        <w:t>pplicants</w:t>
      </w:r>
      <w:r w:rsidR="009E4F30">
        <w:t xml:space="preserve"> are strongly encouraged to file early and in advance of the deadline.  Applicants are responsible for allowing adequate time for filing their applications</w:t>
      </w:r>
      <w:r w:rsidR="009E4F30">
        <w:t xml:space="preserve">. </w:t>
      </w:r>
      <w:r w:rsidR="00D61BEB">
        <w:t>. . .</w:t>
      </w:r>
      <w:r w:rsidR="00D61BEB">
        <w:t xml:space="preserve"> </w:t>
      </w:r>
      <w:r w:rsidR="00E246FE">
        <w:t xml:space="preserve"> </w:t>
      </w:r>
      <w:r w:rsidR="00D61BEB">
        <w:t xml:space="preserve">An applicant must always click on the CERTIFY &amp; SUBMIT button on the </w:t>
      </w:r>
      <w:r w:rsidR="00843900">
        <w:t>‘</w:t>
      </w:r>
      <w:r w:rsidR="00D61BEB">
        <w:t>Certify &amp; Submit</w:t>
      </w:r>
      <w:r w:rsidR="00843900">
        <w:t>’</w:t>
      </w:r>
      <w:r w:rsidR="00D61BEB">
        <w:t xml:space="preserve"> screen to successfully submit its FCC Form 183 and any </w:t>
      </w:r>
      <w:r w:rsidR="00643ED7">
        <w:t>modifications; otherwise, the application or changes to the application will not be received or reviewed by Commission staff.”</w:t>
      </w:r>
      <w:r>
        <w:rPr>
          <w:rStyle w:val="FootnoteReference"/>
        </w:rPr>
        <w:footnoteReference w:id="9"/>
      </w:r>
      <w:r w:rsidR="00643ED7">
        <w:t xml:space="preserve">  </w:t>
      </w:r>
      <w:r w:rsidR="003E30A5">
        <w:t>T</w:t>
      </w:r>
      <w:r w:rsidR="00F0545F">
        <w:t>he</w:t>
      </w:r>
      <w:r w:rsidR="00D03B7C">
        <w:t xml:space="preserve"> </w:t>
      </w:r>
      <w:r w:rsidR="00D03B7C">
        <w:rPr>
          <w:i/>
          <w:iCs/>
        </w:rPr>
        <w:t xml:space="preserve">Auction 904 Procedures Public </w:t>
      </w:r>
      <w:r w:rsidR="003E30A5">
        <w:rPr>
          <w:i/>
          <w:iCs/>
        </w:rPr>
        <w:t>Notice</w:t>
      </w:r>
      <w:r w:rsidR="003E30A5">
        <w:t xml:space="preserve"> provided</w:t>
      </w:r>
      <w:r w:rsidR="00D03B7C">
        <w:t xml:space="preserve"> contact information </w:t>
      </w:r>
      <w:r w:rsidR="00F0545F">
        <w:t>for applicants requiring technical assistance</w:t>
      </w:r>
      <w:r w:rsidR="003E30A5">
        <w:t xml:space="preserve"> in the same paragraph that provided this </w:t>
      </w:r>
      <w:r w:rsidR="00934125">
        <w:t xml:space="preserve">strong </w:t>
      </w:r>
      <w:r w:rsidR="003E30A5">
        <w:t>encouragement</w:t>
      </w:r>
      <w:r w:rsidR="00F0545F">
        <w:t>.</w:t>
      </w:r>
      <w:r w:rsidR="001176B9">
        <w:t xml:space="preserve">  </w:t>
      </w:r>
      <w:r w:rsidR="00857F62">
        <w:t xml:space="preserve">The </w:t>
      </w:r>
      <w:r w:rsidR="003E30A5">
        <w:t xml:space="preserve">separate </w:t>
      </w:r>
      <w:r w:rsidR="007C695A">
        <w:t>i</w:t>
      </w:r>
      <w:r w:rsidR="00857F62">
        <w:t xml:space="preserve">nstructions for completing </w:t>
      </w:r>
      <w:r w:rsidR="003C109B">
        <w:t xml:space="preserve">the </w:t>
      </w:r>
      <w:r w:rsidR="00D657D0">
        <w:t xml:space="preserve">Auction 904 </w:t>
      </w:r>
      <w:r w:rsidR="003C109B">
        <w:t>short-form application</w:t>
      </w:r>
      <w:r w:rsidR="00857F62">
        <w:t xml:space="preserve"> </w:t>
      </w:r>
      <w:r w:rsidR="001176B9">
        <w:t>likewise</w:t>
      </w:r>
      <w:r w:rsidR="00857F62">
        <w:t xml:space="preserve"> emphasized the significance of the deadline</w:t>
      </w:r>
      <w:r w:rsidR="00561E00">
        <w:t xml:space="preserve">, noting in the second paragraph </w:t>
      </w:r>
      <w:r w:rsidR="00D657D0">
        <w:t xml:space="preserve">that </w:t>
      </w:r>
      <w:r w:rsidR="00561E00">
        <w:t>“</w:t>
      </w:r>
      <w:r w:rsidRPr="001176B9" w:rsidR="00561E00">
        <w:rPr>
          <w:b/>
          <w:bCs/>
          <w:u w:val="single"/>
        </w:rPr>
        <w:t>Applications must be submitted and confirmed prior to 6:00 p</w:t>
      </w:r>
      <w:r w:rsidR="00F74C0F">
        <w:rPr>
          <w:b/>
          <w:bCs/>
          <w:u w:val="single"/>
        </w:rPr>
        <w:t>.</w:t>
      </w:r>
      <w:r w:rsidRPr="001176B9" w:rsidR="00561E00">
        <w:rPr>
          <w:b/>
          <w:bCs/>
          <w:u w:val="single"/>
        </w:rPr>
        <w:t>m</w:t>
      </w:r>
      <w:r w:rsidR="00F74C0F">
        <w:rPr>
          <w:b/>
          <w:bCs/>
          <w:u w:val="single"/>
        </w:rPr>
        <w:t>.</w:t>
      </w:r>
      <w:r w:rsidRPr="001176B9" w:rsidR="00561E00">
        <w:rPr>
          <w:b/>
          <w:bCs/>
          <w:u w:val="single"/>
        </w:rPr>
        <w:t xml:space="preserve"> EDT on July 15, 2020</w:t>
      </w:r>
      <w:r w:rsidRPr="001176B9" w:rsidR="00561E00">
        <w:rPr>
          <w:b/>
          <w:bCs/>
          <w:u w:val="single"/>
        </w:rPr>
        <w:t>.</w:t>
      </w:r>
      <w:r w:rsidR="00561E00">
        <w:t xml:space="preserve"> . . .</w:t>
      </w:r>
      <w:r w:rsidR="00561E00">
        <w:t xml:space="preserve"> </w:t>
      </w:r>
      <w:r w:rsidR="00FE050F">
        <w:t xml:space="preserve">Late applications or unconfirmed submissions will </w:t>
      </w:r>
      <w:r w:rsidRPr="001176B9" w:rsidR="00FE050F">
        <w:rPr>
          <w:b/>
          <w:bCs/>
          <w:u w:val="single"/>
        </w:rPr>
        <w:t>not</w:t>
      </w:r>
      <w:r w:rsidR="00FE050F">
        <w:t xml:space="preserve"> be accepted.”</w:t>
      </w:r>
      <w:r>
        <w:rPr>
          <w:rStyle w:val="FootnoteReference"/>
        </w:rPr>
        <w:footnoteReference w:id="10"/>
      </w:r>
    </w:p>
    <w:p w:rsidR="00DB5752" w:rsidP="00DB5752" w14:paraId="63CB27F4" w14:textId="7A676556">
      <w:pPr>
        <w:pStyle w:val="ParaNum"/>
        <w:widowControl/>
        <w:numPr>
          <w:ilvl w:val="0"/>
          <w:numId w:val="2"/>
        </w:numPr>
        <w:tabs>
          <w:tab w:val="clear" w:pos="1080"/>
          <w:tab w:val="num" w:pos="1440"/>
        </w:tabs>
      </w:pPr>
      <w:r>
        <w:t xml:space="preserve">The </w:t>
      </w:r>
      <w:r w:rsidRPr="00CE204C">
        <w:rPr>
          <w:i/>
          <w:iCs/>
        </w:rPr>
        <w:t>Auction 904 Procedures Public Notice</w:t>
      </w:r>
      <w:r>
        <w:t xml:space="preserve"> also explained that </w:t>
      </w:r>
      <w:r w:rsidR="00095251">
        <w:t xml:space="preserve">applicants </w:t>
      </w:r>
      <w:r w:rsidR="00C218F2">
        <w:t>are responsible for providing more information in the</w:t>
      </w:r>
      <w:r w:rsidR="003C109B">
        <w:t xml:space="preserve"> short-form application </w:t>
      </w:r>
      <w:r w:rsidR="008D1BF7">
        <w:t>than</w:t>
      </w:r>
      <w:r w:rsidR="003C109B">
        <w:t xml:space="preserve"> </w:t>
      </w:r>
      <w:r w:rsidR="001176B9">
        <w:t>a statement of</w:t>
      </w:r>
      <w:r w:rsidR="003C109B">
        <w:t xml:space="preserve"> in</w:t>
      </w:r>
      <w:r w:rsidR="00823BD1">
        <w:t xml:space="preserve">terest or intent </w:t>
      </w:r>
      <w:r w:rsidR="006915A4">
        <w:t xml:space="preserve">to participate.  </w:t>
      </w:r>
      <w:r w:rsidR="008043DB">
        <w:t>Specifically, the Public Notice stated,</w:t>
      </w:r>
      <w:r w:rsidR="006915A4">
        <w:t>“</w:t>
      </w:r>
      <w:r w:rsidR="008043DB">
        <w:t>[</w:t>
      </w:r>
      <w:r w:rsidR="00EF0C5F">
        <w:t>a</w:t>
      </w:r>
      <w:r w:rsidR="008043DB">
        <w:t>]</w:t>
      </w:r>
      <w:r w:rsidR="006915A4">
        <w:t>mong</w:t>
      </w:r>
      <w:r w:rsidR="006915A4">
        <w:t xml:space="preserve"> other things, an </w:t>
      </w:r>
      <w:r w:rsidRPr="00385714" w:rsidR="006915A4">
        <w:t>applicant</w:t>
      </w:r>
      <w:r w:rsidR="006915A4">
        <w:t xml:space="preserve"> must </w:t>
      </w:r>
      <w:r w:rsidRPr="009D446F" w:rsidR="006915A4">
        <w:t xml:space="preserve">submit </w:t>
      </w:r>
      <w:r w:rsidR="006915A4">
        <w:t>operational and financial information</w:t>
      </w:r>
      <w:r w:rsidRPr="009D446F" w:rsidR="006915A4">
        <w:t xml:space="preserve"> </w:t>
      </w:r>
      <w:r w:rsidR="006915A4">
        <w:t>demonstrating that it</w:t>
      </w:r>
      <w:r w:rsidRPr="009D446F" w:rsidR="006915A4">
        <w:t xml:space="preserve"> can meet the </w:t>
      </w:r>
      <w:r w:rsidR="006915A4">
        <w:t>public interest obligations</w:t>
      </w:r>
      <w:r w:rsidRPr="009D446F" w:rsidR="006915A4">
        <w:t xml:space="preserve"> associated with the </w:t>
      </w:r>
      <w:r w:rsidR="00823BD1">
        <w:t xml:space="preserve">[service] </w:t>
      </w:r>
      <w:r w:rsidRPr="009D446F" w:rsidR="006915A4">
        <w:t xml:space="preserve">performance </w:t>
      </w:r>
      <w:r w:rsidR="006915A4">
        <w:t>tier and latency combination(s) for</w:t>
      </w:r>
      <w:r w:rsidRPr="009D446F" w:rsidR="006915A4">
        <w:t xml:space="preserve"> which </w:t>
      </w:r>
      <w:r w:rsidR="006915A4">
        <w:t>it</w:t>
      </w:r>
      <w:r w:rsidRPr="009D446F" w:rsidR="006915A4">
        <w:t xml:space="preserve"> intend</w:t>
      </w:r>
      <w:r w:rsidR="006915A4">
        <w:t>s</w:t>
      </w:r>
      <w:r w:rsidRPr="009D446F" w:rsidR="006915A4">
        <w:t xml:space="preserve"> to bid</w:t>
      </w:r>
      <w:r w:rsidR="006915A4">
        <w:t>.</w:t>
      </w:r>
      <w:r w:rsidR="00B13024">
        <w:t>”</w:t>
      </w:r>
      <w:r>
        <w:rPr>
          <w:rStyle w:val="FootnoteReference"/>
        </w:rPr>
        <w:footnoteReference w:id="11"/>
      </w:r>
      <w:r w:rsidR="0040577F">
        <w:t xml:space="preserve"> </w:t>
      </w:r>
      <w:r w:rsidR="002C7AEF">
        <w:t xml:space="preserve"> </w:t>
      </w:r>
      <w:r w:rsidR="002A3AAA">
        <w:t>Moreover, “[a]n</w:t>
      </w:r>
      <w:r w:rsidR="00B13024">
        <w:t xml:space="preserve"> applicant bears full responsibility for submitting an accurate, complete</w:t>
      </w:r>
      <w:r w:rsidR="006C3AE5">
        <w:t>, and timely short-form application.”</w:t>
      </w:r>
      <w:r w:rsidR="006915A4">
        <w:t xml:space="preserve">  </w:t>
      </w:r>
      <w:r w:rsidR="00CE1E2C">
        <w:t xml:space="preserve">The </w:t>
      </w:r>
      <w:r w:rsidR="007A24D1">
        <w:t xml:space="preserve">Public Notice </w:t>
      </w:r>
      <w:r w:rsidR="00976684">
        <w:t xml:space="preserve">referred </w:t>
      </w:r>
      <w:r w:rsidR="00BD75E0">
        <w:t xml:space="preserve">applicants </w:t>
      </w:r>
      <w:r w:rsidR="00313DD9">
        <w:t xml:space="preserve">to </w:t>
      </w:r>
      <w:r w:rsidR="00BD75E0">
        <w:t xml:space="preserve">various </w:t>
      </w:r>
      <w:r w:rsidR="00EB5D20">
        <w:t>resources</w:t>
      </w:r>
      <w:r w:rsidR="00BD75E0">
        <w:t xml:space="preserve"> to </w:t>
      </w:r>
      <w:r w:rsidR="001C0CD1">
        <w:t>assist</w:t>
      </w:r>
      <w:r w:rsidR="00CD54F5">
        <w:t xml:space="preserve"> </w:t>
      </w:r>
      <w:r w:rsidR="002411B2">
        <w:t>with questions about how to meet this responsibility</w:t>
      </w:r>
      <w:r w:rsidR="008043DB">
        <w:t>, affirmatively noting that,</w:t>
      </w:r>
      <w:r w:rsidR="00F03C18">
        <w:t xml:space="preserve"> “</w:t>
      </w:r>
      <w:r w:rsidR="008043DB">
        <w:t>i</w:t>
      </w:r>
      <w:r w:rsidRPr="00F03C18" w:rsidR="00F03C18">
        <w:t xml:space="preserve">f the applicant needs additional information or guidance concerning the </w:t>
      </w:r>
      <w:r w:rsidR="00BD0365">
        <w:t>[described]</w:t>
      </w:r>
      <w:r w:rsidRPr="00F03C18" w:rsidR="00F03C18">
        <w:t xml:space="preserve"> disclosure requirements, the applicant should review the educational materials for Auction 904 and/or use the contact information provided in this Public Notice to consult with Commission staff well in advance of the application deadline.</w:t>
      </w:r>
      <w:r w:rsidR="00F03C18">
        <w:t>”</w:t>
      </w:r>
      <w:r>
        <w:rPr>
          <w:rStyle w:val="FootnoteReference"/>
        </w:rPr>
        <w:footnoteReference w:id="12"/>
      </w:r>
      <w:r w:rsidR="00F03C18">
        <w:t xml:space="preserve">  </w:t>
      </w:r>
      <w:r w:rsidR="00890EA2">
        <w:t xml:space="preserve">A significant component of a completed application is an applicant’s certification of the information submitted.  </w:t>
      </w:r>
      <w:r>
        <w:t>Accordingly:</w:t>
      </w:r>
    </w:p>
    <w:p w:rsidR="000B391A" w:rsidRPr="000B391A" w:rsidP="00BF19C6" w14:paraId="6E3CF79C" w14:textId="51DFEEAF">
      <w:pPr>
        <w:pStyle w:val="ParaNum"/>
        <w:widowControl/>
        <w:numPr>
          <w:ilvl w:val="0"/>
          <w:numId w:val="0"/>
        </w:numPr>
        <w:ind w:left="720" w:right="720"/>
      </w:pPr>
      <w:r w:rsidRPr="000B391A">
        <w:t>Each applicant must make a series of certifications under penalty of perjury on its FCC Form 183 related to the information provided in its application and its participation in the auction, and each applicant must confirm that it is legally, technically, financially, and otherwise qualified to receive Rural Digital Opportunity Fund support.   If an Auction 904 applicant fails to make the required certifications in its FCC Form 183 by the filing deadline, its application will be deemed unacceptable for filing and cannot be corrected after the filing deadline.</w:t>
      </w:r>
      <w:r>
        <w:rPr>
          <w:rStyle w:val="FootnoteReference"/>
        </w:rPr>
        <w:footnoteReference w:id="13"/>
      </w:r>
    </w:p>
    <w:p w:rsidR="006433AC" w:rsidP="00DC6C7B" w14:paraId="46C32AB8" w14:textId="3B71C85A">
      <w:pPr>
        <w:pStyle w:val="ParaNum"/>
        <w:widowControl/>
        <w:numPr>
          <w:ilvl w:val="0"/>
          <w:numId w:val="2"/>
        </w:numPr>
        <w:tabs>
          <w:tab w:val="clear" w:pos="1080"/>
          <w:tab w:val="num" w:pos="1440"/>
        </w:tabs>
      </w:pPr>
      <w:r>
        <w:t xml:space="preserve">Once applications are filed, the Commission </w:t>
      </w:r>
      <w:r w:rsidR="00D67E6C">
        <w:t xml:space="preserve">proceeds </w:t>
      </w:r>
      <w:r>
        <w:t xml:space="preserve">to review and assess the submitted </w:t>
      </w:r>
      <w:r w:rsidR="007B0FF0">
        <w:t>information</w:t>
      </w:r>
      <w:r w:rsidR="001521E5">
        <w:t xml:space="preserve"> to maintain the announced auction timeline</w:t>
      </w:r>
      <w:r>
        <w:t>.</w:t>
      </w:r>
      <w:r w:rsidR="004B6892">
        <w:t xml:space="preserve">  </w:t>
      </w:r>
      <w:r w:rsidR="007B0FF0">
        <w:t xml:space="preserve">As explained in the </w:t>
      </w:r>
      <w:r w:rsidR="007B0FF0">
        <w:rPr>
          <w:i/>
          <w:iCs/>
        </w:rPr>
        <w:t>Auction 904 Procedures Public Notice</w:t>
      </w:r>
      <w:r w:rsidR="007B0FF0">
        <w:t xml:space="preserve">, </w:t>
      </w:r>
      <w:r w:rsidR="004B6892">
        <w:t>“</w:t>
      </w:r>
      <w:r w:rsidR="007B0FF0">
        <w:t>[a]</w:t>
      </w:r>
      <w:r w:rsidR="004B6892">
        <w:t>fter</w:t>
      </w:r>
      <w:r w:rsidR="004B6892">
        <w:t xml:space="preserve"> the deadline for filing auction applications, the Commission will process all timely submitted applications to determine whether each applicant has complied with the applications requiremen</w:t>
      </w:r>
      <w:r w:rsidR="00F61337">
        <w:t>t and provided all information concerning its qualifications for bidding, and subsequently will issue a public notice with applicants’ initial application status[.]”</w:t>
      </w:r>
      <w:r>
        <w:rPr>
          <w:rStyle w:val="FootnoteReference"/>
        </w:rPr>
        <w:footnoteReference w:id="14"/>
      </w:r>
    </w:p>
    <w:p w:rsidR="00961EAA" w:rsidP="00961EAA" w14:paraId="39296380" w14:textId="21F0D12F">
      <w:pPr>
        <w:pStyle w:val="ParaNum"/>
        <w:widowControl/>
        <w:numPr>
          <w:ilvl w:val="0"/>
          <w:numId w:val="2"/>
        </w:numPr>
        <w:tabs>
          <w:tab w:val="clear" w:pos="1080"/>
          <w:tab w:val="num" w:pos="1440"/>
        </w:tabs>
      </w:pPr>
      <w:r>
        <w:t>Each of the Petitioners failed to</w:t>
      </w:r>
      <w:r w:rsidR="00260BE0">
        <w:t xml:space="preserve"> submit</w:t>
      </w:r>
      <w:r>
        <w:t xml:space="preserve"> a</w:t>
      </w:r>
      <w:r w:rsidR="00260BE0">
        <w:t xml:space="preserve"> short-form application to participate in Auction </w:t>
      </w:r>
      <w:r>
        <w:t>904</w:t>
      </w:r>
      <w:r w:rsidR="00260BE0">
        <w:t xml:space="preserve"> prior to the </w:t>
      </w:r>
      <w:r w:rsidR="00580C4F">
        <w:t>6:00 p</w:t>
      </w:r>
      <w:r w:rsidR="00F74C0F">
        <w:t>.</w:t>
      </w:r>
      <w:r w:rsidR="00580C4F">
        <w:t>m</w:t>
      </w:r>
      <w:r w:rsidR="00F74C0F">
        <w:t>.</w:t>
      </w:r>
      <w:r w:rsidR="00580C4F">
        <w:t xml:space="preserve"> EDT </w:t>
      </w:r>
      <w:r w:rsidR="00260BE0">
        <w:t xml:space="preserve">close of the window on </w:t>
      </w:r>
      <w:r>
        <w:t>July 15, 2020</w:t>
      </w:r>
      <w:r w:rsidR="00680B90">
        <w:t xml:space="preserve">, and each subsequently filed </w:t>
      </w:r>
      <w:r w:rsidR="00006BF8">
        <w:t>a request that th</w:t>
      </w:r>
      <w:r w:rsidR="00F6307D">
        <w:t>e deadline for filing be waived</w:t>
      </w:r>
      <w:r w:rsidR="00260BE0">
        <w:t>.</w:t>
      </w:r>
      <w:r>
        <w:rPr>
          <w:rStyle w:val="FootnoteReference"/>
        </w:rPr>
        <w:footnoteReference w:id="15"/>
      </w:r>
    </w:p>
    <w:p w:rsidR="00A30891" w:rsidP="00961EAA" w14:paraId="08AD6BE8" w14:textId="12997AB1">
      <w:pPr>
        <w:pStyle w:val="ParaNum"/>
        <w:widowControl/>
        <w:numPr>
          <w:ilvl w:val="0"/>
          <w:numId w:val="2"/>
        </w:numPr>
        <w:tabs>
          <w:tab w:val="clear" w:pos="1080"/>
          <w:tab w:val="num" w:pos="1440"/>
        </w:tabs>
      </w:pPr>
      <w:r>
        <w:t xml:space="preserve">On </w:t>
      </w:r>
      <w:r w:rsidR="00D71DBF">
        <w:t xml:space="preserve">July </w:t>
      </w:r>
      <w:r w:rsidR="0071753F">
        <w:t>16</w:t>
      </w:r>
      <w:r>
        <w:t>, 20</w:t>
      </w:r>
      <w:r w:rsidR="00D71DBF">
        <w:t>20</w:t>
      </w:r>
      <w:r>
        <w:t xml:space="preserve">, </w:t>
      </w:r>
      <w:r w:rsidR="0071753F">
        <w:t>Native Network</w:t>
      </w:r>
      <w:r>
        <w:t xml:space="preserve"> filed a request for a waiver of </w:t>
      </w:r>
      <w:r w:rsidR="00FF7FA2">
        <w:t>the short</w:t>
      </w:r>
      <w:r w:rsidR="00EA410C">
        <w:t>-</w:t>
      </w:r>
      <w:r w:rsidR="00FF7FA2">
        <w:t xml:space="preserve">form application </w:t>
      </w:r>
      <w:r w:rsidR="00976BEA">
        <w:t>deadline</w:t>
      </w:r>
      <w:r w:rsidR="00EE4CA6">
        <w:t xml:space="preserve">, </w:t>
      </w:r>
      <w:r>
        <w:t>assert</w:t>
      </w:r>
      <w:r w:rsidR="00EE4CA6">
        <w:t>ing</w:t>
      </w:r>
      <w:r>
        <w:t xml:space="preserve"> that </w:t>
      </w:r>
      <w:r w:rsidR="00F6307D">
        <w:t xml:space="preserve">its </w:t>
      </w:r>
      <w:r w:rsidR="00F0345F">
        <w:t>Chief Operating Officer</w:t>
      </w:r>
      <w:r w:rsidR="00F6307D">
        <w:t xml:space="preserve"> </w:t>
      </w:r>
      <w:r w:rsidR="003A2C26">
        <w:t>attempt</w:t>
      </w:r>
      <w:r w:rsidR="00A23FF6">
        <w:t>ed</w:t>
      </w:r>
      <w:r w:rsidR="003A2C26">
        <w:t xml:space="preserve"> to finish </w:t>
      </w:r>
      <w:r w:rsidR="00652A80">
        <w:t>its</w:t>
      </w:r>
      <w:r w:rsidR="003A2C26">
        <w:t xml:space="preserve"> application on July 15, 2020,</w:t>
      </w:r>
      <w:r w:rsidR="00E9782A">
        <w:t xml:space="preserve"> </w:t>
      </w:r>
      <w:r w:rsidR="00A23FF6">
        <w:t xml:space="preserve">but </w:t>
      </w:r>
      <w:r w:rsidR="00E9782A">
        <w:t>“was delayed by access and password issues and cou</w:t>
      </w:r>
      <w:r w:rsidR="00416FCC">
        <w:t>l</w:t>
      </w:r>
      <w:r w:rsidR="00E9782A">
        <w:t>d</w:t>
      </w:r>
      <w:r w:rsidR="0090132D">
        <w:t>n’</w:t>
      </w:r>
      <w:r w:rsidR="00E9782A">
        <w:t xml:space="preserve">t get logged on until 4:15 PT, </w:t>
      </w:r>
      <w:r w:rsidR="0090132D">
        <w:t>[and] therefore was unable to finish before the deadline 3:00 PT[.]”</w:t>
      </w:r>
      <w:r>
        <w:rPr>
          <w:rStyle w:val="FootnoteReference"/>
        </w:rPr>
        <w:footnoteReference w:id="16"/>
      </w:r>
      <w:r w:rsidR="00344792">
        <w:t xml:space="preserve">  Native Net</w:t>
      </w:r>
      <w:r w:rsidR="00BF4F06">
        <w:t xml:space="preserve">work </w:t>
      </w:r>
      <w:r w:rsidR="00C40A97">
        <w:t>assert</w:t>
      </w:r>
      <w:r w:rsidR="00C57936">
        <w:t>s</w:t>
      </w:r>
      <w:r w:rsidR="00C40A97">
        <w:t xml:space="preserve"> that it </w:t>
      </w:r>
      <w:r w:rsidR="0008564B">
        <w:t>“</w:t>
      </w:r>
      <w:r w:rsidR="004D2F07">
        <w:t>entered 95</w:t>
      </w:r>
      <w:r w:rsidR="00123F9F">
        <w:t xml:space="preserve">% </w:t>
      </w:r>
      <w:r w:rsidR="0008564B">
        <w:t>of the necessary data in</w:t>
      </w:r>
      <w:r w:rsidR="00123F9F">
        <w:t xml:space="preserve"> </w:t>
      </w:r>
      <w:r w:rsidR="0008564B">
        <w:t>to FCC Form 183”</w:t>
      </w:r>
      <w:r w:rsidR="00BF4F06">
        <w:t xml:space="preserve"> </w:t>
      </w:r>
      <w:r w:rsidR="00123F9F">
        <w:t xml:space="preserve">on July </w:t>
      </w:r>
      <w:r w:rsidR="006A36DE">
        <w:t>9, 2020.</w:t>
      </w:r>
      <w:r>
        <w:rPr>
          <w:rStyle w:val="FootnoteReference"/>
        </w:rPr>
        <w:footnoteReference w:id="17"/>
      </w:r>
      <w:r w:rsidR="006A36DE">
        <w:t xml:space="preserve">  </w:t>
      </w:r>
      <w:r w:rsidR="00D90B5F">
        <w:t>H</w:t>
      </w:r>
      <w:r w:rsidR="006A36DE">
        <w:t xml:space="preserve">owever, it </w:t>
      </w:r>
      <w:r w:rsidR="00D90B5F">
        <w:t xml:space="preserve">only </w:t>
      </w:r>
      <w:r w:rsidR="004475A5">
        <w:t xml:space="preserve">subsequently </w:t>
      </w:r>
      <w:r w:rsidR="00635B17">
        <w:t>attempted to add</w:t>
      </w:r>
      <w:r w:rsidR="006A36DE">
        <w:t xml:space="preserve"> </w:t>
      </w:r>
      <w:r w:rsidR="00D90B5F">
        <w:t xml:space="preserve">required </w:t>
      </w:r>
      <w:r w:rsidR="00331D08">
        <w:t>“technical information from engineering personnel</w:t>
      </w:r>
      <w:r w:rsidR="00D90B5F">
        <w:t>,</w:t>
      </w:r>
      <w:r w:rsidR="00775B09">
        <w:t>”</w:t>
      </w:r>
      <w:r w:rsidR="00D90B5F">
        <w:t xml:space="preserve"> </w:t>
      </w:r>
      <w:r w:rsidR="008009A4">
        <w:t>that was not available earlier</w:t>
      </w:r>
      <w:r w:rsidR="00966B8D">
        <w:t xml:space="preserve"> “due to state </w:t>
      </w:r>
      <w:r w:rsidR="00C972D3">
        <w:t xml:space="preserve">and national </w:t>
      </w:r>
      <w:r w:rsidR="00966B8D">
        <w:t>stay at home orders</w:t>
      </w:r>
      <w:r w:rsidR="00C972D3">
        <w:t xml:space="preserve"> associated with COVID-19 </w:t>
      </w:r>
      <w:r w:rsidR="003A2C26">
        <w:t>since early April.</w:t>
      </w:r>
      <w:r w:rsidR="00966B8D">
        <w:t>”</w:t>
      </w:r>
      <w:r>
        <w:rPr>
          <w:rStyle w:val="FootnoteReference"/>
        </w:rPr>
        <w:footnoteReference w:id="18"/>
      </w:r>
      <w:r w:rsidR="0011423A">
        <w:t xml:space="preserve">  Native Network notes that</w:t>
      </w:r>
      <w:r w:rsidR="008809AF">
        <w:t xml:space="preserve"> in recent months, </w:t>
      </w:r>
      <w:r w:rsidR="00775B09">
        <w:t xml:space="preserve">also </w:t>
      </w:r>
      <w:r w:rsidR="008809AF">
        <w:t>due to COVID-19,</w:t>
      </w:r>
      <w:r w:rsidR="0011423A">
        <w:t xml:space="preserve"> its “small organization has been working 12-14 </w:t>
      </w:r>
      <w:r w:rsidR="00E24A7F">
        <w:t xml:space="preserve">hour[] days under tight timeframes and </w:t>
      </w:r>
      <w:r w:rsidR="000F79AD">
        <w:t xml:space="preserve">limited resources to ensure </w:t>
      </w:r>
      <w:r w:rsidR="004F0591">
        <w:t>student[]s and businesspeople can learn and work from home.”</w:t>
      </w:r>
      <w:r>
        <w:rPr>
          <w:rStyle w:val="FootnoteReference"/>
        </w:rPr>
        <w:footnoteReference w:id="19"/>
      </w:r>
    </w:p>
    <w:p w:rsidR="00372A16" w:rsidP="00961EAA" w14:paraId="7F65E060" w14:textId="6C240269">
      <w:pPr>
        <w:pStyle w:val="ParaNum"/>
        <w:widowControl/>
        <w:numPr>
          <w:ilvl w:val="0"/>
          <w:numId w:val="2"/>
        </w:numPr>
        <w:tabs>
          <w:tab w:val="clear" w:pos="1080"/>
          <w:tab w:val="num" w:pos="1440"/>
        </w:tabs>
      </w:pPr>
      <w:r>
        <w:t xml:space="preserve">On July </w:t>
      </w:r>
      <w:r w:rsidR="00F72D0A">
        <w:t xml:space="preserve">19, 2020, </w:t>
      </w:r>
      <w:r w:rsidR="00F72D0A">
        <w:t>SmartSky</w:t>
      </w:r>
      <w:r w:rsidR="002C55A6">
        <w:t xml:space="preserve"> filed a request </w:t>
      </w:r>
      <w:r w:rsidR="005F0F98">
        <w:t xml:space="preserve">pursuant to </w:t>
      </w:r>
      <w:r w:rsidR="008043DB">
        <w:t>s</w:t>
      </w:r>
      <w:r w:rsidR="005F0F98">
        <w:t xml:space="preserve">ections 1.3 and 1.925 of the Commission’s rules </w:t>
      </w:r>
      <w:r w:rsidR="002C55A6">
        <w:t>for “waiver of the requirement that short-form applications be filed no later than 6:00 p</w:t>
      </w:r>
      <w:r w:rsidR="00A94CF2">
        <w:t>.</w:t>
      </w:r>
      <w:r w:rsidR="002C55A6">
        <w:t>m</w:t>
      </w:r>
      <w:r w:rsidR="00A94CF2">
        <w:t>.</w:t>
      </w:r>
      <w:r w:rsidR="002C55A6">
        <w:t xml:space="preserve"> EDT on July 15, 2020[.]”</w:t>
      </w:r>
      <w:r>
        <w:rPr>
          <w:rStyle w:val="FootnoteReference"/>
        </w:rPr>
        <w:footnoteReference w:id="20"/>
      </w:r>
      <w:r w:rsidR="00E71B63">
        <w:t xml:space="preserve">  </w:t>
      </w:r>
      <w:r w:rsidR="009D4DE8">
        <w:t>It states that, t</w:t>
      </w:r>
      <w:r w:rsidR="00E007DC">
        <w:t xml:space="preserve">hough it had uploaded </w:t>
      </w:r>
      <w:r w:rsidR="00CC27F7">
        <w:t>much of the information needed for the short-form application on July 14, 2020, a day before the deadline,</w:t>
      </w:r>
      <w:r w:rsidR="00E007DC">
        <w:t xml:space="preserve"> </w:t>
      </w:r>
      <w:r w:rsidR="003C171C">
        <w:t>“</w:t>
      </w:r>
      <w:r w:rsidR="003C171C">
        <w:t>SmartSky’s</w:t>
      </w:r>
      <w:r w:rsidR="003C171C">
        <w:t xml:space="preserve"> </w:t>
      </w:r>
      <w:r w:rsidR="00476753">
        <w:t xml:space="preserve">efforts were thwarted by a combination of technical </w:t>
      </w:r>
      <w:r w:rsidR="00333BCE">
        <w:t>impediments that, starting at 3:44 p</w:t>
      </w:r>
      <w:r w:rsidR="00B84D14">
        <w:t>.</w:t>
      </w:r>
      <w:r w:rsidR="00333BCE">
        <w:t>m</w:t>
      </w:r>
      <w:r w:rsidR="00B84D14">
        <w:t>.</w:t>
      </w:r>
      <w:r w:rsidR="00333BCE">
        <w:t xml:space="preserve"> on July 15, 2020, </w:t>
      </w:r>
      <w:r w:rsidR="006706BA">
        <w:t>and continuing through the 6:00 p</w:t>
      </w:r>
      <w:r w:rsidR="00B84D14">
        <w:t>.</w:t>
      </w:r>
      <w:r w:rsidR="006706BA">
        <w:t>m</w:t>
      </w:r>
      <w:r w:rsidR="00B84D14">
        <w:t>.</w:t>
      </w:r>
      <w:r w:rsidR="006706BA">
        <w:t xml:space="preserve"> filing deadline, prevented </w:t>
      </w:r>
      <w:r w:rsidR="006706BA">
        <w:t>SmartSky</w:t>
      </w:r>
      <w:r w:rsidR="006706BA">
        <w:t xml:space="preserve"> from completing the filing.”</w:t>
      </w:r>
      <w:r>
        <w:rPr>
          <w:rStyle w:val="FootnoteReference"/>
        </w:rPr>
        <w:footnoteReference w:id="21"/>
      </w:r>
      <w:r w:rsidR="0081221A">
        <w:t xml:space="preserve">  </w:t>
      </w:r>
      <w:r w:rsidR="00BF2DD3">
        <w:t>SmartSky</w:t>
      </w:r>
      <w:r w:rsidR="005A57D9">
        <w:t xml:space="preserve"> states that it</w:t>
      </w:r>
      <w:r w:rsidR="00BF2DD3">
        <w:t xml:space="preserve"> </w:t>
      </w:r>
      <w:r w:rsidR="00FD3F8D">
        <w:t xml:space="preserve">“does not know </w:t>
      </w:r>
      <w:r w:rsidR="00090EBC">
        <w:t>what</w:t>
      </w:r>
      <w:r w:rsidR="00FD3F8D">
        <w:t xml:space="preserve"> the reason for these technical difficulti</w:t>
      </w:r>
      <w:r w:rsidR="00090EBC">
        <w:t xml:space="preserve">es was and </w:t>
      </w:r>
      <w:r w:rsidR="001B2F6C">
        <w:t xml:space="preserve">has no reason to believe that they arose from </w:t>
      </w:r>
      <w:r w:rsidR="001B2F6C">
        <w:t>SmartSky’s</w:t>
      </w:r>
      <w:r w:rsidR="001B2F6C">
        <w:t xml:space="preserve"> system.”</w:t>
      </w:r>
      <w:r>
        <w:rPr>
          <w:rStyle w:val="FootnoteReference"/>
        </w:rPr>
        <w:footnoteReference w:id="22"/>
      </w:r>
      <w:r w:rsidR="003736BE">
        <w:t xml:space="preserve">  </w:t>
      </w:r>
      <w:r w:rsidR="00CD6616">
        <w:t xml:space="preserve">Specifically, </w:t>
      </w:r>
      <w:r w:rsidR="00CD6616">
        <w:t>SmartSky</w:t>
      </w:r>
      <w:r w:rsidR="00CD6616">
        <w:t xml:space="preserve"> asserts that </w:t>
      </w:r>
      <w:r w:rsidR="003736BE">
        <w:t>“</w:t>
      </w:r>
      <w:r w:rsidR="00CD6616">
        <w:t>[w]</w:t>
      </w:r>
      <w:r w:rsidR="003736BE">
        <w:t>ith</w:t>
      </w:r>
      <w:r w:rsidR="003736BE">
        <w:t xml:space="preserve"> approximately five minutes remaining</w:t>
      </w:r>
      <w:r w:rsidR="007E53D8">
        <w:t xml:space="preserve">, </w:t>
      </w:r>
      <w:r w:rsidR="007E53D8">
        <w:t>SmartSky</w:t>
      </w:r>
      <w:r w:rsidR="007E53D8">
        <w:t xml:space="preserve"> attempted to certify the application and submit it. . . . The system was frozen and completely unresponsive</w:t>
      </w:r>
      <w:r w:rsidR="00337251">
        <w:t>, preven</w:t>
      </w:r>
      <w:r w:rsidR="00032A29">
        <w:t>t</w:t>
      </w:r>
      <w:r w:rsidR="00337251">
        <w:t xml:space="preserve">ing </w:t>
      </w:r>
      <w:r w:rsidR="00337251">
        <w:t>SmartSky</w:t>
      </w:r>
      <w:r w:rsidR="00337251">
        <w:t xml:space="preserve"> from submitting and certifying the Form 183.”</w:t>
      </w:r>
      <w:r>
        <w:rPr>
          <w:rStyle w:val="FootnoteReference"/>
        </w:rPr>
        <w:footnoteReference w:id="23"/>
      </w:r>
    </w:p>
    <w:p w:rsidR="007E5FCB" w:rsidP="00961EAA" w14:paraId="084B66FD" w14:textId="3C7D5A19">
      <w:pPr>
        <w:pStyle w:val="ParaNum"/>
        <w:widowControl/>
        <w:numPr>
          <w:ilvl w:val="0"/>
          <w:numId w:val="2"/>
        </w:numPr>
        <w:tabs>
          <w:tab w:val="clear" w:pos="1080"/>
          <w:tab w:val="num" w:pos="1440"/>
        </w:tabs>
      </w:pPr>
      <w:r>
        <w:t>ATS</w:t>
      </w:r>
      <w:r w:rsidR="0060320E">
        <w:t xml:space="preserve"> filed a request on July 20, 2020, that the Commission find good cause pursuant to </w:t>
      </w:r>
      <w:r w:rsidR="00216DD7">
        <w:t>s</w:t>
      </w:r>
      <w:r w:rsidR="0086195D">
        <w:t xml:space="preserve">ection 1.3 of the Commission’s rules to </w:t>
      </w:r>
      <w:r w:rsidR="007A63A4">
        <w:t xml:space="preserve">waive “the Auction </w:t>
      </w:r>
      <w:r w:rsidR="00686877">
        <w:t xml:space="preserve">904 short-form </w:t>
      </w:r>
      <w:r w:rsidR="005D2526">
        <w:t xml:space="preserve">filing deadline to permit ATS to </w:t>
      </w:r>
      <w:r w:rsidR="00851A8B">
        <w:t xml:space="preserve">upload the final attachment to and </w:t>
      </w:r>
      <w:r w:rsidR="00D04930">
        <w:t>certify its short-form application.”</w:t>
      </w:r>
      <w:r>
        <w:rPr>
          <w:rStyle w:val="FootnoteReference"/>
        </w:rPr>
        <w:footnoteReference w:id="24"/>
      </w:r>
      <w:r w:rsidR="00FF0871">
        <w:t xml:space="preserve">  </w:t>
      </w:r>
      <w:r w:rsidR="00F06565">
        <w:t>ATS</w:t>
      </w:r>
      <w:r w:rsidR="00501959">
        <w:t xml:space="preserve"> states that it learned of the auction only on July 14, 2020, the day before the deadline for filing the short-form application.</w:t>
      </w:r>
      <w:r>
        <w:rPr>
          <w:rStyle w:val="FootnoteReference"/>
        </w:rPr>
        <w:footnoteReference w:id="25"/>
      </w:r>
      <w:r w:rsidR="00501959">
        <w:t xml:space="preserve">  When it then attempted to apply in the remaining time available, </w:t>
      </w:r>
      <w:r w:rsidR="00FF0871">
        <w:t xml:space="preserve">ATS </w:t>
      </w:r>
      <w:r w:rsidR="004A0A4F">
        <w:t>“encountered numerous delays uploading and scanning its attachments</w:t>
      </w:r>
      <w:r w:rsidR="005E731E">
        <w:t xml:space="preserve">.  Nevertheless, ATS </w:t>
      </w:r>
      <w:r w:rsidR="0031548E">
        <w:t xml:space="preserve">asserts that it </w:t>
      </w:r>
      <w:r w:rsidR="005E731E">
        <w:t xml:space="preserve">had completed the body of the short-form </w:t>
      </w:r>
      <w:r w:rsidR="00AE3D0F">
        <w:t xml:space="preserve">application and uploaded all but the final </w:t>
      </w:r>
      <w:r w:rsidR="007C3F01">
        <w:t xml:space="preserve">attachment </w:t>
      </w:r>
      <w:r w:rsidR="00030CE7">
        <w:t>when the FCC’s Auction Application System timed out shortly before the application deadline.”</w:t>
      </w:r>
      <w:r>
        <w:rPr>
          <w:rStyle w:val="FootnoteReference"/>
        </w:rPr>
        <w:footnoteReference w:id="26"/>
      </w:r>
      <w:r w:rsidR="00030CE7">
        <w:t xml:space="preserve">  </w:t>
      </w:r>
      <w:r w:rsidR="00282E74">
        <w:t xml:space="preserve">Though ATS </w:t>
      </w:r>
      <w:r w:rsidR="0087300C">
        <w:t xml:space="preserve">logged back in </w:t>
      </w:r>
      <w:r w:rsidR="00153C08">
        <w:t>“the application deadline struck before it could upload its [final] attachment.”</w:t>
      </w:r>
      <w:r>
        <w:rPr>
          <w:rStyle w:val="FootnoteReference"/>
        </w:rPr>
        <w:footnoteReference w:id="27"/>
      </w:r>
    </w:p>
    <w:p w:rsidR="00961EAA" w:rsidP="00961EAA" w14:paraId="03DAF54D" w14:textId="2FF656E9">
      <w:pPr>
        <w:pStyle w:val="ParaNum"/>
        <w:widowControl/>
        <w:numPr>
          <w:ilvl w:val="0"/>
          <w:numId w:val="2"/>
        </w:numPr>
        <w:tabs>
          <w:tab w:val="clear" w:pos="1080"/>
          <w:tab w:val="num" w:pos="1440"/>
        </w:tabs>
      </w:pPr>
      <w:r>
        <w:t>Elek</w:t>
      </w:r>
      <w:r w:rsidR="00621A89">
        <w:t>t</w:t>
      </w:r>
      <w:r w:rsidR="00D12B7A">
        <w:t>r</w:t>
      </w:r>
      <w:r w:rsidR="00621A89">
        <w:t>a</w:t>
      </w:r>
      <w:r w:rsidR="00D12B7A">
        <w:t>fi</w:t>
      </w:r>
      <w:r w:rsidR="006979CD">
        <w:t xml:space="preserve"> filed </w:t>
      </w:r>
      <w:r w:rsidR="00973850">
        <w:t xml:space="preserve">a request </w:t>
      </w:r>
      <w:r w:rsidR="00EE415D">
        <w:t xml:space="preserve">on July 21, 2020, </w:t>
      </w:r>
      <w:r w:rsidR="00973850">
        <w:t xml:space="preserve">for a waiver pursuant to </w:t>
      </w:r>
      <w:r w:rsidR="00216DD7">
        <w:t>s</w:t>
      </w:r>
      <w:r w:rsidR="00973850">
        <w:t>ection 1.925</w:t>
      </w:r>
      <w:r w:rsidR="007A2E21">
        <w:t xml:space="preserve"> of the Commission’s rules</w:t>
      </w:r>
      <w:r w:rsidR="009B427A">
        <w:t xml:space="preserve"> “to permit the Company to submit a Short-Form Application to participate in the Rural Digital Opportunity Fund </w:t>
      </w:r>
      <w:r w:rsidR="00AF637A">
        <w:t>(‘</w:t>
      </w:r>
      <w:r w:rsidR="009B427A">
        <w:t>RDOF</w:t>
      </w:r>
      <w:r w:rsidR="005A0A08">
        <w:t>’)</w:t>
      </w:r>
      <w:r w:rsidR="009B427A">
        <w:t xml:space="preserve"> auction after the Short-Form application deadline</w:t>
      </w:r>
      <w:r w:rsidR="006B6585">
        <w:t>.”</w:t>
      </w:r>
      <w:r>
        <w:rPr>
          <w:rStyle w:val="FootnoteReference"/>
        </w:rPr>
        <w:footnoteReference w:id="28"/>
      </w:r>
      <w:r w:rsidR="004D5061">
        <w:t xml:space="preserve">  </w:t>
      </w:r>
      <w:r w:rsidR="004D5061">
        <w:t>Elek</w:t>
      </w:r>
      <w:r w:rsidR="00621A89">
        <w:t>t</w:t>
      </w:r>
      <w:r w:rsidR="004D5061">
        <w:t>ra</w:t>
      </w:r>
      <w:r w:rsidR="00545DAF">
        <w:t>fi</w:t>
      </w:r>
      <w:r w:rsidR="00F77FED">
        <w:t xml:space="preserve"> </w:t>
      </w:r>
      <w:r w:rsidR="00BA5A87">
        <w:t>contends that it “attempted to submit the application to the Commission approximately five minutes before the 6 pm Easter</w:t>
      </w:r>
      <w:r w:rsidR="00543424">
        <w:t>n</w:t>
      </w:r>
      <w:r w:rsidR="00BA5A87">
        <w:t xml:space="preserve"> deadline on Wednesday, July 15, 2020”</w:t>
      </w:r>
      <w:r>
        <w:rPr>
          <w:rStyle w:val="FootnoteReference"/>
        </w:rPr>
        <w:footnoteReference w:id="29"/>
      </w:r>
      <w:r w:rsidR="00BA5A87">
        <w:t xml:space="preserve"> and “[t]he only reason the Short-Form application was not submitted before the deadline is because of an issue with the Commission’s auction portal.”</w:t>
      </w:r>
      <w:r>
        <w:rPr>
          <w:rStyle w:val="FootnoteReference"/>
        </w:rPr>
        <w:footnoteReference w:id="30"/>
      </w:r>
    </w:p>
    <w:p w:rsidR="002461E9" w:rsidP="00961EAA" w14:paraId="1A9D77DA" w14:textId="1A58A82D">
      <w:pPr>
        <w:pStyle w:val="ParaNum"/>
        <w:widowControl/>
        <w:numPr>
          <w:ilvl w:val="0"/>
          <w:numId w:val="2"/>
        </w:numPr>
        <w:tabs>
          <w:tab w:val="clear" w:pos="1080"/>
          <w:tab w:val="num" w:pos="1440"/>
        </w:tabs>
      </w:pPr>
      <w:r>
        <w:t xml:space="preserve">Finally, on </w:t>
      </w:r>
      <w:r w:rsidR="006673FF">
        <w:t xml:space="preserve">July 31, 2020, LMG filed </w:t>
      </w:r>
      <w:r w:rsidR="009E3D43">
        <w:t xml:space="preserve">a petition for waiver of </w:t>
      </w:r>
      <w:r w:rsidR="00DE6AFF">
        <w:t xml:space="preserve">the Commission’s prohibition on untimely applications.  </w:t>
      </w:r>
      <w:r w:rsidR="00E929CD">
        <w:t xml:space="preserve">LMG stated that </w:t>
      </w:r>
      <w:r w:rsidR="0023738E">
        <w:t>it “</w:t>
      </w:r>
      <w:r w:rsidR="00A85A47">
        <w:t>has been and still is undergoing hardships directly related to the COVID-19 pandemic.”</w:t>
      </w:r>
      <w:r>
        <w:rPr>
          <w:rStyle w:val="FootnoteReference"/>
        </w:rPr>
        <w:footnoteReference w:id="31"/>
      </w:r>
      <w:r w:rsidR="00213C3D">
        <w:t xml:space="preserve">  LMG cites to Commission actions </w:t>
      </w:r>
      <w:r w:rsidR="00C97C5B">
        <w:t xml:space="preserve">that </w:t>
      </w:r>
      <w:r w:rsidR="00213C3D">
        <w:t>allow</w:t>
      </w:r>
      <w:r w:rsidR="00C97C5B">
        <w:t xml:space="preserve">ed </w:t>
      </w:r>
      <w:r w:rsidR="00213C3D">
        <w:t xml:space="preserve">additional time to </w:t>
      </w:r>
      <w:r w:rsidR="00301726">
        <w:t xml:space="preserve">meet </w:t>
      </w:r>
      <w:r w:rsidR="00C97C5B">
        <w:t>specified</w:t>
      </w:r>
      <w:r w:rsidR="00301726">
        <w:t xml:space="preserve"> deadlines due to the pandemic.</w:t>
      </w:r>
      <w:r>
        <w:rPr>
          <w:rStyle w:val="FootnoteReference"/>
        </w:rPr>
        <w:footnoteReference w:id="32"/>
      </w:r>
      <w:r w:rsidR="00721844">
        <w:t xml:space="preserve">  According to LMG, </w:t>
      </w:r>
      <w:r w:rsidR="0003026D">
        <w:t>COVID-19 in Ohio</w:t>
      </w:r>
      <w:r w:rsidR="00E47D9D">
        <w:t xml:space="preserve"> prevent</w:t>
      </w:r>
      <w:r w:rsidR="05D2FB28">
        <w:t>ed</w:t>
      </w:r>
      <w:r w:rsidR="00E47D9D">
        <w:t xml:space="preserve"> timely filing of its application</w:t>
      </w:r>
      <w:r w:rsidR="6EEB27DC">
        <w:t xml:space="preserve"> because</w:t>
      </w:r>
      <w:r w:rsidRPr="00E8343B" w:rsidR="00C95591">
        <w:rPr>
          <w:szCs w:val="22"/>
        </w:rPr>
        <w:t xml:space="preserve"> </w:t>
      </w:r>
      <w:r w:rsidRPr="00E8343B" w:rsidR="00E8343B">
        <w:rPr>
          <w:szCs w:val="22"/>
        </w:rPr>
        <w:t xml:space="preserve">it </w:t>
      </w:r>
      <w:r w:rsidRPr="00E8343B" w:rsidR="00985A64">
        <w:rPr>
          <w:szCs w:val="22"/>
        </w:rPr>
        <w:t>“</w:t>
      </w:r>
      <w:r w:rsidRPr="00B83362" w:rsidR="00985A64">
        <w:t>created undue hardship on Company's already lean staff</w:t>
      </w:r>
      <w:r w:rsidR="00985A64">
        <w:t>.”</w:t>
      </w:r>
      <w:r>
        <w:rPr>
          <w:rStyle w:val="FootnoteReference"/>
        </w:rPr>
        <w:footnoteReference w:id="33"/>
      </w:r>
    </w:p>
    <w:p w:rsidR="00961EAA" w:rsidP="00961EAA" w14:paraId="02014F9C" w14:textId="77777777">
      <w:pPr>
        <w:pStyle w:val="Heading1"/>
        <w:widowControl/>
        <w:rPr>
          <w:b w:val="0"/>
          <w:szCs w:val="22"/>
        </w:rPr>
      </w:pPr>
      <w:r>
        <w:t>DISCUSSION</w:t>
      </w:r>
      <w:r>
        <w:rPr>
          <w:b w:val="0"/>
          <w:szCs w:val="22"/>
        </w:rPr>
        <w:t xml:space="preserve">  </w:t>
      </w:r>
    </w:p>
    <w:p w:rsidR="00961EAA" w:rsidP="00961EAA" w14:paraId="0757D5D6" w14:textId="79FF1BC1">
      <w:pPr>
        <w:pStyle w:val="NumberedList"/>
        <w:widowControl/>
        <w:ind w:firstLine="720"/>
      </w:pPr>
      <w:r>
        <w:t xml:space="preserve">The </w:t>
      </w:r>
      <w:r w:rsidR="00080E65">
        <w:t xml:space="preserve">Commission may waive its rules </w:t>
      </w:r>
      <w:r w:rsidR="00DB5C3C">
        <w:t>for</w:t>
      </w:r>
      <w:r w:rsidR="00272644">
        <w:t xml:space="preserve"> good cause.</w:t>
      </w:r>
      <w:r>
        <w:rPr>
          <w:rStyle w:val="FootnoteReference"/>
        </w:rPr>
        <w:footnoteReference w:id="34"/>
      </w:r>
      <w:r w:rsidR="004D6C3E">
        <w:t xml:space="preserve">  </w:t>
      </w:r>
      <w:r w:rsidR="00033D54">
        <w:t xml:space="preserve">Petitioners seek relief </w:t>
      </w:r>
      <w:r w:rsidR="0072131C">
        <w:t>from the deadline ge</w:t>
      </w:r>
      <w:r w:rsidR="00033D54">
        <w:t>nerally and under standards for waiver articulated in sections 1.3 and 1.925 of the Commission rules.</w:t>
      </w:r>
      <w:r>
        <w:rPr>
          <w:rStyle w:val="FootnoteReference"/>
        </w:rPr>
        <w:footnoteReference w:id="35"/>
      </w:r>
      <w:r w:rsidR="00033D54">
        <w:t xml:space="preserve">  </w:t>
      </w:r>
      <w:r w:rsidR="00FF359A">
        <w:t>Section 1.3 of the Commission’s rules governs the waiver requests here, because section 1.925 applies only to wireless radio services applications and competitive bidding for spectrum licenses.</w:t>
      </w:r>
      <w:r>
        <w:rPr>
          <w:rStyle w:val="FootnoteReference"/>
        </w:rPr>
        <w:footnoteReference w:id="36"/>
      </w:r>
      <w:r w:rsidR="00FF359A">
        <w:t xml:space="preserve">  As such, we will construe all of the waiver applications as seeking review pursuant to section 1.3.  </w:t>
      </w:r>
      <w:r w:rsidR="00024962">
        <w:t xml:space="preserve">Court </w:t>
      </w:r>
      <w:r w:rsidR="00C71D72">
        <w:t xml:space="preserve">decisions have emphasized </w:t>
      </w:r>
      <w:r w:rsidR="00EF0C5F">
        <w:t>that</w:t>
      </w:r>
      <w:r w:rsidR="00EC7466">
        <w:t xml:space="preserve"> </w:t>
      </w:r>
      <w:r w:rsidR="00AC0E99">
        <w:t xml:space="preserve">finding good cause for </w:t>
      </w:r>
      <w:r w:rsidR="00EC7466">
        <w:t>waiver of the Commission’s rules</w:t>
      </w:r>
      <w:r w:rsidR="00AC0E99">
        <w:t xml:space="preserve"> depends on finding</w:t>
      </w:r>
      <w:r w:rsidRPr="00BB3C3D" w:rsidR="00EF0C5F">
        <w:t xml:space="preserve"> both</w:t>
      </w:r>
      <w:r w:rsidR="00AC0E99">
        <w:t xml:space="preserve"> that</w:t>
      </w:r>
      <w:r w:rsidRPr="00BB3C3D" w:rsidR="00EF0C5F">
        <w:t>: (1) a deviation from the general rule serve</w:t>
      </w:r>
      <w:r w:rsidR="00C53D8C">
        <w:t>s</w:t>
      </w:r>
      <w:r w:rsidRPr="00BB3C3D" w:rsidR="00EF0C5F">
        <w:t xml:space="preserve"> the public interest</w:t>
      </w:r>
      <w:r w:rsidR="00EF0C5F">
        <w:t xml:space="preserve">; and (2) </w:t>
      </w:r>
      <w:r w:rsidRPr="00BB3C3D" w:rsidR="00EF0C5F">
        <w:t xml:space="preserve">special circumstances warrant </w:t>
      </w:r>
      <w:r w:rsidR="00EF0C5F">
        <w:t>the</w:t>
      </w:r>
      <w:r w:rsidRPr="00BB3C3D" w:rsidR="00EF0C5F">
        <w:t xml:space="preserve"> deviation </w:t>
      </w:r>
      <w:r w:rsidR="00EF0C5F">
        <w:t>sought</w:t>
      </w:r>
      <w:r w:rsidRPr="00BB3C3D" w:rsidR="00EF0C5F">
        <w:t>.</w:t>
      </w:r>
      <w:r>
        <w:rPr>
          <w:rStyle w:val="FootnoteReference"/>
        </w:rPr>
        <w:footnoteReference w:id="37"/>
      </w:r>
      <w:r w:rsidR="00EF0C5F">
        <w:rPr>
          <w:rStyle w:val="FootnoteReference"/>
          <w:spacing w:val="-2"/>
        </w:rPr>
        <w:t xml:space="preserve"> </w:t>
      </w:r>
      <w:r w:rsidRPr="00461B18" w:rsidR="00EF0C5F">
        <w:rPr>
          <w:spacing w:val="-2"/>
        </w:rPr>
        <w:t xml:space="preserve"> </w:t>
      </w:r>
      <w:r w:rsidR="00DD42CD">
        <w:t xml:space="preserve"> </w:t>
      </w:r>
      <w:r w:rsidR="00260BE0">
        <w:t xml:space="preserve">For the reasons described below, we find that </w:t>
      </w:r>
      <w:r w:rsidR="00A226F1">
        <w:t>each</w:t>
      </w:r>
      <w:r w:rsidR="00DD18E3">
        <w:t xml:space="preserve"> of the Petitioners</w:t>
      </w:r>
      <w:r w:rsidR="00260BE0">
        <w:t xml:space="preserve"> has </w:t>
      </w:r>
      <w:r w:rsidR="00A226F1">
        <w:t xml:space="preserve">failed </w:t>
      </w:r>
      <w:r w:rsidR="00746A3B">
        <w:t xml:space="preserve">to </w:t>
      </w:r>
      <w:r w:rsidR="00260BE0">
        <w:t xml:space="preserve">demonstrate </w:t>
      </w:r>
      <w:r w:rsidR="000F3F49">
        <w:t xml:space="preserve">good cause </w:t>
      </w:r>
      <w:r w:rsidR="00274DB4">
        <w:t>to receive a</w:t>
      </w:r>
      <w:r w:rsidR="000F3F49">
        <w:t xml:space="preserve"> waiver</w:t>
      </w:r>
      <w:r w:rsidR="00260BE0">
        <w:t xml:space="preserve">, and we therefore deny </w:t>
      </w:r>
      <w:r w:rsidR="00DD18E3">
        <w:t>each</w:t>
      </w:r>
      <w:r w:rsidR="00260BE0">
        <w:t xml:space="preserve"> request.</w:t>
      </w:r>
    </w:p>
    <w:p w:rsidR="000B34A9" w:rsidRPr="000B34A9" w:rsidP="000B34A9" w14:paraId="52F92FC4" w14:textId="26A645A0">
      <w:pPr>
        <w:pStyle w:val="ParaNum"/>
        <w:widowControl/>
        <w:numPr>
          <w:ilvl w:val="0"/>
          <w:numId w:val="2"/>
        </w:numPr>
        <w:tabs>
          <w:tab w:val="clear" w:pos="1080"/>
          <w:tab w:val="num" w:pos="1440"/>
        </w:tabs>
        <w:rPr>
          <w:spacing w:val="-2"/>
        </w:rPr>
      </w:pPr>
      <w:r>
        <w:t>N</w:t>
      </w:r>
      <w:r w:rsidR="00ED3920">
        <w:t xml:space="preserve">one of the Petitioners has </w:t>
      </w:r>
      <w:r>
        <w:t xml:space="preserve">met the essential requirement of showing </w:t>
      </w:r>
      <w:r w:rsidR="00260BE0">
        <w:t xml:space="preserve">that </w:t>
      </w:r>
      <w:r w:rsidR="00EF0C5F">
        <w:t xml:space="preserve">waiving </w:t>
      </w:r>
      <w:r w:rsidR="00EB0155">
        <w:t xml:space="preserve">the deadline will serve </w:t>
      </w:r>
      <w:r w:rsidR="00EF0C5F">
        <w:t>the public interest</w:t>
      </w:r>
      <w:r w:rsidR="003C1360">
        <w:t>.</w:t>
      </w:r>
      <w:r>
        <w:t xml:space="preserve">  </w:t>
      </w:r>
      <w:r w:rsidR="00982E56">
        <w:t>The Commission noted in the Order adopting the Rural Digital Opportunity Fund that “[u]</w:t>
      </w:r>
      <w:r w:rsidR="00982E56">
        <w:t>tilizing</w:t>
      </w:r>
      <w:r w:rsidR="00982E56">
        <w:t xml:space="preserve"> an auction mechanism will allow us to distribute support consistent with our policy goals and priorities in a transparent manner.”</w:t>
      </w:r>
      <w:r>
        <w:rPr>
          <w:rStyle w:val="FootnoteReference"/>
        </w:rPr>
        <w:footnoteReference w:id="38"/>
      </w:r>
      <w:r w:rsidR="00982E56">
        <w:t xml:space="preserve">  </w:t>
      </w:r>
      <w:r w:rsidR="00A3565F">
        <w:t>Encouraging competition in</w:t>
      </w:r>
      <w:r w:rsidR="00F8236D">
        <w:t xml:space="preserve"> Auction 904</w:t>
      </w:r>
      <w:r w:rsidR="00982E56">
        <w:t xml:space="preserve">, and </w:t>
      </w:r>
      <w:r w:rsidR="00A3565F">
        <w:t xml:space="preserve">confidence in </w:t>
      </w:r>
      <w:r w:rsidR="00982E56">
        <w:t xml:space="preserve">its ultimate assignment of up to $16 billion in support over 10 years, depends upon fair and equal treatment of all applicants, including subjecting them all to the same publicly announced </w:t>
      </w:r>
      <w:r w:rsidR="0041157E">
        <w:t>deadlines</w:t>
      </w:r>
      <w:r w:rsidR="00982E56">
        <w:t xml:space="preserve"> for auction-related actions.</w:t>
      </w:r>
      <w:r>
        <w:t xml:space="preserve">  Enforcing the deadline, not waiving it, is fundamental to the public interest in an effective auction mechanism for distributing universal service support.</w:t>
      </w:r>
    </w:p>
    <w:p w:rsidR="00961EAA" w:rsidRPr="000B34A9" w:rsidP="000B34A9" w14:paraId="4FB33521" w14:textId="6ED2DAC8">
      <w:pPr>
        <w:pStyle w:val="ParaNum"/>
        <w:widowControl/>
        <w:numPr>
          <w:ilvl w:val="0"/>
          <w:numId w:val="2"/>
        </w:numPr>
        <w:tabs>
          <w:tab w:val="clear" w:pos="1080"/>
          <w:tab w:val="num" w:pos="1440"/>
        </w:tabs>
        <w:rPr>
          <w:spacing w:val="-2"/>
        </w:rPr>
      </w:pPr>
      <w:r>
        <w:t>As the Commission observed last year when affirming denial of a short-form application deadline waiver</w:t>
      </w:r>
      <w:r w:rsidR="00796A13">
        <w:t xml:space="preserve"> in Auction 101</w:t>
      </w:r>
      <w:r>
        <w:t>, it “has consistently explained that u</w:t>
      </w:r>
      <w:r w:rsidRPr="640B2A61">
        <w:t>niform deadlines for various stages of the auction application process provide applicants with certainty and give the Commission time for orderly application review and auction preparation</w:t>
      </w:r>
      <w:r>
        <w:t xml:space="preserve">.[]  </w:t>
      </w:r>
      <w:r w:rsidRPr="640B2A61">
        <w:t>The underlying purpose of rules establishing deadlines is best served by their consistent application, which serves the public interest by providing fair and equal treatment to applicants by subjecting them to the same timeframes for making auction-related decisions.</w:t>
      </w:r>
      <w:r>
        <w:rPr>
          <w:szCs w:val="22"/>
        </w:rPr>
        <w:t>”</w:t>
      </w:r>
      <w:r>
        <w:rPr>
          <w:rStyle w:val="FootnoteReference"/>
        </w:rPr>
        <w:footnoteReference w:id="39"/>
      </w:r>
      <w:r w:rsidRPr="000B34A9" w:rsidR="00260BE0">
        <w:rPr>
          <w:szCs w:val="22"/>
        </w:rPr>
        <w:t xml:space="preserve">  </w:t>
      </w:r>
    </w:p>
    <w:p w:rsidR="009B4292" w:rsidRPr="003500A0" w:rsidP="002E4DFE" w14:paraId="05E34CA0" w14:textId="21E343F9">
      <w:pPr>
        <w:pStyle w:val="ParaNum"/>
        <w:widowControl/>
        <w:numPr>
          <w:ilvl w:val="0"/>
          <w:numId w:val="2"/>
        </w:numPr>
        <w:tabs>
          <w:tab w:val="clear" w:pos="1080"/>
          <w:tab w:val="num" w:pos="1440"/>
        </w:tabs>
      </w:pPr>
      <w:r>
        <w:t>The auction process includes multiple succeeding deadlines, including application filing deadlines</w:t>
      </w:r>
      <w:r w:rsidR="00A51A6F">
        <w:t xml:space="preserve"> </w:t>
      </w:r>
      <w:r>
        <w:t xml:space="preserve">and deadlines at the end of each round of bidding, which must be </w:t>
      </w:r>
      <w:r w:rsidR="00DB19B9">
        <w:t>enforced</w:t>
      </w:r>
      <w:r>
        <w:t xml:space="preserve"> to assure that an auction is fair and objective to all participants.  </w:t>
      </w:r>
      <w:r w:rsidR="007C69A6">
        <w:t>The deadline serves the public interest in a fair and orderly auction process notwithstanding that it</w:t>
      </w:r>
      <w:r w:rsidR="00C75E1C">
        <w:t xml:space="preserve"> prevents a would-be applicant from filing an application</w:t>
      </w:r>
      <w:r w:rsidR="007C69A6">
        <w:t xml:space="preserve"> as it intended</w:t>
      </w:r>
      <w:r w:rsidR="00C75E1C">
        <w:t>.</w:t>
      </w:r>
      <w:r w:rsidR="00C21350">
        <w:t xml:space="preserve">  </w:t>
      </w:r>
      <w:r w:rsidR="0072131C">
        <w:t xml:space="preserve">Otherwise, participants could argue for exceptions based on what they </w:t>
      </w:r>
      <w:r w:rsidRPr="7B0ED137" w:rsidR="0072131C">
        <w:rPr>
          <w:i/>
          <w:iCs/>
        </w:rPr>
        <w:t>meant</w:t>
      </w:r>
      <w:r w:rsidR="0072131C">
        <w:t xml:space="preserve"> to do—e.g., certify and submit an application by the deadline, place a bid, etc.—rather than what they actually did in the time allotted to all participants equally.</w:t>
      </w:r>
      <w:r>
        <w:rPr>
          <w:rStyle w:val="FootnoteReference"/>
        </w:rPr>
        <w:footnoteReference w:id="40"/>
      </w:r>
      <w:r w:rsidR="0072131C">
        <w:t xml:space="preserve">  </w:t>
      </w:r>
      <w:r>
        <w:t>For th</w:t>
      </w:r>
      <w:r w:rsidR="00C21350">
        <w:t>ese</w:t>
      </w:r>
      <w:r>
        <w:t xml:space="preserve"> reason</w:t>
      </w:r>
      <w:r w:rsidR="00C21350">
        <w:t>s</w:t>
      </w:r>
      <w:r>
        <w:t>, the Commission advises applicants that they must take responsibility for their own action or inaction in the auction process.</w:t>
      </w:r>
      <w:r>
        <w:rPr>
          <w:rStyle w:val="FootnoteReference"/>
        </w:rPr>
        <w:footnoteReference w:id="41"/>
      </w:r>
      <w:r w:rsidR="00394A95">
        <w:t xml:space="preserve">  As already noted, the Commission “</w:t>
      </w:r>
      <w:r w:rsidR="006B2E28">
        <w:t>strongly encourage[s] [a</w:t>
      </w:r>
      <w:r w:rsidR="00861622">
        <w:t>pplicants]</w:t>
      </w:r>
      <w:r w:rsidR="006B2E28">
        <w:t xml:space="preserve"> to file early and in advance of the deadline</w:t>
      </w:r>
      <w:r w:rsidR="00861622">
        <w:t>.</w:t>
      </w:r>
      <w:r w:rsidR="00394A95">
        <w:t>”</w:t>
      </w:r>
      <w:r>
        <w:rPr>
          <w:rStyle w:val="FootnoteReference"/>
        </w:rPr>
        <w:footnoteReference w:id="42"/>
      </w:r>
    </w:p>
    <w:p w:rsidR="00045D89" w:rsidRPr="00045D89" w:rsidP="003500A0" w14:paraId="43CA0C6F" w14:textId="7A7FEEF8">
      <w:pPr>
        <w:pStyle w:val="ParaNum"/>
        <w:widowControl/>
        <w:numPr>
          <w:ilvl w:val="0"/>
          <w:numId w:val="2"/>
        </w:numPr>
        <w:tabs>
          <w:tab w:val="clear" w:pos="1080"/>
          <w:tab w:val="num" w:pos="1440"/>
        </w:tabs>
      </w:pPr>
      <w:r>
        <w:t xml:space="preserve">Speculative claims that the public interest might be served by waiving the deadline are insufficient </w:t>
      </w:r>
      <w:r w:rsidR="00C11029">
        <w:t xml:space="preserve">to show good cause for a waiver </w:t>
      </w:r>
      <w:r>
        <w:t xml:space="preserve">when </w:t>
      </w:r>
      <w:r w:rsidR="00C11029">
        <w:t>considered alongside</w:t>
      </w:r>
      <w:r>
        <w:t xml:space="preserve"> the public interest </w:t>
      </w:r>
      <w:r w:rsidR="00C11029">
        <w:t>served by</w:t>
      </w:r>
      <w:r>
        <w:t xml:space="preserve"> enforcement.</w:t>
      </w:r>
      <w:r w:rsidR="003500A0">
        <w:t xml:space="preserve">  Petitioners assert that </w:t>
      </w:r>
      <w:r w:rsidR="00693928">
        <w:t xml:space="preserve">if </w:t>
      </w:r>
      <w:r>
        <w:t xml:space="preserve">the </w:t>
      </w:r>
      <w:r w:rsidR="00693928">
        <w:t xml:space="preserve">requested </w:t>
      </w:r>
      <w:r>
        <w:t xml:space="preserve">waiver </w:t>
      </w:r>
      <w:r w:rsidR="00693928">
        <w:t>is</w:t>
      </w:r>
      <w:r>
        <w:t xml:space="preserve"> granted, they may qualify to bid, </w:t>
      </w:r>
      <w:r w:rsidR="005C0AF7">
        <w:t xml:space="preserve">they </w:t>
      </w:r>
      <w:r>
        <w:t xml:space="preserve">might </w:t>
      </w:r>
      <w:r w:rsidR="005C0AF7">
        <w:t xml:space="preserve">win </w:t>
      </w:r>
      <w:r>
        <w:t xml:space="preserve">the bidding </w:t>
      </w:r>
      <w:r w:rsidR="005C0AF7">
        <w:t>in Auction 9</w:t>
      </w:r>
      <w:r w:rsidRPr="003241C6" w:rsidR="005C0AF7">
        <w:rPr>
          <w:szCs w:val="22"/>
        </w:rPr>
        <w:t>04</w:t>
      </w:r>
      <w:r>
        <w:rPr>
          <w:szCs w:val="22"/>
        </w:rPr>
        <w:t>, they could</w:t>
      </w:r>
      <w:r w:rsidR="00E40A99">
        <w:rPr>
          <w:szCs w:val="22"/>
        </w:rPr>
        <w:t xml:space="preserve"> become authorized to receive </w:t>
      </w:r>
      <w:r>
        <w:rPr>
          <w:szCs w:val="22"/>
        </w:rPr>
        <w:t xml:space="preserve">universal service support, and the service </w:t>
      </w:r>
      <w:r w:rsidR="00C11029">
        <w:rPr>
          <w:szCs w:val="22"/>
        </w:rPr>
        <w:t xml:space="preserve">that </w:t>
      </w:r>
      <w:r>
        <w:rPr>
          <w:szCs w:val="22"/>
        </w:rPr>
        <w:t>they then should provide would serve the public interest</w:t>
      </w:r>
      <w:r w:rsidRPr="003241C6" w:rsidR="005C0AF7">
        <w:rPr>
          <w:szCs w:val="22"/>
        </w:rPr>
        <w:t>.</w:t>
      </w:r>
      <w:r>
        <w:rPr>
          <w:rStyle w:val="FootnoteReference"/>
          <w:szCs w:val="22"/>
        </w:rPr>
        <w:footnoteReference w:id="43"/>
      </w:r>
      <w:r w:rsidR="003500A0">
        <w:t xml:space="preserve">  </w:t>
      </w:r>
      <w:r w:rsidR="00A819D8">
        <w:t>Th</w:t>
      </w:r>
      <w:r w:rsidR="00623432">
        <w:t xml:space="preserve">ese speculative </w:t>
      </w:r>
      <w:r w:rsidR="00693928">
        <w:t xml:space="preserve">attempts to </w:t>
      </w:r>
      <w:r w:rsidR="00C11029">
        <w:t>justify</w:t>
      </w:r>
      <w:r w:rsidR="00693928">
        <w:t xml:space="preserve"> a waiver </w:t>
      </w:r>
      <w:r w:rsidR="0072131C">
        <w:t xml:space="preserve">would undermine </w:t>
      </w:r>
      <w:r w:rsidR="00C11029">
        <w:t>any</w:t>
      </w:r>
      <w:r w:rsidR="0072131C">
        <w:t xml:space="preserve"> auction deadline and </w:t>
      </w:r>
      <w:r w:rsidR="00C11029">
        <w:t xml:space="preserve">simply </w:t>
      </w:r>
      <w:r>
        <w:t>ignore clear precedent</w:t>
      </w:r>
      <w:r w:rsidR="002A2D23">
        <w:t>.</w:t>
      </w:r>
      <w:r w:rsidR="003500A0">
        <w:t xml:space="preserve">  </w:t>
      </w:r>
      <w:r w:rsidR="00077BF2">
        <w:t>J</w:t>
      </w:r>
      <w:r w:rsidR="006A1C8A">
        <w:t>ust last year</w:t>
      </w:r>
      <w:r w:rsidR="00077BF2">
        <w:t>, the Commission</w:t>
      </w:r>
      <w:r w:rsidR="006A1C8A">
        <w:t xml:space="preserve"> noted</w:t>
      </w:r>
      <w:r w:rsidR="00672583">
        <w:t xml:space="preserve"> that </w:t>
      </w:r>
      <w:r w:rsidR="00145AF1">
        <w:t xml:space="preserve">arguments regarding </w:t>
      </w:r>
      <w:r w:rsidR="00E20FFB">
        <w:t xml:space="preserve">how </w:t>
      </w:r>
      <w:r w:rsidR="00145AF1">
        <w:t>a would-be auction applicant</w:t>
      </w:r>
      <w:r w:rsidR="00E20FFB">
        <w:t xml:space="preserve">’s potential service </w:t>
      </w:r>
      <w:r w:rsidR="00145AF1">
        <w:t xml:space="preserve">might </w:t>
      </w:r>
      <w:r w:rsidR="00E20FFB">
        <w:t>further</w:t>
      </w:r>
      <w:r w:rsidR="00145AF1">
        <w:t xml:space="preserve"> the public interest “could be asserted whenever an auction deadline is missed.  For that reason, the Commission has routinely rejected such arguments in declining to grant other requests for waiver of its competitive bidding rules</w:t>
      </w:r>
      <w:r w:rsidR="0001484D">
        <w:t>[.]</w:t>
      </w:r>
      <w:r w:rsidR="00CB0D03">
        <w:t>”</w:t>
      </w:r>
      <w:r>
        <w:rPr>
          <w:rStyle w:val="FootnoteReference"/>
        </w:rPr>
        <w:footnoteReference w:id="44"/>
      </w:r>
    </w:p>
    <w:p w:rsidR="003500A0" w:rsidRPr="00736905" w:rsidP="003500A0" w14:paraId="6F450D78" w14:textId="4E7BCA8D">
      <w:pPr>
        <w:pStyle w:val="ParaNum"/>
        <w:widowControl/>
        <w:numPr>
          <w:ilvl w:val="0"/>
          <w:numId w:val="2"/>
        </w:numPr>
        <w:tabs>
          <w:tab w:val="clear" w:pos="1080"/>
          <w:tab w:val="num" w:pos="1440"/>
        </w:tabs>
      </w:pPr>
      <w:r>
        <w:t xml:space="preserve"> </w:t>
      </w:r>
      <w:r w:rsidR="00693928">
        <w:t>In this regard, t</w:t>
      </w:r>
      <w:r w:rsidR="001F3D1F">
        <w:t xml:space="preserve">he </w:t>
      </w:r>
      <w:r w:rsidR="002A2D23">
        <w:t xml:space="preserve">competitive bidding process for universal service support </w:t>
      </w:r>
      <w:r w:rsidR="00C11029">
        <w:t xml:space="preserve">here </w:t>
      </w:r>
      <w:r w:rsidR="00693928">
        <w:t>is no different than the Commiss</w:t>
      </w:r>
      <w:r w:rsidR="0072131C">
        <w:t>i</w:t>
      </w:r>
      <w:r w:rsidR="00693928">
        <w:t xml:space="preserve">on’s competitive bidding for </w:t>
      </w:r>
      <w:r w:rsidR="00C11029">
        <w:t>wireless</w:t>
      </w:r>
      <w:r w:rsidR="00693928">
        <w:t xml:space="preserve"> licenses</w:t>
      </w:r>
      <w:r w:rsidR="00C11029">
        <w:t xml:space="preserve"> in these prior cases</w:t>
      </w:r>
      <w:r w:rsidR="00693928">
        <w:t>.  E</w:t>
      </w:r>
      <w:r w:rsidR="00AB181C">
        <w:t xml:space="preserve">nforcing publicly announced deadlines in a fair and consistent manner </w:t>
      </w:r>
      <w:r w:rsidR="006F143A">
        <w:t xml:space="preserve">serves the public interest </w:t>
      </w:r>
      <w:r w:rsidR="00111B45">
        <w:t xml:space="preserve">by </w:t>
      </w:r>
      <w:r w:rsidR="00CC3F8B">
        <w:t xml:space="preserve">ensuring the effectiveness of the </w:t>
      </w:r>
      <w:r w:rsidR="00C11213">
        <w:t xml:space="preserve">Commission’s competitive bidding, building confidence, enhancing competition, and achieving </w:t>
      </w:r>
      <w:r w:rsidR="00EB7972">
        <w:t xml:space="preserve">robust results.  </w:t>
      </w:r>
      <w:r w:rsidR="00BC5085">
        <w:t>C</w:t>
      </w:r>
      <w:r w:rsidR="003F02E8">
        <w:t>ontrary to Petitioners’ suggestion, w</w:t>
      </w:r>
      <w:r w:rsidR="0078502D">
        <w:t xml:space="preserve">aiving </w:t>
      </w:r>
      <w:r w:rsidR="00AB125F">
        <w:t xml:space="preserve">the short-form filing </w:t>
      </w:r>
      <w:r w:rsidR="0078502D">
        <w:t xml:space="preserve">deadline </w:t>
      </w:r>
      <w:r w:rsidR="00190863">
        <w:t xml:space="preserve">solely </w:t>
      </w:r>
      <w:r w:rsidR="00714614">
        <w:t>based up</w:t>
      </w:r>
      <w:r w:rsidR="004E7A2E">
        <w:t xml:space="preserve">on the possibility that </w:t>
      </w:r>
      <w:r w:rsidR="00BD2A4A">
        <w:t xml:space="preserve">a would-be applicant would become a winning bidder and </w:t>
      </w:r>
      <w:r w:rsidR="00B909C1">
        <w:t>receive support for providing the required services</w:t>
      </w:r>
      <w:r w:rsidR="00190863">
        <w:t xml:space="preserve"> does not outweigh the</w:t>
      </w:r>
      <w:r w:rsidR="00640378">
        <w:t xml:space="preserve"> larger public interest in an effective auction process</w:t>
      </w:r>
      <w:r w:rsidR="00805091">
        <w:t xml:space="preserve"> in which </w:t>
      </w:r>
      <w:r w:rsidR="00CD082E">
        <w:t>all applicants are required to meet the same filing deadlines</w:t>
      </w:r>
      <w:r w:rsidR="00640378">
        <w:t>.</w:t>
      </w:r>
      <w:r w:rsidR="00190863">
        <w:t xml:space="preserve"> </w:t>
      </w:r>
    </w:p>
    <w:p w:rsidR="00183C0B" w:rsidRPr="003D6397" w:rsidP="003D6397" w14:paraId="1EC6CBAC" w14:textId="4E9C23E7">
      <w:pPr>
        <w:pStyle w:val="ParaNum"/>
        <w:widowControl/>
        <w:numPr>
          <w:ilvl w:val="0"/>
          <w:numId w:val="2"/>
        </w:numPr>
        <w:tabs>
          <w:tab w:val="clear" w:pos="1080"/>
          <w:tab w:val="num" w:pos="1440"/>
        </w:tabs>
      </w:pPr>
      <w:r>
        <w:t>Separate</w:t>
      </w:r>
      <w:r w:rsidR="0072131C">
        <w:t xml:space="preserve"> from their inability to show that </w:t>
      </w:r>
      <w:r w:rsidR="00C11029">
        <w:t>a</w:t>
      </w:r>
      <w:r w:rsidR="0072131C">
        <w:t xml:space="preserve"> waiver would serve the public interest</w:t>
      </w:r>
      <w:r w:rsidR="00AF1538">
        <w:t xml:space="preserve">, the Petitioners do not </w:t>
      </w:r>
      <w:r w:rsidR="00640378">
        <w:t>demonstrate</w:t>
      </w:r>
      <w:r w:rsidR="00AF1538">
        <w:t xml:space="preserve"> </w:t>
      </w:r>
      <w:r>
        <w:t>special circumstances that could justify departing from the general rule</w:t>
      </w:r>
      <w:r w:rsidRPr="640B2A61" w:rsidR="00640378">
        <w:t>.</w:t>
      </w:r>
      <w:r>
        <w:rPr>
          <w:rStyle w:val="FootnoteReference"/>
        </w:rPr>
        <w:footnoteReference w:id="45"/>
      </w:r>
      <w:r w:rsidR="003D6397">
        <w:rPr>
          <w:szCs w:val="22"/>
        </w:rPr>
        <w:t xml:space="preserve">  </w:t>
      </w:r>
      <w:r w:rsidRPr="640B2A61" w:rsidR="004759FD">
        <w:t xml:space="preserve">Native Networks </w:t>
      </w:r>
      <w:r w:rsidRPr="640B2A61" w:rsidR="00F02B18">
        <w:t>cites</w:t>
      </w:r>
      <w:r w:rsidRPr="640B2A61" w:rsidR="004759FD">
        <w:t xml:space="preserve"> the </w:t>
      </w:r>
      <w:r w:rsidRPr="640B2A61" w:rsidR="00C97CD9">
        <w:t>“extraordinary circumstances</w:t>
      </w:r>
      <w:r w:rsidRPr="003D6397" w:rsidR="00F847CD">
        <w:rPr>
          <w:szCs w:val="22"/>
        </w:rPr>
        <w:t xml:space="preserve"> </w:t>
      </w:r>
      <w:r w:rsidRPr="640B2A61" w:rsidR="00B02124">
        <w:t>related to our COVID-19 unusual operating conditions.”</w:t>
      </w:r>
      <w:r>
        <w:rPr>
          <w:rStyle w:val="FootnoteReference"/>
        </w:rPr>
        <w:footnoteReference w:id="46"/>
      </w:r>
      <w:r w:rsidRPr="003D6397" w:rsidR="00B02124">
        <w:rPr>
          <w:szCs w:val="22"/>
        </w:rPr>
        <w:t xml:space="preserve">  </w:t>
      </w:r>
      <w:r w:rsidRPr="00F018D2" w:rsidR="00E8580A">
        <w:t>Though Native Networks mentions unusual operational conditions prevailing in April, it does not explain why those conditions kept it from obtaining all the necessary information on a more timely basis in July, more than two months later, particularly given that it did obtain what it says was 95% of the necessary information by July 9.</w:t>
      </w:r>
      <w:r>
        <w:rPr>
          <w:rStyle w:val="FootnoteReference"/>
        </w:rPr>
        <w:footnoteReference w:id="47"/>
      </w:r>
      <w:r w:rsidRPr="005C0840" w:rsidR="00E8580A">
        <w:t xml:space="preserve"> </w:t>
      </w:r>
      <w:r w:rsidR="00E8580A">
        <w:t xml:space="preserve"> </w:t>
      </w:r>
      <w:r w:rsidRPr="640B2A61" w:rsidR="00E21F21">
        <w:t xml:space="preserve">Rather than operational difficulties, </w:t>
      </w:r>
      <w:r w:rsidRPr="640B2A61" w:rsidR="002C105B">
        <w:t>SmartSky</w:t>
      </w:r>
      <w:r w:rsidRPr="640B2A61" w:rsidR="002C105B">
        <w:t xml:space="preserve"> </w:t>
      </w:r>
      <w:r w:rsidRPr="640B2A61" w:rsidR="00A41AA4">
        <w:t xml:space="preserve">focuses on the substantial effect </w:t>
      </w:r>
      <w:r w:rsidRPr="640B2A61" w:rsidR="00E21F21">
        <w:t xml:space="preserve">that COVID-19 had on its business roll-out </w:t>
      </w:r>
      <w:r w:rsidR="00C11029">
        <w:t xml:space="preserve">generally </w:t>
      </w:r>
      <w:r w:rsidRPr="640B2A61" w:rsidR="00E21F21">
        <w:t>and “</w:t>
      </w:r>
      <w:r w:rsidRPr="640B2A61" w:rsidR="00CA2852">
        <w:t>the resultant timing of its short-form application submittal.”</w:t>
      </w:r>
      <w:r>
        <w:rPr>
          <w:rStyle w:val="FootnoteReference"/>
        </w:rPr>
        <w:footnoteReference w:id="48"/>
      </w:r>
      <w:r w:rsidRPr="640B2A61" w:rsidR="00E932CC">
        <w:t xml:space="preserve">  ATS </w:t>
      </w:r>
      <w:r w:rsidRPr="640B2A61" w:rsidR="00E067F5">
        <w:t>admits that it</w:t>
      </w:r>
      <w:r w:rsidRPr="640B2A61" w:rsidR="005731C5">
        <w:t xml:space="preserve"> learned from a consultant </w:t>
      </w:r>
      <w:r w:rsidRPr="640B2A61" w:rsidR="00D63162">
        <w:t xml:space="preserve">that the auction might be of interest </w:t>
      </w:r>
      <w:r w:rsidRPr="640B2A61" w:rsidR="005731C5">
        <w:t xml:space="preserve">on </w:t>
      </w:r>
      <w:r w:rsidRPr="640B2A61" w:rsidR="0067103C">
        <w:t>July 14, the day before the application deadline.</w:t>
      </w:r>
      <w:r>
        <w:rPr>
          <w:rStyle w:val="FootnoteReference"/>
        </w:rPr>
        <w:footnoteReference w:id="49"/>
      </w:r>
      <w:r w:rsidRPr="003D6397" w:rsidR="0067103C">
        <w:rPr>
          <w:szCs w:val="22"/>
        </w:rPr>
        <w:t xml:space="preserve">  </w:t>
      </w:r>
      <w:r w:rsidRPr="640B2A61" w:rsidR="00EB699A">
        <w:t>Elektrafi</w:t>
      </w:r>
      <w:r w:rsidRPr="640B2A61" w:rsidR="00EB699A">
        <w:t xml:space="preserve"> does not offer any particular explanation for </w:t>
      </w:r>
      <w:r w:rsidRPr="640B2A61" w:rsidR="005731C5">
        <w:t xml:space="preserve">why it did not </w:t>
      </w:r>
      <w:r w:rsidR="00216DD7">
        <w:t xml:space="preserve">attempt to </w:t>
      </w:r>
      <w:r w:rsidRPr="640B2A61" w:rsidR="005731C5">
        <w:t>file its application prior to</w:t>
      </w:r>
      <w:r w:rsidRPr="640B2A61" w:rsidR="00EB699A">
        <w:t xml:space="preserve"> the last minute.</w:t>
      </w:r>
      <w:r>
        <w:rPr>
          <w:rStyle w:val="FootnoteReference"/>
        </w:rPr>
        <w:footnoteReference w:id="50"/>
      </w:r>
      <w:r w:rsidR="002C3F87">
        <w:t xml:space="preserve">  LMG </w:t>
      </w:r>
      <w:r w:rsidR="006839AD">
        <w:t>makes no claim that it</w:t>
      </w:r>
      <w:r w:rsidR="002C3F87">
        <w:t xml:space="preserve"> even attempt</w:t>
      </w:r>
      <w:r w:rsidR="006839AD">
        <w:t>ed</w:t>
      </w:r>
      <w:r w:rsidR="002C3F87">
        <w:t xml:space="preserve"> to file an application prior to the deadline</w:t>
      </w:r>
      <w:r w:rsidR="00C501FC">
        <w:t>.</w:t>
      </w:r>
      <w:r>
        <w:rPr>
          <w:rStyle w:val="FootnoteReference"/>
        </w:rPr>
        <w:footnoteReference w:id="51"/>
      </w:r>
    </w:p>
    <w:p w:rsidR="00E932CC" w:rsidRPr="008106B3" w:rsidP="00B33CF3" w14:paraId="3521E015" w14:textId="0DCCF037">
      <w:pPr>
        <w:pStyle w:val="ParaNum"/>
        <w:widowControl/>
        <w:numPr>
          <w:ilvl w:val="0"/>
          <w:numId w:val="2"/>
        </w:numPr>
        <w:tabs>
          <w:tab w:val="clear" w:pos="1080"/>
          <w:tab w:val="num" w:pos="1440"/>
        </w:tabs>
      </w:pPr>
      <w:r>
        <w:rPr>
          <w:szCs w:val="22"/>
        </w:rPr>
        <w:t xml:space="preserve">None of </w:t>
      </w:r>
      <w:r w:rsidR="00C97DA6">
        <w:rPr>
          <w:szCs w:val="22"/>
        </w:rPr>
        <w:t xml:space="preserve">Petitioners’ </w:t>
      </w:r>
      <w:r>
        <w:rPr>
          <w:szCs w:val="22"/>
        </w:rPr>
        <w:t xml:space="preserve">circumstances </w:t>
      </w:r>
      <w:r w:rsidR="00186B0A">
        <w:rPr>
          <w:szCs w:val="22"/>
        </w:rPr>
        <w:t>render</w:t>
      </w:r>
      <w:r w:rsidR="0067015D">
        <w:rPr>
          <w:szCs w:val="22"/>
        </w:rPr>
        <w:t xml:space="preserve"> enforcing the deadline unfair or inequitable</w:t>
      </w:r>
      <w:r w:rsidR="00693928">
        <w:rPr>
          <w:szCs w:val="22"/>
        </w:rPr>
        <w:t xml:space="preserve"> or otherwise justify departing from its </w:t>
      </w:r>
      <w:r w:rsidR="00C97DA6">
        <w:rPr>
          <w:szCs w:val="22"/>
        </w:rPr>
        <w:t xml:space="preserve">standard </w:t>
      </w:r>
      <w:r w:rsidR="00693928">
        <w:rPr>
          <w:szCs w:val="22"/>
        </w:rPr>
        <w:t>enforcement</w:t>
      </w:r>
      <w:r w:rsidR="0067015D">
        <w:rPr>
          <w:szCs w:val="22"/>
        </w:rPr>
        <w:t xml:space="preserve">.  </w:t>
      </w:r>
      <w:r w:rsidR="00061275">
        <w:t>Prior to announcing the application window, the Commission sought comment on a range of proposed auction procedures.</w:t>
      </w:r>
      <w:r>
        <w:rPr>
          <w:rStyle w:val="FootnoteReference"/>
        </w:rPr>
        <w:footnoteReference w:id="52"/>
      </w:r>
      <w:r w:rsidR="00061275">
        <w:t xml:space="preserve">  One comment in response suggested postponing the auction several months in light of the ongoing COVID-19 pandemic.</w:t>
      </w:r>
      <w:r>
        <w:rPr>
          <w:rStyle w:val="FootnoteReference"/>
        </w:rPr>
        <w:footnoteReference w:id="53"/>
      </w:r>
      <w:r w:rsidR="00061275">
        <w:t xml:space="preserve">  The Commission declined to do so, noting that the pandemic heightened the public interest in providing all Americans “access as soon as possible to high-speed broadband to telework, attend online classes, communicate with family and friends, and obtain healthcare remotely.”</w:t>
      </w:r>
      <w:r>
        <w:rPr>
          <w:rStyle w:val="FootnoteReference"/>
        </w:rPr>
        <w:footnoteReference w:id="54"/>
      </w:r>
      <w:r w:rsidR="00061275">
        <w:t xml:space="preserve">  The Commission also noted that a wide variety of commenters affirmatively opposed any delay and urged the Commission to proceed with the auction as scheduled.</w:t>
      </w:r>
      <w:r>
        <w:rPr>
          <w:rStyle w:val="FootnoteReference"/>
        </w:rPr>
        <w:footnoteReference w:id="55"/>
      </w:r>
      <w:r w:rsidR="00B33CF3">
        <w:rPr>
          <w:szCs w:val="22"/>
        </w:rPr>
        <w:t xml:space="preserve">  Furthermore,</w:t>
      </w:r>
      <w:r w:rsidRPr="00B33CF3" w:rsidR="00B33CF3">
        <w:rPr>
          <w:szCs w:val="22"/>
        </w:rPr>
        <w:t xml:space="preserve"> </w:t>
      </w:r>
      <w:r w:rsidRPr="00B33CF3">
        <w:rPr>
          <w:szCs w:val="22"/>
        </w:rPr>
        <w:t xml:space="preserve">applicants </w:t>
      </w:r>
      <w:r w:rsidR="00B33CF3">
        <w:rPr>
          <w:szCs w:val="22"/>
        </w:rPr>
        <w:t xml:space="preserve">other than the Petitioners </w:t>
      </w:r>
      <w:r w:rsidRPr="00B33CF3">
        <w:rPr>
          <w:szCs w:val="22"/>
        </w:rPr>
        <w:t xml:space="preserve">met the deadline while addressing </w:t>
      </w:r>
      <w:r w:rsidR="00722740">
        <w:rPr>
          <w:szCs w:val="22"/>
        </w:rPr>
        <w:t>the</w:t>
      </w:r>
      <w:r w:rsidRPr="00B33CF3" w:rsidR="00722740">
        <w:rPr>
          <w:szCs w:val="22"/>
        </w:rPr>
        <w:t xml:space="preserve"> </w:t>
      </w:r>
      <w:r w:rsidRPr="00B33CF3">
        <w:rPr>
          <w:szCs w:val="22"/>
        </w:rPr>
        <w:t>constraints the pandemic imposed on their operations</w:t>
      </w:r>
      <w:r w:rsidRPr="00EE6367">
        <w:rPr>
          <w:szCs w:val="22"/>
        </w:rPr>
        <w:t>.  It would be inequitable to excuse a Petitioner’s failure to meet the deadline due to the same circumstances.</w:t>
      </w:r>
      <w:r w:rsidRPr="00EE6367" w:rsidR="0067015D">
        <w:rPr>
          <w:szCs w:val="22"/>
        </w:rPr>
        <w:t xml:space="preserve">  Certainly, ATS</w:t>
      </w:r>
      <w:r w:rsidRPr="00EE6367" w:rsidR="00010C69">
        <w:rPr>
          <w:szCs w:val="22"/>
        </w:rPr>
        <w:t xml:space="preserve"> cannot be excused from complying with a </w:t>
      </w:r>
      <w:r w:rsidRPr="00EE6367" w:rsidR="00094421">
        <w:rPr>
          <w:szCs w:val="22"/>
        </w:rPr>
        <w:t xml:space="preserve">deadline publicly announced more than a month earlier simply because </w:t>
      </w:r>
      <w:r w:rsidRPr="00EE6367" w:rsidR="00567142">
        <w:rPr>
          <w:szCs w:val="22"/>
        </w:rPr>
        <w:t xml:space="preserve">ATS only </w:t>
      </w:r>
      <w:r w:rsidRPr="00EE6367" w:rsidR="004B4404">
        <w:rPr>
          <w:szCs w:val="22"/>
        </w:rPr>
        <w:t xml:space="preserve">began acting upon it </w:t>
      </w:r>
      <w:r w:rsidRPr="00EE6367" w:rsidR="00020069">
        <w:rPr>
          <w:szCs w:val="22"/>
        </w:rPr>
        <w:t>in the last two days before the deadline</w:t>
      </w:r>
      <w:r w:rsidRPr="00EE6367" w:rsidR="007A6DFF">
        <w:rPr>
          <w:szCs w:val="22"/>
        </w:rPr>
        <w:t>.</w:t>
      </w:r>
      <w:r w:rsidRPr="00EE6367" w:rsidR="009E3D6F">
        <w:rPr>
          <w:szCs w:val="22"/>
        </w:rPr>
        <w:t xml:space="preserve">  </w:t>
      </w:r>
      <w:r w:rsidRPr="00EE6367" w:rsidR="00DF73A9">
        <w:rPr>
          <w:szCs w:val="22"/>
        </w:rPr>
        <w:t>Elektrafi</w:t>
      </w:r>
      <w:r w:rsidRPr="00EE6367" w:rsidR="00DF73A9">
        <w:rPr>
          <w:szCs w:val="22"/>
        </w:rPr>
        <w:t xml:space="preserve"> offers no explanation for waiting until the last minute to complete </w:t>
      </w:r>
      <w:r w:rsidR="00D22616">
        <w:rPr>
          <w:szCs w:val="22"/>
        </w:rPr>
        <w:t xml:space="preserve">and attempt to file </w:t>
      </w:r>
      <w:r w:rsidRPr="00EE6367" w:rsidR="00DF73A9">
        <w:rPr>
          <w:szCs w:val="22"/>
        </w:rPr>
        <w:t>its application.</w:t>
      </w:r>
      <w:r w:rsidRPr="00EE6367" w:rsidR="0098082D">
        <w:rPr>
          <w:szCs w:val="22"/>
        </w:rPr>
        <w:t xml:space="preserve">  And LMG does not describe an</w:t>
      </w:r>
      <w:r w:rsidR="00722740">
        <w:rPr>
          <w:szCs w:val="22"/>
        </w:rPr>
        <w:t>y</w:t>
      </w:r>
      <w:r w:rsidRPr="00722740" w:rsidR="0098082D">
        <w:rPr>
          <w:szCs w:val="22"/>
        </w:rPr>
        <w:t xml:space="preserve"> attempt to meet the publicly announced deadline.</w:t>
      </w:r>
    </w:p>
    <w:p w:rsidR="00316781" w:rsidP="00E932CC" w14:paraId="6384AD5F" w14:textId="01BE9D77">
      <w:pPr>
        <w:pStyle w:val="ParaNum"/>
        <w:widowControl/>
        <w:numPr>
          <w:ilvl w:val="0"/>
          <w:numId w:val="2"/>
        </w:numPr>
        <w:tabs>
          <w:tab w:val="clear" w:pos="1080"/>
          <w:tab w:val="num" w:pos="1440"/>
        </w:tabs>
      </w:pPr>
      <w:r>
        <w:t xml:space="preserve">LMG cites </w:t>
      </w:r>
      <w:r w:rsidR="0050508D">
        <w:t>five</w:t>
      </w:r>
      <w:r w:rsidR="2822006B">
        <w:t xml:space="preserve"> </w:t>
      </w:r>
      <w:r w:rsidR="0050508D">
        <w:t>deadline</w:t>
      </w:r>
      <w:r w:rsidR="7EC0F503">
        <w:t xml:space="preserve"> extension</w:t>
      </w:r>
      <w:r w:rsidR="0050508D">
        <w:t xml:space="preserve">s </w:t>
      </w:r>
      <w:r w:rsidR="48C28293">
        <w:t>announced in March and April in response to</w:t>
      </w:r>
      <w:r w:rsidR="0050508D">
        <w:t xml:space="preserve"> the pandemic.</w:t>
      </w:r>
      <w:r>
        <w:rPr>
          <w:rStyle w:val="FootnoteReference"/>
          <w:szCs w:val="22"/>
        </w:rPr>
        <w:footnoteReference w:id="56"/>
      </w:r>
      <w:r w:rsidR="009B309F">
        <w:t xml:space="preserve">  </w:t>
      </w:r>
      <w:r w:rsidR="004D399C">
        <w:t xml:space="preserve">These </w:t>
      </w:r>
      <w:r w:rsidR="29414BFC">
        <w:t>extensions</w:t>
      </w:r>
      <w:r w:rsidR="009B309F">
        <w:t xml:space="preserve"> are no basis for waiving the July 15, 2020 short-form application deadline </w:t>
      </w:r>
      <w:r w:rsidR="00063D47">
        <w:t xml:space="preserve">established in the </w:t>
      </w:r>
      <w:r w:rsidRPr="640B2A61" w:rsidR="00063D47">
        <w:rPr>
          <w:i/>
        </w:rPr>
        <w:t>Auction 904 Procedu</w:t>
      </w:r>
      <w:r w:rsidRPr="640B2A61" w:rsidR="00691B56">
        <w:rPr>
          <w:i/>
        </w:rPr>
        <w:t>r</w:t>
      </w:r>
      <w:r w:rsidRPr="640B2A61" w:rsidR="00063D47">
        <w:rPr>
          <w:i/>
        </w:rPr>
        <w:t>es Public Notice</w:t>
      </w:r>
      <w:r w:rsidR="00063D47">
        <w:t xml:space="preserve"> on</w:t>
      </w:r>
      <w:r w:rsidR="009B309F">
        <w:t xml:space="preserve"> Ju</w:t>
      </w:r>
      <w:r w:rsidR="00063D47">
        <w:t>ne 11, 2020</w:t>
      </w:r>
      <w:r w:rsidR="00EF4BC3">
        <w:t>, more than a month before the deadline</w:t>
      </w:r>
      <w:r w:rsidR="00063D47">
        <w:t>.</w:t>
      </w:r>
      <w:r w:rsidR="003A6D7B">
        <w:t xml:space="preserve">  The cited orders </w:t>
      </w:r>
      <w:r w:rsidR="00CE39C4">
        <w:t xml:space="preserve">were </w:t>
      </w:r>
      <w:r w:rsidR="003A6D7B">
        <w:t>released b</w:t>
      </w:r>
      <w:r w:rsidR="0050508D">
        <w:t xml:space="preserve">etween March </w:t>
      </w:r>
      <w:r w:rsidR="004D399C">
        <w:t xml:space="preserve">13 and April 2 </w:t>
      </w:r>
      <w:r w:rsidR="00CE39C4">
        <w:t xml:space="preserve">and </w:t>
      </w:r>
      <w:r w:rsidR="004D399C">
        <w:t xml:space="preserve">extended deadlines </w:t>
      </w:r>
      <w:r w:rsidR="78CC870C">
        <w:t>originally set prior to</w:t>
      </w:r>
      <w:r w:rsidR="005B5088">
        <w:t xml:space="preserve"> the pandemic.</w:t>
      </w:r>
      <w:r>
        <w:rPr>
          <w:rStyle w:val="FootnoteReference"/>
          <w:szCs w:val="22"/>
        </w:rPr>
        <w:footnoteReference w:id="57"/>
      </w:r>
      <w:r w:rsidR="005B5088">
        <w:t xml:space="preserve">  </w:t>
      </w:r>
      <w:r w:rsidR="00AA76C4">
        <w:t>As such, they were responses to emergent circumstances.  In contrast, t</w:t>
      </w:r>
      <w:r w:rsidR="005B5088">
        <w:t xml:space="preserve">he </w:t>
      </w:r>
      <w:r w:rsidRPr="640B2A61" w:rsidR="00157255">
        <w:rPr>
          <w:i/>
        </w:rPr>
        <w:t xml:space="preserve">Auction 904 Procedures Public Notice </w:t>
      </w:r>
      <w:r w:rsidR="00157255">
        <w:t>established the short-form application</w:t>
      </w:r>
      <w:r w:rsidR="00CE39C4">
        <w:t xml:space="preserve"> deadline</w:t>
      </w:r>
      <w:r w:rsidR="00157255">
        <w:t xml:space="preserve"> more than two months after the last of these </w:t>
      </w:r>
      <w:r w:rsidR="00AE4032">
        <w:t>extensions</w:t>
      </w:r>
      <w:r w:rsidR="00693928">
        <w:t xml:space="preserve">, </w:t>
      </w:r>
      <w:r w:rsidR="000E38B5">
        <w:t xml:space="preserve">and </w:t>
      </w:r>
      <w:r w:rsidR="00693928">
        <w:t xml:space="preserve">only after </w:t>
      </w:r>
      <w:r w:rsidR="000E38B5">
        <w:t>declin</w:t>
      </w:r>
      <w:r w:rsidR="00693928">
        <w:t>ing</w:t>
      </w:r>
      <w:r w:rsidR="000E38B5">
        <w:t xml:space="preserve"> a</w:t>
      </w:r>
      <w:r w:rsidR="00617734">
        <w:t xml:space="preserve"> </w:t>
      </w:r>
      <w:r w:rsidR="000E38B5">
        <w:t>suggestion that the auction be delayed</w:t>
      </w:r>
      <w:r w:rsidR="00617734">
        <w:t xml:space="preserve"> due to the pandemic</w:t>
      </w:r>
      <w:r w:rsidR="00693928">
        <w:t>.  In addition</w:t>
      </w:r>
      <w:r w:rsidR="00617734">
        <w:t xml:space="preserve">, </w:t>
      </w:r>
      <w:r w:rsidR="00AC0E99">
        <w:t xml:space="preserve">as noted in the </w:t>
      </w:r>
      <w:r w:rsidR="00AC0E99">
        <w:rPr>
          <w:i/>
          <w:iCs/>
        </w:rPr>
        <w:t>Auction 904 Procedures Public Notice,</w:t>
      </w:r>
      <w:r w:rsidRPr="00461B18" w:rsidR="00AC0E99">
        <w:rPr>
          <w:i/>
        </w:rPr>
        <w:t xml:space="preserve"> </w:t>
      </w:r>
      <w:r w:rsidR="000F4E71">
        <w:t>other parties</w:t>
      </w:r>
      <w:r w:rsidR="00693928">
        <w:t xml:space="preserve"> respond</w:t>
      </w:r>
      <w:r w:rsidR="00AC0E99">
        <w:t>ing</w:t>
      </w:r>
      <w:r w:rsidR="00693928">
        <w:t xml:space="preserve"> to the suggestion affirmatively</w:t>
      </w:r>
      <w:r w:rsidR="000F4E71">
        <w:t xml:space="preserve"> oppos</w:t>
      </w:r>
      <w:r w:rsidR="00693928">
        <w:t>ed</w:t>
      </w:r>
      <w:r w:rsidR="000F4E71">
        <w:t xml:space="preserve"> any delay.</w:t>
      </w:r>
      <w:r>
        <w:rPr>
          <w:rStyle w:val="FootnoteReference"/>
        </w:rPr>
        <w:footnoteReference w:id="58"/>
      </w:r>
      <w:r w:rsidR="00C009F5">
        <w:rPr>
          <w:rStyle w:val="FootnoteReference"/>
        </w:rPr>
        <w:t xml:space="preserve"> </w:t>
      </w:r>
      <w:r w:rsidR="000F4E71">
        <w:t xml:space="preserve"> </w:t>
      </w:r>
      <w:r w:rsidR="1DC889D2">
        <w:t>P</w:t>
      </w:r>
      <w:r w:rsidR="005369C0">
        <w:t>rior action</w:t>
      </w:r>
      <w:r w:rsidR="00622D92">
        <w:t>s</w:t>
      </w:r>
      <w:r w:rsidR="005369C0">
        <w:t xml:space="preserve"> extending deadlines </w:t>
      </w:r>
      <w:r w:rsidR="00C97DA6">
        <w:t xml:space="preserve">that were </w:t>
      </w:r>
      <w:r w:rsidR="005369C0">
        <w:t xml:space="preserve">established before the pandemic </w:t>
      </w:r>
      <w:r w:rsidR="412A62E1">
        <w:t xml:space="preserve">simply </w:t>
      </w:r>
      <w:r w:rsidR="0054327A">
        <w:t>are not persuasive precedents</w:t>
      </w:r>
      <w:r w:rsidR="00622D92">
        <w:t xml:space="preserve"> for</w:t>
      </w:r>
      <w:r w:rsidR="00BD53E6">
        <w:t xml:space="preserve"> extending the Auction 904 short-form application deadline.</w:t>
      </w:r>
    </w:p>
    <w:p w:rsidR="00EE6367" w:rsidP="00BF19C6" w14:paraId="7DB746EB" w14:textId="36BFD86C">
      <w:pPr>
        <w:pStyle w:val="ParaNum"/>
        <w:widowControl/>
        <w:numPr>
          <w:ilvl w:val="0"/>
          <w:numId w:val="2"/>
        </w:numPr>
        <w:tabs>
          <w:tab w:val="clear" w:pos="1080"/>
          <w:tab w:val="num" w:pos="1440"/>
          <w:tab w:val="left" w:pos="2880"/>
        </w:tabs>
      </w:pPr>
      <w:r w:rsidRPr="640B2A61">
        <w:t xml:space="preserve">Each Petitioner </w:t>
      </w:r>
      <w:r w:rsidR="00902939">
        <w:t xml:space="preserve">other than LMG </w:t>
      </w:r>
      <w:r w:rsidRPr="640B2A61">
        <w:t xml:space="preserve">further contends that it should be excused from meeting the deadline due to technical </w:t>
      </w:r>
      <w:r w:rsidR="00C97DA6">
        <w:t xml:space="preserve">filing </w:t>
      </w:r>
      <w:r w:rsidRPr="640B2A61">
        <w:t>difficulties</w:t>
      </w:r>
      <w:r w:rsidRPr="640B2A61" w:rsidR="00441116">
        <w:t xml:space="preserve">, with the earliest </w:t>
      </w:r>
      <w:r w:rsidR="00734E4A">
        <w:t xml:space="preserve">first </w:t>
      </w:r>
      <w:r w:rsidRPr="640B2A61" w:rsidR="00441116">
        <w:t xml:space="preserve">encountering impediments with just over two hours remaining in the </w:t>
      </w:r>
      <w:r w:rsidR="00C97DA6">
        <w:t xml:space="preserve">two-week long filing </w:t>
      </w:r>
      <w:r w:rsidRPr="640B2A61" w:rsidR="00441116">
        <w:t xml:space="preserve">window and others </w:t>
      </w:r>
      <w:r w:rsidR="0031574A">
        <w:t>within</w:t>
      </w:r>
      <w:r w:rsidRPr="640B2A61" w:rsidR="00441116">
        <w:t xml:space="preserve"> the last few minutes.</w:t>
      </w:r>
      <w:r>
        <w:rPr>
          <w:rStyle w:val="FootnoteReference"/>
        </w:rPr>
        <w:footnoteReference w:id="59"/>
      </w:r>
      <w:r w:rsidRPr="0049597C" w:rsidR="00441116">
        <w:rPr>
          <w:szCs w:val="22"/>
        </w:rPr>
        <w:t xml:space="preserve">  </w:t>
      </w:r>
      <w:r w:rsidRPr="640B2A61" w:rsidR="00441116">
        <w:t xml:space="preserve">As the Commission observed when </w:t>
      </w:r>
      <w:r w:rsidRPr="640B2A61" w:rsidR="0049597C">
        <w:t>declining</w:t>
      </w:r>
      <w:r w:rsidRPr="640B2A61" w:rsidR="00441116">
        <w:t xml:space="preserve"> to waive the </w:t>
      </w:r>
      <w:r w:rsidRPr="640B2A61" w:rsidR="005449D7">
        <w:t>Auct</w:t>
      </w:r>
      <w:r w:rsidRPr="640B2A61" w:rsidR="0049597C">
        <w:t>i</w:t>
      </w:r>
      <w:r w:rsidRPr="640B2A61" w:rsidR="005449D7">
        <w:t xml:space="preserve">on 101 </w:t>
      </w:r>
      <w:r w:rsidRPr="640B2A61" w:rsidR="00441116">
        <w:t>short-form deadline, a would-be applicant that waits until the last five minutes “of the two-week filing window to attempt to certify and submit its short-form application . . . assumed the risk that the certification and submission of the application would not be completed within the next five minutes.  Five minutes can in no way be considered a ‘reasonable margin of error,</w:t>
      </w:r>
      <w:r w:rsidRPr="0049597C" w:rsidR="005449D7">
        <w:rPr>
          <w:szCs w:val="22"/>
        </w:rPr>
        <w:t>’</w:t>
      </w:r>
      <w:r w:rsidRPr="640B2A61" w:rsidR="00441116">
        <w:t xml:space="preserve"> particularly when the short-form application filing window was open for two weeks.”</w:t>
      </w:r>
      <w:r>
        <w:rPr>
          <w:rStyle w:val="FootnoteReference"/>
        </w:rPr>
        <w:footnoteReference w:id="60"/>
      </w:r>
      <w:r w:rsidR="00C97DA6">
        <w:t xml:space="preserve">  </w:t>
      </w:r>
      <w:r w:rsidR="000370DF">
        <w:t>SmartSky</w:t>
      </w:r>
      <w:r w:rsidR="000370DF">
        <w:t xml:space="preserve"> describes final efforts to file </w:t>
      </w:r>
      <w:r w:rsidR="00632AE6">
        <w:t>that began</w:t>
      </w:r>
      <w:r w:rsidR="000370DF">
        <w:t xml:space="preserve"> less than two and half hours before the </w:t>
      </w:r>
      <w:r w:rsidR="00632AE6">
        <w:t>close of a filing</w:t>
      </w:r>
      <w:r w:rsidR="000370DF">
        <w:t xml:space="preserve"> window that was open for </w:t>
      </w:r>
      <w:r w:rsidR="00632AE6">
        <w:t>over three hundred</w:t>
      </w:r>
      <w:r w:rsidR="000370DF">
        <w:t xml:space="preserve"> hours.  </w:t>
      </w:r>
      <w:r w:rsidR="000370DF">
        <w:t>SmartSky’s</w:t>
      </w:r>
      <w:r w:rsidR="000370DF">
        <w:t xml:space="preserve"> margin of error</w:t>
      </w:r>
      <w:r w:rsidR="00632AE6">
        <w:t>, while more than five minutes,</w:t>
      </w:r>
      <w:r w:rsidR="000370DF">
        <w:t xml:space="preserve"> was </w:t>
      </w:r>
      <w:r w:rsidR="00632AE6">
        <w:t xml:space="preserve">not </w:t>
      </w:r>
      <w:r w:rsidR="000370DF">
        <w:t xml:space="preserve">so much more </w:t>
      </w:r>
      <w:r w:rsidR="00632AE6">
        <w:t>that it</w:t>
      </w:r>
      <w:r w:rsidR="000370DF">
        <w:t xml:space="preserve"> </w:t>
      </w:r>
      <w:r w:rsidR="00632AE6">
        <w:t>can</w:t>
      </w:r>
      <w:r w:rsidR="000370DF">
        <w:t xml:space="preserve"> justify deviating from standard enforcement of the deadline.</w:t>
      </w:r>
      <w:r w:rsidR="00AA76C4">
        <w:t xml:space="preserve">  </w:t>
      </w:r>
      <w:r w:rsidR="00AA76C4">
        <w:rPr>
          <w:szCs w:val="22"/>
        </w:rPr>
        <w:t>This is precisely why the Commission strongly encourages applicants to file early.</w:t>
      </w:r>
      <w:r w:rsidR="000370DF">
        <w:t xml:space="preserve">  </w:t>
      </w:r>
    </w:p>
    <w:p w:rsidR="00F66AFA" w:rsidP="002B7846" w14:paraId="56D5A09A" w14:textId="4FD70B6F">
      <w:pPr>
        <w:pStyle w:val="ParaNum"/>
        <w:widowControl/>
        <w:numPr>
          <w:ilvl w:val="0"/>
          <w:numId w:val="2"/>
        </w:numPr>
        <w:tabs>
          <w:tab w:val="clear" w:pos="1080"/>
          <w:tab w:val="num" w:pos="1440"/>
        </w:tabs>
      </w:pPr>
      <w:r>
        <w:t>Moreover, i</w:t>
      </w:r>
      <w:r w:rsidRPr="640B2A61" w:rsidR="00920928">
        <w:t xml:space="preserve">nternal </w:t>
      </w:r>
      <w:r w:rsidRPr="640B2A61" w:rsidR="00A34BB3">
        <w:t xml:space="preserve">staff </w:t>
      </w:r>
      <w:r w:rsidRPr="640B2A61" w:rsidR="00920928">
        <w:t xml:space="preserve">review has not identified any problem with the Commission’s application system that precluded an applicant from submitting and certifying an application up to the close of the application window.  </w:t>
      </w:r>
      <w:r w:rsidR="00F90D9A">
        <w:t>SmartSky</w:t>
      </w:r>
      <w:r w:rsidR="00F90D9A">
        <w:t xml:space="preserve"> and, to a lesser extent, ATS </w:t>
      </w:r>
      <w:r>
        <w:t xml:space="preserve">both </w:t>
      </w:r>
      <w:r>
        <w:t>attempt</w:t>
      </w:r>
      <w:r>
        <w:t xml:space="preserve"> to detail</w:t>
      </w:r>
      <w:r w:rsidR="00F90D9A">
        <w:t xml:space="preserve"> technical difficulties </w:t>
      </w:r>
      <w:r>
        <w:t xml:space="preserve">each </w:t>
      </w:r>
      <w:r w:rsidR="00F90D9A">
        <w:t>encountered</w:t>
      </w:r>
      <w:r w:rsidR="00097B1E">
        <w:t>.</w:t>
      </w:r>
      <w:r w:rsidR="00DE1FB4">
        <w:t xml:space="preserve">  </w:t>
      </w:r>
      <w:r w:rsidR="00DE1FB4">
        <w:t>SmartSky</w:t>
      </w:r>
      <w:r w:rsidR="00DE1FB4">
        <w:t xml:space="preserve"> describes “</w:t>
      </w:r>
      <w:r w:rsidR="005F5126">
        <w:t xml:space="preserve">the automatic addition by the system of unknown files . . . an apparent continuous virus scan that kept </w:t>
      </w:r>
      <w:r w:rsidR="00E33DBB">
        <w:t>[files] . . .</w:t>
      </w:r>
      <w:r w:rsidR="005F5126">
        <w:t xml:space="preserve"> from being uploaded; a “spinning” symbol apparently resulting from the continuing virus scan; and a resulting inability to complete any other part of the application</w:t>
      </w:r>
      <w:r w:rsidR="00E33DBB">
        <w:t xml:space="preserve"> . . .</w:t>
      </w:r>
      <w:r w:rsidR="005F5126">
        <w:t xml:space="preserve"> despite the numerous attempts, more than 30, by </w:t>
      </w:r>
      <w:r w:rsidR="005F5126">
        <w:t>SmartSky</w:t>
      </w:r>
      <w:r w:rsidR="005F5126">
        <w:t xml:space="preserve"> to complete the filing between 3:44 p.m. and 6:00 p.m.</w:t>
      </w:r>
      <w:r w:rsidR="00DE1FB4">
        <w:t>”</w:t>
      </w:r>
      <w:r>
        <w:rPr>
          <w:rStyle w:val="FootnoteReference"/>
        </w:rPr>
        <w:footnoteReference w:id="61"/>
      </w:r>
      <w:r w:rsidR="00E33DBB">
        <w:t xml:space="preserve">  ATS references “</w:t>
      </w:r>
      <w:r w:rsidR="00BB6454">
        <w:t>repeated delays uploading and scanning its attachments.”</w:t>
      </w:r>
      <w:r>
        <w:rPr>
          <w:rStyle w:val="FootnoteReference"/>
        </w:rPr>
        <w:footnoteReference w:id="62"/>
      </w:r>
      <w:r w:rsidR="00632304">
        <w:t xml:space="preserve">  </w:t>
      </w:r>
      <w:r w:rsidR="000C6D75">
        <w:t xml:space="preserve">These assertions </w:t>
      </w:r>
      <w:r w:rsidR="005A5F00">
        <w:t xml:space="preserve">do not </w:t>
      </w:r>
      <w:r w:rsidR="00987177">
        <w:t xml:space="preserve">establish that </w:t>
      </w:r>
      <w:r w:rsidR="00981902">
        <w:t xml:space="preserve">it was the Commission’s </w:t>
      </w:r>
      <w:r w:rsidR="000C0D56">
        <w:t xml:space="preserve">application </w:t>
      </w:r>
      <w:r w:rsidR="00FD6B08">
        <w:t>system</w:t>
      </w:r>
      <w:r w:rsidR="000C0D56">
        <w:t xml:space="preserve"> rather than </w:t>
      </w:r>
      <w:r w:rsidR="00C826F3">
        <w:t>Petitioner</w:t>
      </w:r>
      <w:r w:rsidR="001F028E">
        <w:t xml:space="preserve">s’ </w:t>
      </w:r>
      <w:r w:rsidR="00430614">
        <w:t>connections or systems</w:t>
      </w:r>
      <w:r w:rsidR="000C6D75">
        <w:t xml:space="preserve"> </w:t>
      </w:r>
      <w:r w:rsidR="001915A4">
        <w:t xml:space="preserve">or user error </w:t>
      </w:r>
      <w:r w:rsidR="00507407">
        <w:t xml:space="preserve">that </w:t>
      </w:r>
      <w:r w:rsidR="00F36712">
        <w:t xml:space="preserve">was the </w:t>
      </w:r>
      <w:r w:rsidR="0062248A">
        <w:t xml:space="preserve">cause of their problems.  </w:t>
      </w:r>
      <w:r w:rsidR="00547841">
        <w:t xml:space="preserve">Accordingly, </w:t>
      </w:r>
      <w:r w:rsidR="00F5590D">
        <w:t xml:space="preserve">Petitioners </w:t>
      </w:r>
      <w:r w:rsidR="00CA2700">
        <w:t xml:space="preserve">bear responsibility for </w:t>
      </w:r>
      <w:r w:rsidR="005F439C">
        <w:t>the delays they</w:t>
      </w:r>
      <w:r w:rsidR="0000791E">
        <w:t xml:space="preserve"> encountered, not the Commission.</w:t>
      </w:r>
      <w:r>
        <w:rPr>
          <w:rStyle w:val="FootnoteReference"/>
        </w:rPr>
        <w:footnoteReference w:id="63"/>
      </w:r>
      <w:r w:rsidR="0000791E">
        <w:t xml:space="preserve">  </w:t>
      </w:r>
      <w:r w:rsidRPr="640B2A61" w:rsidR="001E7EF8">
        <w:t xml:space="preserve">  </w:t>
      </w:r>
    </w:p>
    <w:p w:rsidR="004C3682" w:rsidRPr="0049597C" w:rsidP="0049597C" w14:paraId="726DCF1F" w14:textId="473BAD32">
      <w:pPr>
        <w:pStyle w:val="ParaNum"/>
        <w:widowControl/>
        <w:numPr>
          <w:ilvl w:val="0"/>
          <w:numId w:val="2"/>
        </w:numPr>
        <w:tabs>
          <w:tab w:val="clear" w:pos="1080"/>
          <w:tab w:val="num" w:pos="1440"/>
        </w:tabs>
      </w:pPr>
      <w:r w:rsidRPr="640B2A61">
        <w:t>No</w:t>
      </w:r>
      <w:r w:rsidRPr="640B2A61" w:rsidR="008F76FE">
        <w:t xml:space="preserve">twithstanding the repeated cautions, admonitions and encouragements of the Commission, </w:t>
      </w:r>
      <w:r w:rsidR="000370DF">
        <w:t xml:space="preserve">before the filing window closed </w:t>
      </w:r>
      <w:r w:rsidRPr="640B2A61" w:rsidR="008F76FE">
        <w:t>no</w:t>
      </w:r>
      <w:r w:rsidRPr="640B2A61">
        <w:t xml:space="preserve">ne of </w:t>
      </w:r>
      <w:r w:rsidRPr="640B2A61" w:rsidR="008F76FE">
        <w:t>the</w:t>
      </w:r>
      <w:r w:rsidR="000370DF">
        <w:t xml:space="preserve"> Petitioners</w:t>
      </w:r>
      <w:r w:rsidR="00191C36">
        <w:rPr>
          <w:szCs w:val="22"/>
        </w:rPr>
        <w:t xml:space="preserve"> </w:t>
      </w:r>
      <w:r w:rsidRPr="640B2A61" w:rsidR="00E250B1">
        <w:t xml:space="preserve">sought assistance </w:t>
      </w:r>
      <w:r w:rsidR="00421AC3">
        <w:t xml:space="preserve">from the Commission staff </w:t>
      </w:r>
      <w:r w:rsidRPr="640B2A61" w:rsidR="008F76FE">
        <w:t xml:space="preserve">with </w:t>
      </w:r>
      <w:r w:rsidR="000370DF">
        <w:t>any purported</w:t>
      </w:r>
      <w:r w:rsidRPr="640B2A61" w:rsidR="008F76FE">
        <w:t xml:space="preserve"> technical difficulties</w:t>
      </w:r>
      <w:r w:rsidR="00AC0605">
        <w:rPr>
          <w:szCs w:val="22"/>
        </w:rPr>
        <w:t>,</w:t>
      </w:r>
      <w:r w:rsidR="008F76FE">
        <w:rPr>
          <w:szCs w:val="22"/>
        </w:rPr>
        <w:t xml:space="preserve"> </w:t>
      </w:r>
      <w:r w:rsidRPr="640B2A61" w:rsidR="00E250B1">
        <w:t xml:space="preserve">or even brought </w:t>
      </w:r>
      <w:r w:rsidR="000370DF">
        <w:t>them</w:t>
      </w:r>
      <w:r w:rsidRPr="640B2A61" w:rsidR="00E250B1">
        <w:t xml:space="preserve"> to the </w:t>
      </w:r>
      <w:r w:rsidR="00421AC3">
        <w:t>staff’s</w:t>
      </w:r>
      <w:r w:rsidRPr="640B2A61" w:rsidR="00421AC3">
        <w:t xml:space="preserve"> </w:t>
      </w:r>
      <w:r w:rsidRPr="640B2A61" w:rsidR="00E250B1">
        <w:t>attention</w:t>
      </w:r>
      <w:r w:rsidR="002B1CD2">
        <w:rPr>
          <w:szCs w:val="22"/>
        </w:rPr>
        <w:t>.</w:t>
      </w:r>
      <w:r>
        <w:rPr>
          <w:rStyle w:val="FootnoteReference"/>
          <w:szCs w:val="22"/>
        </w:rPr>
        <w:footnoteReference w:id="64"/>
      </w:r>
      <w:r w:rsidR="002B1CD2">
        <w:rPr>
          <w:szCs w:val="22"/>
        </w:rPr>
        <w:t xml:space="preserve"> </w:t>
      </w:r>
      <w:r w:rsidR="001D12A1">
        <w:t>T</w:t>
      </w:r>
      <w:r w:rsidRPr="640B2A61" w:rsidR="004F14EB">
        <w:t>he</w:t>
      </w:r>
      <w:r w:rsidRPr="640B2A61" w:rsidR="0063121E">
        <w:t xml:space="preserve"> Petitioners’</w:t>
      </w:r>
      <w:r w:rsidRPr="640B2A61" w:rsidR="004F14EB">
        <w:t xml:space="preserve"> failure to contact Commission staff</w:t>
      </w:r>
      <w:r w:rsidRPr="640B2A61" w:rsidR="00135A77">
        <w:t xml:space="preserve"> ruled out any possibility</w:t>
      </w:r>
      <w:r w:rsidR="00DE5B48">
        <w:t xml:space="preserve"> that </w:t>
      </w:r>
      <w:r w:rsidRPr="640B2A61" w:rsidR="00DE5B48">
        <w:t xml:space="preserve">Commission assistance </w:t>
      </w:r>
      <w:r w:rsidR="00DE5B48">
        <w:t xml:space="preserve">would </w:t>
      </w:r>
      <w:r w:rsidRPr="640B2A61" w:rsidR="00DE5B48">
        <w:t xml:space="preserve">have </w:t>
      </w:r>
      <w:r w:rsidR="00DE5B48">
        <w:t>helped to</w:t>
      </w:r>
      <w:r w:rsidRPr="640B2A61" w:rsidR="00DE5B48">
        <w:t xml:space="preserve"> resolve problems encountered in the last few minutes</w:t>
      </w:r>
      <w:r w:rsidR="000400D1">
        <w:rPr>
          <w:szCs w:val="22"/>
        </w:rPr>
        <w:t xml:space="preserve">.  </w:t>
      </w:r>
      <w:r w:rsidR="001D12A1">
        <w:t xml:space="preserve">In fact, </w:t>
      </w:r>
      <w:r w:rsidR="00AC0E99">
        <w:t xml:space="preserve">the system did not require </w:t>
      </w:r>
      <w:r w:rsidRPr="640B2A61" w:rsidR="002B7846">
        <w:t xml:space="preserve">uploads of attachments to be completed before certifying and submitting the application.  </w:t>
      </w:r>
    </w:p>
    <w:p w:rsidR="00726C3D" w:rsidRPr="00726C3D" w:rsidP="00726C3D" w14:paraId="6E7DB16E" w14:textId="694614DD">
      <w:pPr>
        <w:pStyle w:val="ParaNum"/>
        <w:widowControl/>
        <w:numPr>
          <w:ilvl w:val="0"/>
          <w:numId w:val="2"/>
        </w:numPr>
        <w:tabs>
          <w:tab w:val="clear" w:pos="1080"/>
          <w:tab w:val="num" w:pos="1440"/>
        </w:tabs>
      </w:pPr>
      <w:r w:rsidRPr="640B2A61">
        <w:t>Each p</w:t>
      </w:r>
      <w:r w:rsidRPr="640B2A61" w:rsidR="00515693">
        <w:t xml:space="preserve">etitioner </w:t>
      </w:r>
      <w:r w:rsidR="002228EA">
        <w:t xml:space="preserve">other than LMG </w:t>
      </w:r>
      <w:r w:rsidRPr="640B2A61" w:rsidR="00515693">
        <w:t xml:space="preserve">also </w:t>
      </w:r>
      <w:r w:rsidRPr="640B2A61" w:rsidR="00422D1C">
        <w:t>asserts</w:t>
      </w:r>
      <w:r w:rsidRPr="640B2A61" w:rsidR="00515693">
        <w:t xml:space="preserve"> that </w:t>
      </w:r>
      <w:r w:rsidRPr="640B2A61">
        <w:t>the</w:t>
      </w:r>
      <w:r w:rsidRPr="640B2A61" w:rsidR="00422D1C">
        <w:t xml:space="preserve"> deadline should be waived given the</w:t>
      </w:r>
      <w:r w:rsidRPr="640B2A61">
        <w:t xml:space="preserve"> status of its</w:t>
      </w:r>
      <w:r w:rsidRPr="640B2A61" w:rsidR="00515693">
        <w:t xml:space="preserve"> application prior to the </w:t>
      </w:r>
      <w:r w:rsidRPr="640B2A61" w:rsidR="00CC51EF">
        <w:t>deadline.</w:t>
      </w:r>
      <w:r>
        <w:rPr>
          <w:rStyle w:val="FootnoteReference"/>
          <w:szCs w:val="22"/>
        </w:rPr>
        <w:footnoteReference w:id="65"/>
      </w:r>
      <w:r w:rsidR="00CC51EF">
        <w:rPr>
          <w:szCs w:val="22"/>
        </w:rPr>
        <w:t xml:space="preserve">  </w:t>
      </w:r>
      <w:r w:rsidRPr="640B2A61" w:rsidR="00614322">
        <w:t xml:space="preserve">Native Networks </w:t>
      </w:r>
      <w:r w:rsidRPr="640B2A61" w:rsidR="00901BA3">
        <w:t xml:space="preserve">asserts that its application was 95 percent complete on July 9, nearly a week prior to the application deadline.  </w:t>
      </w:r>
      <w:r w:rsidRPr="640B2A61" w:rsidR="00B75CF5">
        <w:t>SmartSky</w:t>
      </w:r>
      <w:r w:rsidRPr="640B2A61" w:rsidR="00B75CF5">
        <w:t xml:space="preserve"> </w:t>
      </w:r>
      <w:r w:rsidRPr="640B2A61" w:rsidR="0055453D">
        <w:t xml:space="preserve">argues that </w:t>
      </w:r>
      <w:r w:rsidRPr="640B2A61" w:rsidR="005569CC">
        <w:t xml:space="preserve">it </w:t>
      </w:r>
      <w:r w:rsidRPr="640B2A61" w:rsidR="00E40938">
        <w:t>essentially met the deadline, at least as well as any applicant that might subsequently amend its application</w:t>
      </w:r>
      <w:r w:rsidR="00584B09">
        <w:t>.</w:t>
      </w:r>
      <w:r>
        <w:rPr>
          <w:rStyle w:val="FootnoteReference"/>
        </w:rPr>
        <w:footnoteReference w:id="66"/>
      </w:r>
      <w:r w:rsidR="007E56A0">
        <w:rPr>
          <w:szCs w:val="22"/>
        </w:rPr>
        <w:t xml:space="preserve">  </w:t>
      </w:r>
      <w:r w:rsidRPr="640B2A61" w:rsidR="0055453D">
        <w:t>ATS</w:t>
      </w:r>
      <w:r w:rsidRPr="640B2A61" w:rsidR="004F40DB">
        <w:t xml:space="preserve"> and </w:t>
      </w:r>
      <w:r w:rsidRPr="640B2A61" w:rsidR="004F40DB">
        <w:t>Elektrafi</w:t>
      </w:r>
      <w:r w:rsidRPr="640B2A61" w:rsidR="004F40DB">
        <w:t xml:space="preserve"> </w:t>
      </w:r>
      <w:r w:rsidRPr="640B2A61" w:rsidR="007F7229">
        <w:t xml:space="preserve">also </w:t>
      </w:r>
      <w:r w:rsidRPr="640B2A61" w:rsidR="004F40DB">
        <w:t xml:space="preserve">both contend that </w:t>
      </w:r>
      <w:r w:rsidRPr="640B2A61" w:rsidR="00A84FD2">
        <w:t>they effectively had completed their applications</w:t>
      </w:r>
      <w:r w:rsidRPr="640B2A61" w:rsidR="00961BC8">
        <w:t xml:space="preserve"> prior to the deadline</w:t>
      </w:r>
      <w:r w:rsidRPr="007967DA" w:rsidR="00820CDC">
        <w:rPr>
          <w:szCs w:val="22"/>
        </w:rPr>
        <w:t>.</w:t>
      </w:r>
      <w:r w:rsidRPr="007967DA" w:rsidR="00897425">
        <w:rPr>
          <w:szCs w:val="22"/>
        </w:rPr>
        <w:t xml:space="preserve">  </w:t>
      </w:r>
      <w:r w:rsidRPr="640B2A61" w:rsidR="0087158A">
        <w:t>ATS provides with its waiver request a copy of the only attachment it was unable to upload</w:t>
      </w:r>
      <w:r w:rsidRPr="640B2A61" w:rsidR="000D486A">
        <w:t xml:space="preserve"> and claims that it “should be able to complete and certify </w:t>
      </w:r>
      <w:r w:rsidRPr="640B2A61" w:rsidR="00CF595B">
        <w:t>its application almost instantly” upon accessing it.</w:t>
      </w:r>
      <w:r>
        <w:rPr>
          <w:rStyle w:val="FootnoteReference"/>
        </w:rPr>
        <w:footnoteReference w:id="67"/>
      </w:r>
      <w:r w:rsidR="00CF595B">
        <w:rPr>
          <w:szCs w:val="22"/>
        </w:rPr>
        <w:t xml:space="preserve">  </w:t>
      </w:r>
      <w:r w:rsidRPr="640B2A61" w:rsidR="003334C4">
        <w:t>Elektrafi</w:t>
      </w:r>
      <w:r w:rsidRPr="640B2A61" w:rsidR="003334C4">
        <w:t xml:space="preserve"> </w:t>
      </w:r>
      <w:r w:rsidRPr="640B2A61" w:rsidR="006B143A">
        <w:t xml:space="preserve">goes further and </w:t>
      </w:r>
      <w:r w:rsidRPr="640B2A61" w:rsidR="003334C4">
        <w:t>asserts that “</w:t>
      </w:r>
      <w:r w:rsidRPr="640B2A61" w:rsidR="00696FD0">
        <w:t xml:space="preserve">the Short-Form application should be saved in the </w:t>
      </w:r>
      <w:r w:rsidR="00E015D7">
        <w:t>[</w:t>
      </w:r>
      <w:r w:rsidRPr="640B2A61" w:rsidR="00696FD0">
        <w:t>R</w:t>
      </w:r>
      <w:r w:rsidR="00E015D7">
        <w:t xml:space="preserve">ural </w:t>
      </w:r>
      <w:r w:rsidRPr="640B2A61" w:rsidR="00696FD0">
        <w:t>D</w:t>
      </w:r>
      <w:r w:rsidR="00E015D7">
        <w:t xml:space="preserve">igital </w:t>
      </w:r>
      <w:r w:rsidRPr="640B2A61" w:rsidR="00696FD0">
        <w:t>O</w:t>
      </w:r>
      <w:r w:rsidR="00E015D7">
        <w:t xml:space="preserve">pportunity </w:t>
      </w:r>
      <w:r w:rsidRPr="640B2A61" w:rsidR="00696FD0">
        <w:t>F</w:t>
      </w:r>
      <w:r w:rsidR="00E015D7">
        <w:t>und]</w:t>
      </w:r>
      <w:r w:rsidRPr="640B2A61" w:rsidR="00696FD0">
        <w:t xml:space="preserve"> </w:t>
      </w:r>
      <w:r w:rsidRPr="640B2A61" w:rsidR="00405F10">
        <w:t>auction portal and the Commission need only accept the application as it was completed by the Company</w:t>
      </w:r>
      <w:r w:rsidRPr="640B2A61" w:rsidR="00004F24">
        <w:t xml:space="preserve"> prior to the Short-Form deadline</w:t>
      </w:r>
      <w:r w:rsidR="00961BC8">
        <w:rPr>
          <w:szCs w:val="22"/>
        </w:rPr>
        <w:t>,</w:t>
      </w:r>
      <w:r w:rsidR="00004F24">
        <w:rPr>
          <w:szCs w:val="22"/>
        </w:rPr>
        <w:t>”</w:t>
      </w:r>
      <w:r w:rsidRPr="640B2A61" w:rsidR="00961BC8">
        <w:t xml:space="preserve"> although it nonetheless includes a </w:t>
      </w:r>
      <w:r w:rsidR="00B4502A">
        <w:t>document it seeks to su</w:t>
      </w:r>
      <w:r w:rsidR="00F00BDB">
        <w:t xml:space="preserve">bmit as a short-form </w:t>
      </w:r>
      <w:r w:rsidRPr="640B2A61" w:rsidR="00961BC8">
        <w:t>attachment with its waiver request.</w:t>
      </w:r>
      <w:r>
        <w:rPr>
          <w:rStyle w:val="FootnoteReference"/>
        </w:rPr>
        <w:footnoteReference w:id="68"/>
      </w:r>
      <w:r>
        <w:rPr>
          <w:szCs w:val="22"/>
        </w:rPr>
        <w:t xml:space="preserve">  </w:t>
      </w:r>
      <w:r w:rsidR="00DA3D96">
        <w:t>SmartSky</w:t>
      </w:r>
      <w:r w:rsidR="00DA3D96">
        <w:t xml:space="preserve"> </w:t>
      </w:r>
      <w:r w:rsidR="004719E4">
        <w:t xml:space="preserve">and </w:t>
      </w:r>
      <w:r w:rsidR="004719E4">
        <w:t>Elektrafi</w:t>
      </w:r>
      <w:r w:rsidR="004719E4">
        <w:t xml:space="preserve"> contend</w:t>
      </w:r>
      <w:r w:rsidR="00DA3D96">
        <w:t xml:space="preserve"> that complet</w:t>
      </w:r>
      <w:r w:rsidR="006015BB">
        <w:t>ing</w:t>
      </w:r>
      <w:r w:rsidR="00DA3D96">
        <w:t xml:space="preserve"> materials on file with the Commission prior to the deadline amounts to little more than a </w:t>
      </w:r>
      <w:r w:rsidR="006015BB">
        <w:t xml:space="preserve">what would be a permissible </w:t>
      </w:r>
      <w:r w:rsidR="00DA3D96">
        <w:t>minor amendment that an applicant with a timely filed application might make.</w:t>
      </w:r>
      <w:r>
        <w:rPr>
          <w:rStyle w:val="FootnoteReference"/>
        </w:rPr>
        <w:footnoteReference w:id="69"/>
      </w:r>
    </w:p>
    <w:p w:rsidR="00BC54C0" w:rsidRPr="00726C3D" w:rsidP="00726C3D" w14:paraId="40447629" w14:textId="0C2A2936">
      <w:pPr>
        <w:pStyle w:val="ParaNum"/>
        <w:widowControl/>
        <w:numPr>
          <w:ilvl w:val="0"/>
          <w:numId w:val="2"/>
        </w:numPr>
        <w:tabs>
          <w:tab w:val="clear" w:pos="1080"/>
          <w:tab w:val="num" w:pos="1440"/>
        </w:tabs>
      </w:pPr>
      <w:r>
        <w:t>Th</w:t>
      </w:r>
      <w:r w:rsidR="00726C3D">
        <w:t xml:space="preserve">ese arguments </w:t>
      </w:r>
      <w:r>
        <w:t xml:space="preserve">overlook the </w:t>
      </w:r>
      <w:r w:rsidR="006C4B94">
        <w:t xml:space="preserve">clear requirements for </w:t>
      </w:r>
      <w:r w:rsidR="00E2583D">
        <w:t>applicants at the short-form application deadline</w:t>
      </w:r>
      <w:r>
        <w:t>.</w:t>
      </w:r>
      <w:r w:rsidR="00726C3D">
        <w:rPr>
          <w:szCs w:val="22"/>
        </w:rPr>
        <w:t xml:space="preserve">  </w:t>
      </w:r>
      <w:r w:rsidRPr="640B2A61">
        <w:t>Elektrafi</w:t>
      </w:r>
      <w:r w:rsidRPr="640B2A61">
        <w:t xml:space="preserve"> </w:t>
      </w:r>
      <w:r w:rsidRPr="640B2A61" w:rsidR="00E85FD3">
        <w:t xml:space="preserve">cites the Commission’s </w:t>
      </w:r>
      <w:r w:rsidRPr="00BF19C6" w:rsidR="00E85FD3">
        <w:rPr>
          <w:i/>
          <w:iCs/>
        </w:rPr>
        <w:t>Rural Digital Opportunity Fund</w:t>
      </w:r>
      <w:r w:rsidR="00931F51">
        <w:rPr>
          <w:i/>
          <w:iCs/>
        </w:rPr>
        <w:t xml:space="preserve"> Order</w:t>
      </w:r>
      <w:r w:rsidRPr="640B2A61" w:rsidR="00E85FD3">
        <w:t xml:space="preserve"> to </w:t>
      </w:r>
      <w:r w:rsidRPr="640B2A61" w:rsidR="004D47FF">
        <w:t>suggest</w:t>
      </w:r>
      <w:r w:rsidRPr="640B2A61" w:rsidR="00E85FD3">
        <w:t xml:space="preserve"> that </w:t>
      </w:r>
      <w:r w:rsidRPr="640B2A61" w:rsidR="004D47FF">
        <w:t xml:space="preserve">the Commission prioritizes auction participation over </w:t>
      </w:r>
      <w:r w:rsidRPr="640B2A61" w:rsidR="00FD6620">
        <w:t>collecting and reviewing</w:t>
      </w:r>
      <w:r w:rsidRPr="00726C3D" w:rsidR="004D47FF">
        <w:rPr>
          <w:szCs w:val="22"/>
        </w:rPr>
        <w:t xml:space="preserve"> </w:t>
      </w:r>
      <w:r w:rsidRPr="640B2A61" w:rsidR="002322F6">
        <w:t>information in the short-form application.</w:t>
      </w:r>
      <w:r>
        <w:rPr>
          <w:rStyle w:val="FootnoteReference"/>
        </w:rPr>
        <w:footnoteReference w:id="70"/>
      </w:r>
      <w:r w:rsidRPr="640B2A61" w:rsidR="002322F6">
        <w:t xml:space="preserve">  </w:t>
      </w:r>
      <w:r w:rsidRPr="640B2A61" w:rsidR="002322F6">
        <w:t>Elektrafi</w:t>
      </w:r>
      <w:r w:rsidRPr="00726C3D" w:rsidR="00FD6620">
        <w:rPr>
          <w:szCs w:val="22"/>
        </w:rPr>
        <w:t xml:space="preserve"> </w:t>
      </w:r>
      <w:r w:rsidRPr="640B2A61" w:rsidR="001C5BDA">
        <w:t>ignores</w:t>
      </w:r>
      <w:r w:rsidRPr="640B2A61" w:rsidR="00FD6620">
        <w:t xml:space="preserve"> the Commission’s decisions in the same </w:t>
      </w:r>
      <w:r w:rsidRPr="00BF19C6" w:rsidR="00FD6620">
        <w:rPr>
          <w:i/>
          <w:iCs/>
        </w:rPr>
        <w:t>Order</w:t>
      </w:r>
      <w:r w:rsidRPr="640B2A61" w:rsidR="00FD6620">
        <w:t xml:space="preserve"> </w:t>
      </w:r>
      <w:r w:rsidRPr="00726C3D" w:rsidR="00FD6620">
        <w:rPr>
          <w:szCs w:val="22"/>
        </w:rPr>
        <w:t>“</w:t>
      </w:r>
      <w:r w:rsidRPr="640B2A61" w:rsidR="00CB735F">
        <w:t>declin</w:t>
      </w:r>
      <w:r w:rsidRPr="640B2A61" w:rsidR="00CB735F">
        <w:t>[</w:t>
      </w:r>
      <w:r w:rsidRPr="640B2A61" w:rsidR="00CB735F">
        <w:t>ing</w:t>
      </w:r>
      <w:r w:rsidRPr="640B2A61" w:rsidR="00CB735F">
        <w:t>] to collect less financial and technical information from existing USF support recipients on the short-form than we did in CAF Phase II as suggested by some commenters.  It is important for Commission staff to review the same specific information from each carrier when evaluating carriers’ qualifications to bid.”</w:t>
      </w:r>
      <w:r>
        <w:rPr>
          <w:rStyle w:val="FootnoteReference"/>
        </w:rPr>
        <w:footnoteReference w:id="71"/>
      </w:r>
      <w:r w:rsidRPr="640B2A61" w:rsidR="00EC5B92">
        <w:t xml:space="preserve">  Thus, </w:t>
      </w:r>
      <w:r w:rsidR="00C97DA6">
        <w:t xml:space="preserve">in the </w:t>
      </w:r>
      <w:r w:rsidR="00C97DA6">
        <w:rPr>
          <w:i/>
          <w:iCs/>
        </w:rPr>
        <w:t xml:space="preserve">Rural Digital Opportunity Fund Order, </w:t>
      </w:r>
      <w:r w:rsidRPr="640B2A61" w:rsidR="00EC5B92">
        <w:t xml:space="preserve">the Commission </w:t>
      </w:r>
      <w:r w:rsidRPr="640B2A61" w:rsidR="00C97DA6">
        <w:t xml:space="preserve">found that </w:t>
      </w:r>
      <w:r w:rsidR="00C97DA6">
        <w:t xml:space="preserve">the </w:t>
      </w:r>
      <w:r w:rsidRPr="640B2A61" w:rsidR="00C97DA6">
        <w:t>short-form application struck an appropriate balance between placing requirements on would-be applicants and encouraging auction participation</w:t>
      </w:r>
      <w:r w:rsidR="00C97DA6">
        <w:t>,</w:t>
      </w:r>
      <w:r w:rsidRPr="640B2A61" w:rsidR="00EC5B92">
        <w:t xml:space="preserve"> not that </w:t>
      </w:r>
      <w:r w:rsidRPr="640B2A61" w:rsidR="007023AE">
        <w:t xml:space="preserve">facilitating auction participation outweighed the need </w:t>
      </w:r>
      <w:r w:rsidR="00C97DA6">
        <w:t>for</w:t>
      </w:r>
      <w:r w:rsidRPr="640B2A61" w:rsidR="007023AE">
        <w:t xml:space="preserve"> timely short-form applications.</w:t>
      </w:r>
      <w:r w:rsidR="00B3286F">
        <w:t xml:space="preserve">  Would-be applicants that almost complete their applications do not enable “</w:t>
      </w:r>
      <w:r w:rsidRPr="640B2A61" w:rsidR="00B3286F">
        <w:t>Commission staff to review the same specific information from each carrier when evaluating carriers’ qualifications to bid</w:t>
      </w:r>
      <w:r w:rsidR="00B3286F">
        <w:t>”</w:t>
      </w:r>
      <w:r>
        <w:rPr>
          <w:rStyle w:val="FootnoteReference"/>
        </w:rPr>
        <w:footnoteReference w:id="72"/>
      </w:r>
      <w:r w:rsidR="00B3286F">
        <w:t xml:space="preserve"> and therefore do not justify a deviation from standard enforcement of the deadline.</w:t>
      </w:r>
    </w:p>
    <w:p w:rsidR="0034260F" w:rsidRPr="00075B66" w:rsidP="00075B66" w14:paraId="095A0E38" w14:textId="3AC1AD8C">
      <w:pPr>
        <w:pStyle w:val="ParaNum"/>
        <w:widowControl/>
        <w:numPr>
          <w:ilvl w:val="0"/>
          <w:numId w:val="2"/>
        </w:numPr>
        <w:tabs>
          <w:tab w:val="clear" w:pos="1080"/>
          <w:tab w:val="num" w:pos="1440"/>
        </w:tabs>
      </w:pPr>
      <w:r>
        <w:t xml:space="preserve">Significantly, </w:t>
      </w:r>
      <w:r w:rsidR="001C5BDA">
        <w:t xml:space="preserve">notwithstanding the information that they </w:t>
      </w:r>
      <w:r w:rsidR="00852DDD">
        <w:t>input</w:t>
      </w:r>
      <w:r w:rsidR="002E4B93">
        <w:t xml:space="preserve"> on their unsubmitted applications</w:t>
      </w:r>
      <w:r w:rsidR="001C5BDA">
        <w:t xml:space="preserve">, </w:t>
      </w:r>
      <w:r>
        <w:t>none</w:t>
      </w:r>
      <w:r w:rsidR="009373F4">
        <w:t xml:space="preserve"> of the Petitioners </w:t>
      </w:r>
      <w:r w:rsidR="00932C1E">
        <w:t xml:space="preserve">that attempted to apply </w:t>
      </w:r>
      <w:r w:rsidR="00CA3DB2">
        <w:t xml:space="preserve">took the final step of </w:t>
      </w:r>
      <w:r w:rsidR="009373F4">
        <w:t>certif</w:t>
      </w:r>
      <w:r w:rsidR="00CA3DB2">
        <w:t>ying and submitting</w:t>
      </w:r>
      <w:r w:rsidR="009373F4">
        <w:t xml:space="preserve"> their applications prior to the deadline.  Certification is essential to commit applicants to the auction process and its governing rules.</w:t>
      </w:r>
      <w:r>
        <w:rPr>
          <w:rStyle w:val="FootnoteReference"/>
        </w:rPr>
        <w:footnoteReference w:id="73"/>
      </w:r>
      <w:r w:rsidR="009373F4">
        <w:t xml:space="preserve">  The sign</w:t>
      </w:r>
      <w:r w:rsidR="00C02659">
        <w:t>i</w:t>
      </w:r>
      <w:r w:rsidR="009373F4">
        <w:t xml:space="preserve">ficance of these commitments is reflected in the fact that the certifications in a timely-filed application </w:t>
      </w:r>
      <w:r w:rsidRPr="001377B2" w:rsidR="009373F4">
        <w:t>cannot be modified after the short-form filing deadline.</w:t>
      </w:r>
      <w:r w:rsidR="009373F4">
        <w:t xml:space="preserve">  As already noted, the Commission’s rules expressly provide that an applicant will not be permitted to participate in the competitive bidding if the application does not include all required certifications as of the deadline for submitting applications.  Moreover, the rules governing modifications provide that an “applicant may not make major modifications to its application after the deadline for submitting applications</w:t>
      </w:r>
      <w:r w:rsidR="009373F4">
        <w:t>. . . .</w:t>
      </w:r>
      <w:r w:rsidR="009373F4">
        <w:t xml:space="preserve"> Major modifications include . . . </w:t>
      </w:r>
      <w:r w:rsidRPr="001377B2" w:rsidR="009373F4">
        <w:rPr>
          <w:i/>
        </w:rPr>
        <w:t>any changes</w:t>
      </w:r>
      <w:r w:rsidR="009373F4">
        <w:rPr>
          <w:b/>
          <w:bCs/>
        </w:rPr>
        <w:t xml:space="preserve"> </w:t>
      </w:r>
      <w:r w:rsidR="009373F4">
        <w:t>in the required certifications.”</w:t>
      </w:r>
      <w:r>
        <w:rPr>
          <w:rStyle w:val="FootnoteReference"/>
        </w:rPr>
        <w:footnoteReference w:id="74"/>
      </w:r>
      <w:r w:rsidR="008E1DDD">
        <w:t xml:space="preserve">   Regardless of the quantity of the information each Petitioner offered to the Commission prior to the short-form application deadline, none of them had </w:t>
      </w:r>
      <w:r w:rsidR="007A5002">
        <w:t xml:space="preserve">certified its accuracy or that the applicant </w:t>
      </w:r>
      <w:r w:rsidR="00A0751D">
        <w:t>was “in compliance with all statutory and regulatory requirements for the universal service support that the applicant seeks[.]”</w:t>
      </w:r>
      <w:r>
        <w:rPr>
          <w:rStyle w:val="FootnoteReference"/>
        </w:rPr>
        <w:footnoteReference w:id="75"/>
      </w:r>
      <w:r w:rsidR="00A0751D">
        <w:t xml:space="preserve">  Consequently, none of the information provided merited </w:t>
      </w:r>
      <w:r w:rsidR="007B6F36">
        <w:t>review along with applications that had been so certified.</w:t>
      </w:r>
    </w:p>
    <w:p w:rsidR="00577EEC" w:rsidRPr="00F940A1" w:rsidP="00F940A1" w14:paraId="23C0E498" w14:textId="4DC027A3">
      <w:pPr>
        <w:pStyle w:val="ParaNum"/>
        <w:widowControl/>
        <w:numPr>
          <w:ilvl w:val="0"/>
          <w:numId w:val="2"/>
        </w:numPr>
        <w:tabs>
          <w:tab w:val="clear" w:pos="1080"/>
          <w:tab w:val="num" w:pos="1440"/>
        </w:tabs>
      </w:pPr>
      <w:r w:rsidRPr="640B2A61">
        <w:t xml:space="preserve">In addition, contrary </w:t>
      </w:r>
      <w:r w:rsidRPr="640B2A61" w:rsidR="00242FA6">
        <w:t xml:space="preserve">to </w:t>
      </w:r>
      <w:r w:rsidR="002E5C5B">
        <w:t xml:space="preserve">the arguments of </w:t>
      </w:r>
      <w:r w:rsidRPr="640B2A61" w:rsidR="00242FA6">
        <w:t>SmartSky</w:t>
      </w:r>
      <w:r w:rsidRPr="640B2A61" w:rsidR="00242FA6">
        <w:t xml:space="preserve"> and ATS, we</w:t>
      </w:r>
      <w:r w:rsidRPr="640B2A61" w:rsidR="00894016">
        <w:t xml:space="preserve"> do not </w:t>
      </w:r>
      <w:r w:rsidRPr="640B2A61" w:rsidR="00365C87">
        <w:t xml:space="preserve">find </w:t>
      </w:r>
      <w:r w:rsidRPr="640B2A61" w:rsidR="00242FA6">
        <w:t>that any prior</w:t>
      </w:r>
      <w:r w:rsidRPr="640B2A61" w:rsidR="00894016">
        <w:t xml:space="preserve"> waivers </w:t>
      </w:r>
      <w:r w:rsidR="00CF4512">
        <w:t xml:space="preserve">of other deadlines </w:t>
      </w:r>
      <w:r w:rsidRPr="640B2A61" w:rsidR="00242FA6">
        <w:t>are reason to waive th</w:t>
      </w:r>
      <w:r w:rsidR="0079061E">
        <w:t>is</w:t>
      </w:r>
      <w:r w:rsidRPr="640B2A61" w:rsidR="00242FA6">
        <w:t xml:space="preserve"> deadline here</w:t>
      </w:r>
      <w:r w:rsidR="00894016">
        <w:rPr>
          <w:szCs w:val="22"/>
        </w:rPr>
        <w:t xml:space="preserve">.  </w:t>
      </w:r>
      <w:r w:rsidRPr="640B2A61" w:rsidR="009B2710">
        <w:t>SmartSky</w:t>
      </w:r>
      <w:r w:rsidRPr="640B2A61" w:rsidR="00674AE7">
        <w:t xml:space="preserve"> contends that</w:t>
      </w:r>
      <w:r w:rsidR="009B2710">
        <w:rPr>
          <w:szCs w:val="22"/>
        </w:rPr>
        <w:t xml:space="preserve"> </w:t>
      </w:r>
      <w:r w:rsidRPr="640B2A61" w:rsidR="00CB6F08">
        <w:t>a post-auction long-form application deadline waiver</w:t>
      </w:r>
      <w:r w:rsidRPr="640B2A61" w:rsidR="00842EFE">
        <w:t xml:space="preserve"> demonstrates that its requested short-form application deadline should be waived</w:t>
      </w:r>
      <w:r w:rsidRPr="14894CDF" w:rsidR="007A200B">
        <w:rPr>
          <w:i/>
          <w:iCs/>
        </w:rPr>
        <w:t>.</w:t>
      </w:r>
      <w:r>
        <w:rPr>
          <w:rStyle w:val="FootnoteReference"/>
        </w:rPr>
        <w:footnoteReference w:id="76"/>
      </w:r>
      <w:r w:rsidRPr="00DF7A84" w:rsidR="007A200B">
        <w:rPr>
          <w:szCs w:val="22"/>
        </w:rPr>
        <w:t xml:space="preserve"> </w:t>
      </w:r>
      <w:r w:rsidRPr="640B2A61" w:rsidR="007A200B">
        <w:t xml:space="preserve"> </w:t>
      </w:r>
      <w:r w:rsidR="00E419E9">
        <w:t xml:space="preserve">Winning bidders file long form applications after the close of the auction and </w:t>
      </w:r>
      <w:r w:rsidR="00962741">
        <w:t>any delay by one applicant in filing does not necessarily have any consequences for the processing of other app</w:t>
      </w:r>
      <w:r w:rsidR="00B26D65">
        <w:t xml:space="preserve">lications.  </w:t>
      </w:r>
      <w:r w:rsidR="00C97DA6">
        <w:t>W</w:t>
      </w:r>
      <w:r w:rsidR="00607D8C">
        <w:t xml:space="preserve">hen it </w:t>
      </w:r>
      <w:r w:rsidRPr="640B2A61" w:rsidR="00B0314B">
        <w:t xml:space="preserve">rejected </w:t>
      </w:r>
      <w:r w:rsidRPr="640B2A61" w:rsidR="00842C19">
        <w:t xml:space="preserve">an attempt to </w:t>
      </w:r>
      <w:r w:rsidRPr="640B2A61" w:rsidR="001B0A2A">
        <w:t xml:space="preserve">rely </w:t>
      </w:r>
      <w:r w:rsidRPr="640B2A61" w:rsidR="00842C19">
        <w:t xml:space="preserve">on </w:t>
      </w:r>
      <w:r w:rsidRPr="640B2A61" w:rsidR="00682B8F">
        <w:t>precisely the same</w:t>
      </w:r>
      <w:r w:rsidRPr="640B2A61" w:rsidR="00842C19">
        <w:t xml:space="preserve"> precedent</w:t>
      </w:r>
      <w:r w:rsidRPr="640B2A61" w:rsidR="00B0314B">
        <w:t xml:space="preserve"> </w:t>
      </w:r>
      <w:r w:rsidR="00607D8C">
        <w:t xml:space="preserve">last year and instead </w:t>
      </w:r>
      <w:r w:rsidRPr="640B2A61" w:rsidR="001B0A2A">
        <w:t>affirmed</w:t>
      </w:r>
      <w:r w:rsidRPr="640B2A61" w:rsidR="00B0314B">
        <w:t xml:space="preserve"> denial of a waiver for a short-form application, </w:t>
      </w:r>
      <w:r w:rsidRPr="640B2A61" w:rsidR="006E8286">
        <w:t xml:space="preserve">the Commission </w:t>
      </w:r>
      <w:r w:rsidRPr="640B2A61" w:rsidR="00B0314B">
        <w:t>stat</w:t>
      </w:r>
      <w:r w:rsidRPr="640B2A61" w:rsidR="5B062108">
        <w:t>ed</w:t>
      </w:r>
      <w:r w:rsidRPr="640B2A61" w:rsidR="00B0314B">
        <w:t xml:space="preserve"> that “</w:t>
      </w:r>
      <w:r w:rsidR="000D5840">
        <w:t>[t]</w:t>
      </w:r>
      <w:r w:rsidR="007445D8">
        <w:t xml:space="preserve">he instant matter involves a pre-bidding auction application deadline where the consequences of delays in fully investigating and resolving such a claim potentially risk prejudice to all auction applicants and the public.  Notably, </w:t>
      </w:r>
      <w:r w:rsidR="000D5840">
        <w:t>[petitioner]</w:t>
      </w:r>
      <w:r w:rsidR="007445D8">
        <w:t xml:space="preserve"> fails to cite a single precedent in which the Commission granted a waiver of a pre-auction short-form application deadline.</w:t>
      </w:r>
      <w:r w:rsidR="000D5840">
        <w:rPr>
          <w:szCs w:val="22"/>
        </w:rPr>
        <w:t>”</w:t>
      </w:r>
      <w:r>
        <w:rPr>
          <w:rStyle w:val="FootnoteReference"/>
        </w:rPr>
        <w:footnoteReference w:id="77"/>
      </w:r>
    </w:p>
    <w:p w:rsidR="00577EEC" w:rsidP="00BF19C6" w14:paraId="45A3D395" w14:textId="042BD979">
      <w:pPr>
        <w:pStyle w:val="ParaNum"/>
        <w:widowControl/>
        <w:numPr>
          <w:ilvl w:val="0"/>
          <w:numId w:val="2"/>
        </w:numPr>
        <w:tabs>
          <w:tab w:val="clear" w:pos="1080"/>
          <w:tab w:val="num" w:pos="1440"/>
        </w:tabs>
      </w:pPr>
      <w:r w:rsidRPr="640B2A61">
        <w:t xml:space="preserve">ATS </w:t>
      </w:r>
      <w:r w:rsidRPr="640B2A61" w:rsidR="00F940A1">
        <w:t xml:space="preserve">similarly </w:t>
      </w:r>
      <w:r w:rsidRPr="640B2A61">
        <w:t xml:space="preserve">argues that </w:t>
      </w:r>
      <w:r w:rsidRPr="640B2A61" w:rsidR="00FF0486">
        <w:t xml:space="preserve">Auction 903 </w:t>
      </w:r>
      <w:r w:rsidRPr="640B2A61">
        <w:t>waiver</w:t>
      </w:r>
      <w:r w:rsidRPr="640B2A61" w:rsidR="00EC467E">
        <w:t>s</w:t>
      </w:r>
      <w:r w:rsidRPr="640B2A61">
        <w:t xml:space="preserve"> of </w:t>
      </w:r>
      <w:r w:rsidRPr="640B2A61" w:rsidR="00EF07A8">
        <w:t xml:space="preserve">the </w:t>
      </w:r>
      <w:r w:rsidRPr="640B2A61" w:rsidR="00EC467E">
        <w:t>rule barring</w:t>
      </w:r>
      <w:r w:rsidRPr="640B2A61">
        <w:t xml:space="preserve"> major modifications </w:t>
      </w:r>
      <w:r w:rsidRPr="640B2A61" w:rsidR="002F64E5">
        <w:t>of an application support granting it a waiver of the short-form application</w:t>
      </w:r>
      <w:r w:rsidRPr="640B2A61" w:rsidR="00124A96">
        <w:t xml:space="preserve"> here</w:t>
      </w:r>
      <w:r w:rsidRPr="00A37FA6" w:rsidR="002F64E5">
        <w:rPr>
          <w:szCs w:val="22"/>
        </w:rPr>
        <w:t xml:space="preserve">.  </w:t>
      </w:r>
      <w:r w:rsidRPr="640B2A61" w:rsidR="00F940A1">
        <w:t>ATS is incorrect</w:t>
      </w:r>
      <w:r w:rsidRPr="00A37FA6" w:rsidR="002F64E5">
        <w:rPr>
          <w:szCs w:val="22"/>
        </w:rPr>
        <w:t>.</w:t>
      </w:r>
      <w:r w:rsidRPr="00A37FA6" w:rsidR="00124A96">
        <w:rPr>
          <w:szCs w:val="22"/>
        </w:rPr>
        <w:t xml:space="preserve">  </w:t>
      </w:r>
      <w:r w:rsidRPr="640B2A61" w:rsidR="007367F6">
        <w:t>Th</w:t>
      </w:r>
      <w:r w:rsidRPr="640B2A61" w:rsidR="003D7C20">
        <w:t>e Auction 903</w:t>
      </w:r>
      <w:r w:rsidRPr="640B2A61" w:rsidR="007367F6">
        <w:t xml:space="preserve"> decision explicitly noted that “</w:t>
      </w:r>
      <w:r w:rsidRPr="640B2A61" w:rsidR="0082446C">
        <w:t>the requested waivers will not undermine the purposes of the rule prohibiting major modifications and there is a stronger public interest benefit in granting the waivers than in applying the rule</w:t>
      </w:r>
      <w:r w:rsidRPr="00A37FA6" w:rsidR="00A21599">
        <w:rPr>
          <w:szCs w:val="22"/>
        </w:rPr>
        <w:t>.”</w:t>
      </w:r>
      <w:r>
        <w:rPr>
          <w:rStyle w:val="FootnoteReference"/>
        </w:rPr>
        <w:footnoteReference w:id="78"/>
      </w:r>
      <w:r w:rsidRPr="640B2A61" w:rsidR="00F4490F">
        <w:t xml:space="preserve">  </w:t>
      </w:r>
      <w:r w:rsidR="00756FCC">
        <w:t>Specifically, waiving the bar on major modifications did not undermine the purposes of that rule “because petitioners disclosed their future real parties-in-interest prior to the short-form deadline . . . and included relevant information on their post-transaction ownership in their short-form applications.”</w:t>
      </w:r>
      <w:r>
        <w:rPr>
          <w:rStyle w:val="FootnoteReference"/>
        </w:rPr>
        <w:footnoteReference w:id="79"/>
      </w:r>
      <w:r w:rsidR="00756FCC">
        <w:t xml:space="preserve">  </w:t>
      </w:r>
      <w:r w:rsidR="0028039A">
        <w:t xml:space="preserve">This is not a compelling precedent for granting </w:t>
      </w:r>
      <w:r w:rsidR="006A4161">
        <w:t>the requested</w:t>
      </w:r>
      <w:r w:rsidR="0028039A">
        <w:t xml:space="preserve"> waiver</w:t>
      </w:r>
      <w:r w:rsidR="006A4161">
        <w:t xml:space="preserve"> to ATS or any of the Petitioners</w:t>
      </w:r>
      <w:r w:rsidR="0028039A">
        <w:t xml:space="preserve">.  </w:t>
      </w:r>
      <w:r w:rsidR="006D38E5">
        <w:t>None of the P</w:t>
      </w:r>
      <w:r w:rsidR="006A4161">
        <w:t xml:space="preserve">etitioners completed and certified their applications prior to the </w:t>
      </w:r>
      <w:r w:rsidR="00136ED0">
        <w:t xml:space="preserve">short-form deadline.  </w:t>
      </w:r>
      <w:r w:rsidR="00DB0E1B">
        <w:t>As</w:t>
      </w:r>
      <w:r w:rsidR="0028039A">
        <w:t xml:space="preserve"> detailed above</w:t>
      </w:r>
      <w:r w:rsidRPr="640B2A61" w:rsidR="00A21599">
        <w:t xml:space="preserve">, the public </w:t>
      </w:r>
      <w:r w:rsidRPr="640B2A61" w:rsidR="00DB575E">
        <w:t>interest in a fair and uniform application of the deadline</w:t>
      </w:r>
      <w:r w:rsidR="00AA76C4">
        <w:t xml:space="preserve"> outweighs any public interest in the speculative service that might be result from </w:t>
      </w:r>
      <w:r w:rsidRPr="640B2A61" w:rsidR="00AA76C4">
        <w:t>permitting these would-be applicants to participate</w:t>
      </w:r>
      <w:r w:rsidR="00AA76C4">
        <w:t xml:space="preserve"> in Auction 904 and </w:t>
      </w:r>
      <w:r w:rsidRPr="640B2A61" w:rsidR="00AA76C4">
        <w:t xml:space="preserve">the waiver sought </w:t>
      </w:r>
      <w:r w:rsidR="00AA76C4">
        <w:t xml:space="preserve">here </w:t>
      </w:r>
      <w:r w:rsidRPr="640B2A61" w:rsidR="00AA76C4">
        <w:t>would undermine the</w:t>
      </w:r>
      <w:r w:rsidR="00AA76C4">
        <w:t xml:space="preserve"> express</w:t>
      </w:r>
      <w:r w:rsidRPr="640B2A61" w:rsidR="00AA76C4">
        <w:t xml:space="preserve"> purpose of the short-form application deadline</w:t>
      </w:r>
      <w:r w:rsidR="00875C78">
        <w:t>.</w:t>
      </w:r>
    </w:p>
    <w:p w:rsidR="00961EAA" w:rsidRPr="0008276A" w:rsidP="00A37FA6" w14:paraId="53E65121" w14:textId="0B6A985A">
      <w:pPr>
        <w:pStyle w:val="ParaNum"/>
        <w:widowControl/>
        <w:numPr>
          <w:ilvl w:val="0"/>
          <w:numId w:val="2"/>
        </w:numPr>
        <w:tabs>
          <w:tab w:val="clear" w:pos="1080"/>
          <w:tab w:val="num" w:pos="1440"/>
        </w:tabs>
      </w:pPr>
      <w:r>
        <w:t>In summary</w:t>
      </w:r>
      <w:r w:rsidR="00384AAF">
        <w:t xml:space="preserve">, </w:t>
      </w:r>
      <w:r w:rsidR="007349DA">
        <w:t xml:space="preserve">each Petitioner </w:t>
      </w:r>
      <w:r w:rsidR="0083343E">
        <w:t>had just</w:t>
      </w:r>
      <w:r w:rsidR="007349DA">
        <w:t xml:space="preserve"> as much of an opportunity to file their application as </w:t>
      </w:r>
      <w:r w:rsidR="0083343E">
        <w:t>any</w:t>
      </w:r>
      <w:r w:rsidR="007349DA">
        <w:t xml:space="preserve"> other applicant, even if </w:t>
      </w:r>
      <w:r>
        <w:t xml:space="preserve">some </w:t>
      </w:r>
      <w:r w:rsidR="00AA76C4">
        <w:t>Petitioners</w:t>
      </w:r>
      <w:r>
        <w:t xml:space="preserve"> found themselves unable to do so in </w:t>
      </w:r>
      <w:r w:rsidR="00AA76C4">
        <w:t xml:space="preserve">the </w:t>
      </w:r>
      <w:r>
        <w:t>final hour</w:t>
      </w:r>
      <w:r w:rsidR="00AA76C4">
        <w:t>s</w:t>
      </w:r>
      <w:r>
        <w:t xml:space="preserve"> or last minute</w:t>
      </w:r>
      <w:r w:rsidR="00AA76C4">
        <w:t>s of the application window.</w:t>
      </w:r>
      <w:r w:rsidR="00527EDC">
        <w:t xml:space="preserve"> </w:t>
      </w:r>
      <w:r w:rsidR="00AA76C4">
        <w:t xml:space="preserve">The public interest in a fair auction will be served by continuing to uniformly enforce the deadline for short-form applications and none of the Petitioners present </w:t>
      </w:r>
      <w:r w:rsidR="00527EDC">
        <w:t xml:space="preserve">special circumstances </w:t>
      </w:r>
      <w:r>
        <w:t xml:space="preserve">that justify departing from </w:t>
      </w:r>
      <w:r w:rsidR="00AA76C4">
        <w:t>this practice</w:t>
      </w:r>
      <w:r w:rsidR="00232A5D">
        <w:t>.</w:t>
      </w:r>
    </w:p>
    <w:p w:rsidR="00961EAA" w:rsidP="00961EAA" w14:paraId="6F87363E" w14:textId="77777777">
      <w:pPr>
        <w:pStyle w:val="Heading1"/>
        <w:widowControl/>
      </w:pPr>
      <w:r>
        <w:t>ORDERING CLAUSES</w:t>
      </w:r>
    </w:p>
    <w:p w:rsidR="00637C19" w:rsidRPr="00637C19" w:rsidP="00637C19" w14:paraId="33C543FE" w14:textId="7BC9AB88">
      <w:pPr>
        <w:pStyle w:val="ParaNum"/>
        <w:widowControl/>
        <w:numPr>
          <w:ilvl w:val="0"/>
          <w:numId w:val="2"/>
        </w:numPr>
        <w:tabs>
          <w:tab w:val="clear" w:pos="1080"/>
          <w:tab w:val="num" w:pos="1440"/>
        </w:tabs>
      </w:pPr>
      <w:r>
        <w:t xml:space="preserve">Accordingly, IT IS ORDERED, pursuant to </w:t>
      </w:r>
      <w:r w:rsidR="005971CA">
        <w:t>s</w:t>
      </w:r>
      <w:r>
        <w:t>ections 4(</w:t>
      </w:r>
      <w:r>
        <w:t>i</w:t>
      </w:r>
      <w:r>
        <w:t>) and 309 of the Communications Act of 1934, as amended, 47 U.S.C. §§ 154(</w:t>
      </w:r>
      <w:r>
        <w:t>i</w:t>
      </w:r>
      <w:r>
        <w:t>) and 309, and section</w:t>
      </w:r>
      <w:r w:rsidR="00FB0677">
        <w:t>s</w:t>
      </w:r>
      <w:r>
        <w:t xml:space="preserve"> </w:t>
      </w:r>
      <w:r w:rsidRPr="006A1FDF" w:rsidR="008138B6">
        <w:t>0.2</w:t>
      </w:r>
      <w:r w:rsidR="008138B6">
        <w:t xml:space="preserve">1(m), </w:t>
      </w:r>
      <w:r w:rsidRPr="006A1FDF" w:rsidR="008138B6">
        <w:t>0.2</w:t>
      </w:r>
      <w:r w:rsidR="008138B6">
        <w:t>7</w:t>
      </w:r>
      <w:r w:rsidRPr="006A1FDF" w:rsidR="008138B6">
        <w:t>1</w:t>
      </w:r>
      <w:r w:rsidR="008138B6">
        <w:t xml:space="preserve"> and</w:t>
      </w:r>
      <w:r w:rsidRPr="006A1FDF" w:rsidR="008138B6">
        <w:t xml:space="preserve"> </w:t>
      </w:r>
      <w:r>
        <w:t>1.</w:t>
      </w:r>
      <w:r w:rsidR="004369F4">
        <w:t>3</w:t>
      </w:r>
      <w:r>
        <w:t xml:space="preserve"> of the Commission’s rules, 47 CFR §</w:t>
      </w:r>
      <w:r w:rsidR="008138B6">
        <w:t>§</w:t>
      </w:r>
      <w:r>
        <w:t xml:space="preserve"> </w:t>
      </w:r>
      <w:r w:rsidR="008138B6">
        <w:t xml:space="preserve">0.21(m), 0.271 and </w:t>
      </w:r>
      <w:r>
        <w:t>1.</w:t>
      </w:r>
      <w:r w:rsidR="004369F4">
        <w:t>3</w:t>
      </w:r>
      <w:r>
        <w:t xml:space="preserve">, that </w:t>
      </w:r>
      <w:r w:rsidR="00D71DA7">
        <w:t>Native Network’s Request, dated July 16, 2020</w:t>
      </w:r>
      <w:r w:rsidR="001A7B16">
        <w:t>;</w:t>
      </w:r>
      <w:r w:rsidR="00D71DA7">
        <w:t xml:space="preserve"> </w:t>
      </w:r>
      <w:r w:rsidR="00D71DA7">
        <w:t>S</w:t>
      </w:r>
      <w:r w:rsidR="00410671">
        <w:t>mart</w:t>
      </w:r>
      <w:r w:rsidR="00D71DA7">
        <w:t>Sky’s</w:t>
      </w:r>
      <w:r w:rsidR="00D71DA7">
        <w:t xml:space="preserve"> Request, dated July </w:t>
      </w:r>
      <w:r w:rsidR="007A1192">
        <w:t>19, 2020</w:t>
      </w:r>
      <w:r w:rsidR="001A7B16">
        <w:t>;</w:t>
      </w:r>
      <w:r w:rsidR="007A1192">
        <w:t xml:space="preserve"> ATS’s Request, </w:t>
      </w:r>
      <w:r w:rsidR="00E14E46">
        <w:t>d</w:t>
      </w:r>
      <w:r w:rsidR="007A1192">
        <w:t>ated July 20, 2020</w:t>
      </w:r>
      <w:r w:rsidR="001A7B16">
        <w:t>;</w:t>
      </w:r>
      <w:r w:rsidR="007A1192">
        <w:t xml:space="preserve"> </w:t>
      </w:r>
      <w:r w:rsidR="007A1192">
        <w:t>Elektrafi’s</w:t>
      </w:r>
      <w:r w:rsidR="007A1192">
        <w:t xml:space="preserve"> Request, </w:t>
      </w:r>
      <w:r w:rsidR="005753DA">
        <w:t xml:space="preserve">dated </w:t>
      </w:r>
      <w:r w:rsidR="007A1192">
        <w:t>July 21, 2020</w:t>
      </w:r>
      <w:r w:rsidR="001A7B16">
        <w:t>;</w:t>
      </w:r>
      <w:r w:rsidR="007A1192">
        <w:t xml:space="preserve"> </w:t>
      </w:r>
      <w:r w:rsidR="00027864">
        <w:t xml:space="preserve">and LMG’s Request, dated July 31, 2020, </w:t>
      </w:r>
      <w:r w:rsidR="001028C1">
        <w:t>are</w:t>
      </w:r>
      <w:r>
        <w:t xml:space="preserve"> DENIED.</w:t>
      </w:r>
    </w:p>
    <w:p w:rsidR="00961EAA" w:rsidP="00961EAA" w14:paraId="69D7C041" w14:textId="77777777">
      <w:pPr>
        <w:pStyle w:val="ParaNum"/>
        <w:widowControl/>
        <w:numPr>
          <w:ilvl w:val="0"/>
          <w:numId w:val="0"/>
        </w:numPr>
        <w:rPr>
          <w:szCs w:val="22"/>
        </w:rPr>
      </w:pPr>
    </w:p>
    <w:p w:rsidR="00961EAA" w:rsidP="00961EAA" w14:paraId="14F77A86" w14:textId="77777777">
      <w:pPr>
        <w:widowControl/>
        <w:spacing w:line="480" w:lineRule="auto"/>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961EAA" w:rsidP="00961EAA" w14:paraId="75241249" w14:textId="77777777">
      <w:pPr>
        <w:widowControl/>
        <w:spacing w:line="480" w:lineRule="auto"/>
        <w:rPr>
          <w:szCs w:val="22"/>
        </w:rPr>
      </w:pPr>
    </w:p>
    <w:p w:rsidR="00961EAA" w:rsidP="00961EAA" w14:paraId="03DE6FC9" w14:textId="77777777">
      <w:pPr>
        <w:widowControl/>
        <w:rPr>
          <w:szCs w:val="22"/>
        </w:rPr>
      </w:pPr>
      <w:r>
        <w:rPr>
          <w:szCs w:val="22"/>
        </w:rPr>
        <w:tab/>
      </w:r>
      <w:r>
        <w:rPr>
          <w:szCs w:val="22"/>
        </w:rPr>
        <w:tab/>
      </w:r>
      <w:r>
        <w:rPr>
          <w:szCs w:val="22"/>
        </w:rPr>
        <w:tab/>
      </w:r>
      <w:r>
        <w:rPr>
          <w:szCs w:val="22"/>
        </w:rPr>
        <w:tab/>
      </w:r>
      <w:r>
        <w:rPr>
          <w:szCs w:val="22"/>
        </w:rPr>
        <w:tab/>
      </w:r>
      <w:r>
        <w:rPr>
          <w:szCs w:val="22"/>
        </w:rPr>
        <w:tab/>
      </w:r>
    </w:p>
    <w:p w:rsidR="00961EAA" w:rsidP="00961EAA" w14:paraId="07732FD7" w14:textId="1F934A4E">
      <w:pPr>
        <w:widowControl/>
        <w:ind w:left="3600" w:firstLine="720"/>
        <w:rPr>
          <w:szCs w:val="22"/>
        </w:rPr>
      </w:pPr>
      <w:r>
        <w:rPr>
          <w:szCs w:val="22"/>
        </w:rPr>
        <w:t xml:space="preserve">Jonathan </w:t>
      </w:r>
      <w:r w:rsidR="00205668">
        <w:rPr>
          <w:szCs w:val="22"/>
        </w:rPr>
        <w:t xml:space="preserve">M. </w:t>
      </w:r>
      <w:r>
        <w:rPr>
          <w:szCs w:val="22"/>
        </w:rPr>
        <w:t>Campbell</w:t>
      </w:r>
    </w:p>
    <w:p w:rsidR="00961EAA" w:rsidP="00961EAA" w14:paraId="68FEF8F6" w14:textId="005D4ADB">
      <w:pPr>
        <w:widowControl/>
        <w:ind w:left="3600" w:firstLine="720"/>
        <w:rPr>
          <w:szCs w:val="22"/>
        </w:rPr>
      </w:pPr>
      <w:r>
        <w:rPr>
          <w:szCs w:val="22"/>
        </w:rPr>
        <w:t>Chief, Auctions Division</w:t>
      </w:r>
    </w:p>
    <w:p w:rsidR="00961EAA" w:rsidP="00961EAA" w14:paraId="18A1D581" w14:textId="48F68F04">
      <w:pPr>
        <w:widowControl/>
        <w:ind w:left="3600" w:firstLine="720"/>
        <w:rPr>
          <w:szCs w:val="22"/>
        </w:rPr>
      </w:pPr>
      <w:r>
        <w:rPr>
          <w:szCs w:val="22"/>
        </w:rPr>
        <w:t>Office of Economics and Analytics</w:t>
      </w:r>
    </w:p>
    <w:p w:rsidR="00961EAA" w:rsidP="00961EAA" w14:paraId="13886B11" w14:textId="77777777">
      <w:pPr>
        <w:widowControl/>
        <w:ind w:left="3600" w:firstLine="720"/>
        <w:rPr>
          <w:szCs w:val="22"/>
        </w:rPr>
      </w:pPr>
    </w:p>
    <w:p w:rsidR="00961EAA" w:rsidP="00961EAA" w14:paraId="73801D4D" w14:textId="77777777">
      <w:pPr>
        <w:widowControl/>
        <w:ind w:left="3600" w:firstLine="720"/>
        <w:rPr>
          <w:szCs w:val="22"/>
        </w:rPr>
      </w:pPr>
    </w:p>
    <w:p w:rsidR="00961EAA" w:rsidP="00961EAA" w14:paraId="14F100AC" w14:textId="77777777">
      <w:pPr>
        <w:widowControl/>
        <w:ind w:left="3600" w:firstLine="720"/>
        <w:rPr>
          <w:szCs w:val="22"/>
        </w:rPr>
      </w:pPr>
    </w:p>
    <w:p w:rsidR="00961EAA" w:rsidP="00961EAA" w14:paraId="7CB376F6" w14:textId="77777777">
      <w:pPr>
        <w:widowControl/>
        <w:ind w:left="3600" w:firstLine="720"/>
        <w:rPr>
          <w:szCs w:val="22"/>
        </w:rPr>
      </w:pP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AE6" w14:paraId="0847DBFF" w14:textId="7777777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103E" w14:paraId="525B9A27" w14:textId="77777777">
      <w:pPr>
        <w:rPr>
          <w:sz w:val="20"/>
        </w:rPr>
      </w:pPr>
      <w:r>
        <w:rPr>
          <w:sz w:val="20"/>
        </w:rPr>
        <w:separator/>
      </w:r>
    </w:p>
  </w:footnote>
  <w:footnote w:type="continuationSeparator" w:id="1">
    <w:p w:rsidR="0047103E" w14:paraId="69C77C8A" w14:textId="77777777">
      <w:pPr>
        <w:rPr>
          <w:sz w:val="20"/>
        </w:rPr>
      </w:pPr>
      <w:r>
        <w:rPr>
          <w:sz w:val="20"/>
        </w:rPr>
        <w:separator/>
      </w:r>
    </w:p>
  </w:footnote>
  <w:footnote w:type="continuationNotice" w:id="2">
    <w:p w:rsidR="0047103E" w14:paraId="4D61F1E8" w14:textId="77777777">
      <w:pPr>
        <w:jc w:val="right"/>
        <w:rPr>
          <w:sz w:val="20"/>
        </w:rPr>
      </w:pPr>
    </w:p>
  </w:footnote>
  <w:footnote w:id="3">
    <w:p w:rsidR="00632AE6" w:rsidRPr="00461B18" w:rsidP="00BD2B70" w14:paraId="59D88F25" w14:textId="77777777">
      <w:pPr>
        <w:pStyle w:val="FootnoteText"/>
      </w:pPr>
      <w:r w:rsidRPr="00FD102B">
        <w:rPr>
          <w:rStyle w:val="FootnoteReference"/>
          <w:sz w:val="20"/>
        </w:rPr>
        <w:footnoteRef/>
      </w:r>
      <w:r w:rsidRPr="00BD6D7E">
        <w:t xml:space="preserve"> </w:t>
      </w:r>
      <w:r w:rsidRPr="00461B18">
        <w:t>47 CFR § 1.21001(a) and (b).</w:t>
      </w:r>
    </w:p>
  </w:footnote>
  <w:footnote w:id="4">
    <w:p w:rsidR="00632AE6" w:rsidRPr="00461B18" w:rsidP="00BD2B70" w14:paraId="4D75E4C1" w14:textId="77777777">
      <w:pPr>
        <w:pStyle w:val="FootnoteText"/>
      </w:pPr>
      <w:r w:rsidRPr="00461B18">
        <w:rPr>
          <w:rStyle w:val="FootnoteReference"/>
          <w:sz w:val="20"/>
        </w:rPr>
        <w:footnoteRef/>
      </w:r>
      <w:r w:rsidRPr="00BD6D7E">
        <w:t xml:space="preserve"> </w:t>
      </w:r>
      <w:r w:rsidRPr="00461B18">
        <w:t>47 CFR § 1. 21001(d)(1).</w:t>
      </w:r>
    </w:p>
  </w:footnote>
  <w:footnote w:id="5">
    <w:p w:rsidR="00632AE6" w:rsidRPr="00461B18" w:rsidP="00441F3A" w14:paraId="0C144890" w14:textId="77777777">
      <w:pPr>
        <w:pStyle w:val="FootnoteText"/>
      </w:pPr>
      <w:r w:rsidRPr="00461B18">
        <w:rPr>
          <w:rStyle w:val="FootnoteReference"/>
          <w:sz w:val="20"/>
        </w:rPr>
        <w:footnoteRef/>
      </w:r>
      <w:r w:rsidRPr="00BD6D7E">
        <w:t xml:space="preserve"> </w:t>
      </w:r>
      <w:r w:rsidRPr="00461B18">
        <w:t>47 CFR § 1.21001(d)(2).</w:t>
      </w:r>
    </w:p>
  </w:footnote>
  <w:footnote w:id="6">
    <w:p w:rsidR="00632AE6" w:rsidRPr="00461B18" w14:paraId="5D6E8C47" w14:textId="319577E9">
      <w:pPr>
        <w:pStyle w:val="FootnoteText"/>
      </w:pPr>
      <w:r w:rsidRPr="00461B18">
        <w:rPr>
          <w:rStyle w:val="FootnoteReference"/>
          <w:sz w:val="20"/>
        </w:rPr>
        <w:footnoteRef/>
      </w:r>
      <w:r w:rsidRPr="00BD6D7E">
        <w:t xml:space="preserve"> </w:t>
      </w:r>
      <w:r w:rsidRPr="00461B18">
        <w:rPr>
          <w:i/>
        </w:rPr>
        <w:t xml:space="preserve">See </w:t>
      </w:r>
      <w:r w:rsidRPr="00461B18">
        <w:rPr>
          <w:i/>
          <w:iCs/>
        </w:rPr>
        <w:t>Rural Digital Opportunity Fund Phase I Auction Scheduled for October 29, 2020; Notice and Filing Requirements and Other Procedures for Auction 904</w:t>
      </w:r>
      <w:r w:rsidRPr="00461B18">
        <w:t xml:space="preserve">, Public Notice, 35 FCC </w:t>
      </w:r>
      <w:r w:rsidRPr="00461B18">
        <w:t>Rcd</w:t>
      </w:r>
      <w:r w:rsidRPr="00461B18">
        <w:t xml:space="preserve"> 6077 (2020) (</w:t>
      </w:r>
      <w:r w:rsidRPr="00461B18">
        <w:rPr>
          <w:i/>
          <w:iCs/>
        </w:rPr>
        <w:t>A</w:t>
      </w:r>
      <w:r w:rsidRPr="00461B18">
        <w:rPr>
          <w:i/>
        </w:rPr>
        <w:t>uction 904 Procedures Public Notice</w:t>
      </w:r>
      <w:r w:rsidRPr="00461B18">
        <w:t>)</w:t>
      </w:r>
      <w:r w:rsidRPr="00461B18">
        <w:rPr>
          <w:i/>
        </w:rPr>
        <w:t xml:space="preserve">.  </w:t>
      </w:r>
      <w:r w:rsidRPr="00461B18">
        <w:t xml:space="preserve">  </w:t>
      </w:r>
    </w:p>
  </w:footnote>
  <w:footnote w:id="7">
    <w:p w:rsidR="00632AE6" w:rsidRPr="00461B18" w14:paraId="5E2F58D4" w14:textId="281FB86A">
      <w:pPr>
        <w:pStyle w:val="FootnoteText"/>
      </w:pPr>
      <w:r w:rsidRPr="00461B18">
        <w:rPr>
          <w:rStyle w:val="FootnoteReference"/>
          <w:sz w:val="20"/>
        </w:rPr>
        <w:footnoteRef/>
      </w:r>
      <w:r w:rsidRPr="00BD6D7E">
        <w:t xml:space="preserve"> </w:t>
      </w:r>
      <w:r w:rsidRPr="00461B18">
        <w:rPr>
          <w:i/>
        </w:rPr>
        <w:t>Id.</w:t>
      </w:r>
      <w:r w:rsidRPr="00461B18">
        <w:t xml:space="preserve"> at 6082, para. 12. </w:t>
      </w:r>
    </w:p>
  </w:footnote>
  <w:footnote w:id="8">
    <w:p w:rsidR="00632AE6" w:rsidRPr="00461B18" w14:paraId="6F82BE49" w14:textId="5EA28B75">
      <w:pPr>
        <w:pStyle w:val="FootnoteText"/>
      </w:pPr>
      <w:r w:rsidRPr="00461B18">
        <w:rPr>
          <w:rStyle w:val="FootnoteReference"/>
          <w:sz w:val="20"/>
        </w:rPr>
        <w:footnoteRef/>
      </w:r>
      <w:r w:rsidRPr="00BD6D7E">
        <w:t xml:space="preserve"> </w:t>
      </w:r>
      <w:r w:rsidRPr="00461B18">
        <w:rPr>
          <w:i/>
          <w:iCs/>
        </w:rPr>
        <w:t>Id.</w:t>
      </w:r>
    </w:p>
  </w:footnote>
  <w:footnote w:id="9">
    <w:p w:rsidR="00632AE6" w:rsidRPr="00461B18" w14:paraId="495216BF" w14:textId="796A3126">
      <w:pPr>
        <w:pStyle w:val="FootnoteText"/>
      </w:pPr>
      <w:r w:rsidRPr="00461B18">
        <w:rPr>
          <w:rStyle w:val="FootnoteReference"/>
          <w:sz w:val="20"/>
        </w:rPr>
        <w:footnoteRef/>
      </w:r>
      <w:r w:rsidRPr="00BD6D7E">
        <w:t xml:space="preserve"> </w:t>
      </w:r>
      <w:r w:rsidRPr="00461B18">
        <w:rPr>
          <w:i/>
          <w:iCs/>
        </w:rPr>
        <w:t xml:space="preserve">Auction 904 Procedures Public Notice </w:t>
      </w:r>
      <w:r w:rsidRPr="00461B18">
        <w:t>at 6143, paras. 195-97.</w:t>
      </w:r>
    </w:p>
  </w:footnote>
  <w:footnote w:id="10">
    <w:p w:rsidR="00632AE6" w:rsidRPr="00461B18" w14:paraId="775466B3" w14:textId="79EC73D7">
      <w:pPr>
        <w:pStyle w:val="FootnoteText"/>
      </w:pPr>
      <w:r w:rsidRPr="00461B18">
        <w:rPr>
          <w:rStyle w:val="FootnoteReference"/>
          <w:sz w:val="20"/>
        </w:rPr>
        <w:footnoteRef/>
      </w:r>
      <w:r w:rsidRPr="00BD6D7E">
        <w:t xml:space="preserve"> </w:t>
      </w:r>
      <w:r w:rsidRPr="00461B18">
        <w:rPr>
          <w:i/>
          <w:iCs/>
        </w:rPr>
        <w:t xml:space="preserve">FCC Form 183; Application to Participate in Rural Digital Opportunity Fund Phase 1 Auction; Auction 904; Instructions </w:t>
      </w:r>
      <w:r w:rsidRPr="00461B18">
        <w:t>at p.1 https://www.fcc.gov/file/18946/download (emphasis in original).</w:t>
      </w:r>
    </w:p>
  </w:footnote>
  <w:footnote w:id="11">
    <w:p w:rsidR="00632AE6" w:rsidRPr="00461B18" w14:paraId="12CDE2DB" w14:textId="7F24F4D0">
      <w:pPr>
        <w:pStyle w:val="FootnoteText"/>
      </w:pPr>
      <w:r w:rsidRPr="00461B18">
        <w:rPr>
          <w:rStyle w:val="FootnoteReference"/>
          <w:sz w:val="20"/>
        </w:rPr>
        <w:footnoteRef/>
      </w:r>
      <w:r w:rsidRPr="00BD6D7E">
        <w:t xml:space="preserve"> </w:t>
      </w:r>
      <w:r w:rsidRPr="00461B18">
        <w:rPr>
          <w:i/>
          <w:iCs/>
        </w:rPr>
        <w:t xml:space="preserve">Auction 904 Procedures Public Notice </w:t>
      </w:r>
      <w:r w:rsidRPr="00461B18">
        <w:t xml:space="preserve">at 6089, para. 28.  </w:t>
      </w:r>
    </w:p>
  </w:footnote>
  <w:footnote w:id="12">
    <w:p w:rsidR="00632AE6" w:rsidRPr="00461B18" w14:paraId="78BA36A3" w14:textId="32D04C28">
      <w:pPr>
        <w:pStyle w:val="FootnoteText"/>
      </w:pPr>
      <w:r w:rsidRPr="00461B18">
        <w:rPr>
          <w:rStyle w:val="FootnoteReference"/>
          <w:sz w:val="20"/>
        </w:rPr>
        <w:footnoteRef/>
      </w:r>
      <w:r w:rsidRPr="00BD6D7E">
        <w:t xml:space="preserve"> </w:t>
      </w:r>
      <w:r w:rsidRPr="00461B18">
        <w:rPr>
          <w:i/>
          <w:iCs/>
        </w:rPr>
        <w:t>Id</w:t>
      </w:r>
      <w:r w:rsidRPr="00461B18">
        <w:t>. at 6089, para. 29.</w:t>
      </w:r>
    </w:p>
  </w:footnote>
  <w:footnote w:id="13">
    <w:p w:rsidR="00632AE6" w:rsidRPr="00461B18" w14:paraId="1AFD57D2" w14:textId="7C065D84">
      <w:pPr>
        <w:pStyle w:val="FootnoteText"/>
      </w:pPr>
      <w:r w:rsidRPr="00461B18">
        <w:rPr>
          <w:rStyle w:val="FootnoteReference"/>
          <w:sz w:val="20"/>
        </w:rPr>
        <w:footnoteRef/>
      </w:r>
      <w:r w:rsidRPr="00BD6D7E">
        <w:t xml:space="preserve"> </w:t>
      </w:r>
      <w:r w:rsidRPr="00461B18">
        <w:rPr>
          <w:i/>
          <w:iCs/>
        </w:rPr>
        <w:t xml:space="preserve">Id. </w:t>
      </w:r>
      <w:r w:rsidRPr="00461B18">
        <w:t>at 6089, para. 30.</w:t>
      </w:r>
    </w:p>
  </w:footnote>
  <w:footnote w:id="14">
    <w:p w:rsidR="00632AE6" w:rsidRPr="00461B18" w14:paraId="28943190" w14:textId="1B3E79A1">
      <w:pPr>
        <w:pStyle w:val="FootnoteText"/>
      </w:pPr>
      <w:r w:rsidRPr="00461B18">
        <w:rPr>
          <w:rStyle w:val="FootnoteReference"/>
          <w:sz w:val="20"/>
        </w:rPr>
        <w:footnoteRef/>
      </w:r>
      <w:r w:rsidRPr="00BD6D7E">
        <w:t xml:space="preserve"> </w:t>
      </w:r>
      <w:r w:rsidRPr="00461B18">
        <w:rPr>
          <w:i/>
          <w:iCs/>
        </w:rPr>
        <w:t xml:space="preserve">Id. </w:t>
      </w:r>
      <w:r w:rsidRPr="00461B18">
        <w:t>at 6143, para. 198.</w:t>
      </w:r>
    </w:p>
  </w:footnote>
  <w:footnote w:id="15">
    <w:p w:rsidR="00632AE6" w:rsidRPr="00461B18" w14:paraId="596FB5B9" w14:textId="3A410D6C">
      <w:pPr>
        <w:pStyle w:val="FootnoteText"/>
        <w:rPr>
          <w:iCs/>
        </w:rPr>
      </w:pPr>
      <w:r w:rsidRPr="00461B18">
        <w:rPr>
          <w:rStyle w:val="FootnoteReference"/>
          <w:sz w:val="20"/>
        </w:rPr>
        <w:footnoteRef/>
      </w:r>
      <w:r w:rsidRPr="00BD6D7E">
        <w:t xml:space="preserve"> </w:t>
      </w:r>
      <w:r w:rsidRPr="00461B18">
        <w:rPr>
          <w:i/>
        </w:rPr>
        <w:t xml:space="preserve">See </w:t>
      </w:r>
      <w:r w:rsidRPr="00461B18">
        <w:t xml:space="preserve">Petition for Waiver of FCC Auction 904 Form 183 Deadline, Native Network, Inc. FRN 0024000473 (July 16, 2020) </w:t>
      </w:r>
      <w:r w:rsidRPr="00461B18">
        <w:rPr>
          <w:iCs/>
        </w:rPr>
        <w:t>(</w:t>
      </w:r>
      <w:r w:rsidRPr="00461B18">
        <w:rPr>
          <w:i/>
        </w:rPr>
        <w:t>Native Network Request</w:t>
      </w:r>
      <w:r w:rsidRPr="00461B18">
        <w:rPr>
          <w:iCs/>
        </w:rPr>
        <w:t xml:space="preserve">); Petition for Waiver of </w:t>
      </w:r>
      <w:r w:rsidRPr="00461B18">
        <w:rPr>
          <w:iCs/>
        </w:rPr>
        <w:t>SmartSky</w:t>
      </w:r>
      <w:r w:rsidRPr="00461B18">
        <w:rPr>
          <w:iCs/>
        </w:rPr>
        <w:t xml:space="preserve"> Networks, L.L.C. (July 19, 2020) (</w:t>
      </w:r>
      <w:r w:rsidRPr="00461B18">
        <w:rPr>
          <w:i/>
        </w:rPr>
        <w:t>SmartSky</w:t>
      </w:r>
      <w:r w:rsidRPr="00461B18">
        <w:rPr>
          <w:i/>
        </w:rPr>
        <w:t xml:space="preserve"> Request</w:t>
      </w:r>
      <w:r w:rsidRPr="00461B18">
        <w:rPr>
          <w:iCs/>
        </w:rPr>
        <w:t>); Request for Waiver of Form 183 Application Deadline; Rural Digital Opportunity Fund (“RDOF”) Phase 1 – Auction 904 (July 20, 2020) (</w:t>
      </w:r>
      <w:r w:rsidRPr="00461B18">
        <w:rPr>
          <w:i/>
        </w:rPr>
        <w:t>ATS Request</w:t>
      </w:r>
      <w:r w:rsidRPr="00461B18">
        <w:rPr>
          <w:iCs/>
        </w:rPr>
        <w:t xml:space="preserve">); Request for Waiver of Auction 904 Short Form Filing Deadline; Waiver-Expedited Action Requested; </w:t>
      </w:r>
      <w:r w:rsidRPr="00461B18">
        <w:rPr>
          <w:iCs/>
        </w:rPr>
        <w:t>Elektrafi</w:t>
      </w:r>
      <w:r w:rsidRPr="00461B18">
        <w:rPr>
          <w:iCs/>
        </w:rPr>
        <w:t xml:space="preserve"> LLC; FRN:  0029531852 (July 21, 2020) (</w:t>
      </w:r>
      <w:r w:rsidRPr="00461B18">
        <w:rPr>
          <w:i/>
        </w:rPr>
        <w:t>Elektrafi</w:t>
      </w:r>
      <w:r w:rsidRPr="00461B18">
        <w:rPr>
          <w:i/>
        </w:rPr>
        <w:t xml:space="preserve"> Request</w:t>
      </w:r>
      <w:r w:rsidRPr="00461B18">
        <w:rPr>
          <w:iCs/>
        </w:rPr>
        <w:t>); Petition for Waiver of Little Miami Gig LLC (July 31, 2020) (</w:t>
      </w:r>
      <w:r w:rsidRPr="00461B18">
        <w:rPr>
          <w:i/>
        </w:rPr>
        <w:t>LMG Request</w:t>
      </w:r>
      <w:r w:rsidRPr="00461B18">
        <w:rPr>
          <w:iCs/>
        </w:rPr>
        <w:t>).</w:t>
      </w:r>
    </w:p>
  </w:footnote>
  <w:footnote w:id="16">
    <w:p w:rsidR="00632AE6" w:rsidRPr="00461B18" w:rsidP="00961EAA" w14:paraId="3E8918C7" w14:textId="42281EA7">
      <w:pPr>
        <w:pStyle w:val="FootnoteText"/>
      </w:pPr>
      <w:r w:rsidRPr="00461B18">
        <w:rPr>
          <w:rStyle w:val="FootnoteReference"/>
          <w:sz w:val="20"/>
        </w:rPr>
        <w:footnoteRef/>
      </w:r>
      <w:r w:rsidRPr="00BD6D7E">
        <w:t xml:space="preserve"> </w:t>
      </w:r>
      <w:r w:rsidRPr="00461B18">
        <w:rPr>
          <w:i/>
        </w:rPr>
        <w:t>Native Network Request</w:t>
      </w:r>
      <w:r w:rsidRPr="00461B18">
        <w:t xml:space="preserve"> at 2.  </w:t>
      </w:r>
    </w:p>
  </w:footnote>
  <w:footnote w:id="17">
    <w:p w:rsidR="00632AE6" w:rsidRPr="00461B18" w14:paraId="3DBE1A46" w14:textId="44AFDD4B">
      <w:pPr>
        <w:pStyle w:val="FootnoteText"/>
      </w:pPr>
      <w:r w:rsidRPr="00461B18">
        <w:rPr>
          <w:rStyle w:val="FootnoteReference"/>
          <w:sz w:val="20"/>
        </w:rPr>
        <w:footnoteRef/>
      </w:r>
      <w:r w:rsidRPr="00BD6D7E">
        <w:t xml:space="preserve"> </w:t>
      </w:r>
      <w:r w:rsidRPr="00461B18">
        <w:rPr>
          <w:i/>
          <w:iCs/>
        </w:rPr>
        <w:t>Id.</w:t>
      </w:r>
      <w:r w:rsidRPr="00461B18">
        <w:t xml:space="preserve"> at 1.</w:t>
      </w:r>
    </w:p>
  </w:footnote>
  <w:footnote w:id="18">
    <w:p w:rsidR="00632AE6" w:rsidRPr="00461B18" w14:paraId="33930EB4" w14:textId="4C24A330">
      <w:pPr>
        <w:pStyle w:val="FootnoteText"/>
      </w:pPr>
      <w:r w:rsidRPr="00461B18">
        <w:rPr>
          <w:rStyle w:val="FootnoteReference"/>
          <w:sz w:val="20"/>
        </w:rPr>
        <w:footnoteRef/>
      </w:r>
      <w:r w:rsidRPr="00BD6D7E">
        <w:t xml:space="preserve"> </w:t>
      </w:r>
      <w:r w:rsidRPr="00461B18">
        <w:rPr>
          <w:i/>
          <w:iCs/>
        </w:rPr>
        <w:t>Id.</w:t>
      </w:r>
      <w:r w:rsidRPr="00461B18">
        <w:t xml:space="preserve"> at 1-2.</w:t>
      </w:r>
    </w:p>
  </w:footnote>
  <w:footnote w:id="19">
    <w:p w:rsidR="00632AE6" w:rsidRPr="00461B18" w14:paraId="44B790C7" w14:textId="72B3ECAA">
      <w:pPr>
        <w:pStyle w:val="FootnoteText"/>
      </w:pPr>
      <w:r w:rsidRPr="00461B18">
        <w:rPr>
          <w:rStyle w:val="FootnoteReference"/>
          <w:sz w:val="20"/>
        </w:rPr>
        <w:footnoteRef/>
      </w:r>
      <w:r w:rsidRPr="00BD6D7E">
        <w:t xml:space="preserve"> </w:t>
      </w:r>
      <w:r w:rsidRPr="00461B18">
        <w:rPr>
          <w:i/>
          <w:iCs/>
        </w:rPr>
        <w:t>Id.</w:t>
      </w:r>
      <w:r w:rsidRPr="00461B18">
        <w:t xml:space="preserve"> at 2.</w:t>
      </w:r>
    </w:p>
  </w:footnote>
  <w:footnote w:id="20">
    <w:p w:rsidR="00632AE6" w:rsidRPr="00461B18" w14:paraId="38694E94" w14:textId="1A59ED61">
      <w:pPr>
        <w:pStyle w:val="FootnoteText"/>
      </w:pPr>
      <w:r w:rsidRPr="00461B18">
        <w:rPr>
          <w:rStyle w:val="FootnoteReference"/>
          <w:sz w:val="20"/>
        </w:rPr>
        <w:footnoteRef/>
      </w:r>
      <w:r w:rsidRPr="00BD6D7E">
        <w:t xml:space="preserve"> </w:t>
      </w:r>
      <w:r w:rsidRPr="00461B18">
        <w:rPr>
          <w:i/>
          <w:iCs/>
        </w:rPr>
        <w:t>SmartSky</w:t>
      </w:r>
      <w:r w:rsidRPr="00461B18">
        <w:rPr>
          <w:i/>
          <w:iCs/>
        </w:rPr>
        <w:t xml:space="preserve"> Request </w:t>
      </w:r>
      <w:r w:rsidRPr="00461B18">
        <w:t>at 1.</w:t>
      </w:r>
    </w:p>
  </w:footnote>
  <w:footnote w:id="21">
    <w:p w:rsidR="00632AE6" w:rsidRPr="00461B18" w14:paraId="3EFEAD79" w14:textId="741F1375">
      <w:pPr>
        <w:pStyle w:val="FootnoteText"/>
      </w:pPr>
      <w:r w:rsidRPr="00461B18">
        <w:rPr>
          <w:rStyle w:val="FootnoteReference"/>
          <w:sz w:val="20"/>
        </w:rPr>
        <w:footnoteRef/>
      </w:r>
      <w:r w:rsidRPr="00BD6D7E">
        <w:t xml:space="preserve"> </w:t>
      </w:r>
      <w:r w:rsidRPr="00461B18">
        <w:rPr>
          <w:i/>
          <w:iCs/>
        </w:rPr>
        <w:t>Id</w:t>
      </w:r>
      <w:r w:rsidRPr="00461B18">
        <w:t xml:space="preserve">.  More specifically, these asserted technical difficulties “included the automatic addition by the system of unknown files not originating from </w:t>
      </w:r>
      <w:r w:rsidRPr="00461B18">
        <w:t>SmartSky</w:t>
      </w:r>
      <w:r w:rsidRPr="00461B18">
        <w:t xml:space="preserve"> when </w:t>
      </w:r>
      <w:r w:rsidRPr="00461B18">
        <w:t>SmartSky</w:t>
      </w:r>
      <w:r w:rsidRPr="00461B18">
        <w:t xml:space="preserve"> tried to upload its ownership information at that time (3:44 p.m.); an apparent continuous virus scan that kept </w:t>
      </w:r>
      <w:r w:rsidRPr="00461B18">
        <w:t>SmartSky’s</w:t>
      </w:r>
      <w:r w:rsidRPr="00461B18">
        <w:t xml:space="preserve"> ownership information (as well as the additional files that had not been contributed by </w:t>
      </w:r>
      <w:r w:rsidRPr="00461B18">
        <w:t>SmartSky</w:t>
      </w:r>
      <w:r w:rsidRPr="00461B18">
        <w:t xml:space="preserve">) from being uploaded; a “spinning” symbol apparently resulting from the continuing virus scan; and a resulting inability to complete any other part of the application. These difficulties persisted despite the numerous attempts, more than 30, by </w:t>
      </w:r>
      <w:r w:rsidRPr="00461B18">
        <w:t>SmartSky</w:t>
      </w:r>
      <w:r w:rsidRPr="00461B18">
        <w:t xml:space="preserve"> to complete the filing between 3:44 p.m. and 6:00 p.m.”  </w:t>
      </w:r>
      <w:r w:rsidRPr="00461B18">
        <w:rPr>
          <w:i/>
          <w:iCs/>
        </w:rPr>
        <w:t xml:space="preserve">Id. </w:t>
      </w:r>
      <w:r w:rsidRPr="00461B18">
        <w:t>at 1-2.</w:t>
      </w:r>
    </w:p>
  </w:footnote>
  <w:footnote w:id="22">
    <w:p w:rsidR="00632AE6" w:rsidRPr="00461B18" w14:paraId="5F22B7A8" w14:textId="334B0184">
      <w:pPr>
        <w:pStyle w:val="FootnoteText"/>
      </w:pPr>
      <w:r w:rsidRPr="00461B18">
        <w:rPr>
          <w:rStyle w:val="FootnoteReference"/>
          <w:sz w:val="20"/>
        </w:rPr>
        <w:footnoteRef/>
      </w:r>
      <w:r w:rsidRPr="00BD6D7E">
        <w:t xml:space="preserve"> </w:t>
      </w:r>
      <w:r w:rsidRPr="00461B18">
        <w:rPr>
          <w:i/>
          <w:iCs/>
        </w:rPr>
        <w:t>Id.</w:t>
      </w:r>
      <w:r w:rsidRPr="00461B18">
        <w:t xml:space="preserve"> at 2.</w:t>
      </w:r>
    </w:p>
  </w:footnote>
  <w:footnote w:id="23">
    <w:p w:rsidR="00632AE6" w:rsidRPr="00461B18" w14:paraId="61CA81AF" w14:textId="1DC23E38">
      <w:pPr>
        <w:pStyle w:val="FootnoteText"/>
      </w:pPr>
      <w:r w:rsidRPr="00461B18">
        <w:rPr>
          <w:rStyle w:val="FootnoteReference"/>
          <w:sz w:val="20"/>
        </w:rPr>
        <w:footnoteRef/>
      </w:r>
      <w:r w:rsidRPr="00BD6D7E">
        <w:t xml:space="preserve"> </w:t>
      </w:r>
      <w:r w:rsidRPr="00461B18">
        <w:rPr>
          <w:i/>
          <w:iCs/>
        </w:rPr>
        <w:t>Id.</w:t>
      </w:r>
      <w:r w:rsidRPr="00461B18">
        <w:t xml:space="preserve"> at 6.</w:t>
      </w:r>
    </w:p>
  </w:footnote>
  <w:footnote w:id="24">
    <w:p w:rsidR="00632AE6" w:rsidRPr="00461B18" w:rsidP="0087300C" w14:paraId="5623696E" w14:textId="4F530BA8">
      <w:pPr>
        <w:pStyle w:val="FootnoteText"/>
        <w:tabs>
          <w:tab w:val="left" w:pos="825"/>
        </w:tabs>
      </w:pPr>
      <w:r w:rsidRPr="00461B18">
        <w:rPr>
          <w:rStyle w:val="FootnoteReference"/>
          <w:sz w:val="20"/>
        </w:rPr>
        <w:footnoteRef/>
      </w:r>
      <w:r w:rsidRPr="00BD6D7E">
        <w:t xml:space="preserve"> </w:t>
      </w:r>
      <w:r w:rsidRPr="00461B18">
        <w:rPr>
          <w:i/>
          <w:iCs/>
        </w:rPr>
        <w:t>ATS Request</w:t>
      </w:r>
      <w:r w:rsidRPr="00461B18">
        <w:t xml:space="preserve"> at 1.</w:t>
      </w:r>
    </w:p>
  </w:footnote>
  <w:footnote w:id="25">
    <w:p w:rsidR="00632AE6" w:rsidRPr="00461B18" w14:paraId="547B2DCA" w14:textId="6BA4D449">
      <w:pPr>
        <w:pStyle w:val="FootnoteText"/>
      </w:pPr>
      <w:r w:rsidRPr="00461B18">
        <w:rPr>
          <w:rStyle w:val="FootnoteReference"/>
          <w:sz w:val="20"/>
        </w:rPr>
        <w:footnoteRef/>
      </w:r>
      <w:r w:rsidRPr="00BD6D7E">
        <w:t xml:space="preserve"> </w:t>
      </w:r>
      <w:r w:rsidRPr="00461B18">
        <w:rPr>
          <w:i/>
          <w:iCs/>
        </w:rPr>
        <w:t>Id.</w:t>
      </w:r>
    </w:p>
  </w:footnote>
  <w:footnote w:id="26">
    <w:p w:rsidR="00632AE6" w:rsidRPr="00461B18" w14:paraId="251BEE1F" w14:textId="3D5D2535">
      <w:pPr>
        <w:pStyle w:val="FootnoteText"/>
        <w:rPr>
          <w:i/>
          <w:iCs/>
        </w:rPr>
      </w:pPr>
      <w:r w:rsidRPr="00461B18">
        <w:rPr>
          <w:rStyle w:val="FootnoteReference"/>
          <w:sz w:val="20"/>
        </w:rPr>
        <w:footnoteRef/>
      </w:r>
      <w:r w:rsidRPr="00BD6D7E">
        <w:t xml:space="preserve"> </w:t>
      </w:r>
      <w:r w:rsidRPr="00461B18">
        <w:rPr>
          <w:i/>
          <w:iCs/>
        </w:rPr>
        <w:t>Id.</w:t>
      </w:r>
    </w:p>
  </w:footnote>
  <w:footnote w:id="27">
    <w:p w:rsidR="00632AE6" w:rsidRPr="00461B18" w14:paraId="5B0B764E" w14:textId="7E9F2946">
      <w:pPr>
        <w:pStyle w:val="FootnoteText"/>
        <w:rPr>
          <w:i/>
          <w:iCs/>
        </w:rPr>
      </w:pPr>
      <w:r w:rsidRPr="00461B18">
        <w:rPr>
          <w:rStyle w:val="FootnoteReference"/>
          <w:sz w:val="20"/>
        </w:rPr>
        <w:footnoteRef/>
      </w:r>
      <w:r w:rsidRPr="00BD6D7E">
        <w:t xml:space="preserve"> </w:t>
      </w:r>
      <w:r w:rsidRPr="00461B18">
        <w:rPr>
          <w:i/>
          <w:iCs/>
        </w:rPr>
        <w:t>Id.</w:t>
      </w:r>
    </w:p>
  </w:footnote>
  <w:footnote w:id="28">
    <w:p w:rsidR="00632AE6" w:rsidRPr="00461B18" w14:paraId="7900D5D0" w14:textId="7B0C4883">
      <w:pPr>
        <w:pStyle w:val="FootnoteText"/>
      </w:pPr>
      <w:r w:rsidRPr="00461B18">
        <w:rPr>
          <w:rStyle w:val="FootnoteReference"/>
          <w:sz w:val="20"/>
        </w:rPr>
        <w:footnoteRef/>
      </w:r>
      <w:r w:rsidRPr="00BD6D7E">
        <w:t xml:space="preserve"> </w:t>
      </w:r>
      <w:r w:rsidRPr="00461B18">
        <w:rPr>
          <w:i/>
          <w:iCs/>
        </w:rPr>
        <w:t>Elektrafi</w:t>
      </w:r>
      <w:r w:rsidRPr="00461B18">
        <w:rPr>
          <w:i/>
          <w:iCs/>
        </w:rPr>
        <w:t xml:space="preserve"> Request</w:t>
      </w:r>
      <w:r w:rsidRPr="00461B18">
        <w:t xml:space="preserve"> at 1.</w:t>
      </w:r>
    </w:p>
  </w:footnote>
  <w:footnote w:id="29">
    <w:p w:rsidR="00632AE6" w:rsidRPr="00461B18" w14:paraId="6E8EB039" w14:textId="7C6B5321">
      <w:pPr>
        <w:pStyle w:val="FootnoteText"/>
        <w:rPr>
          <w:i/>
          <w:iCs/>
        </w:rPr>
      </w:pPr>
      <w:r w:rsidRPr="00461B18">
        <w:rPr>
          <w:rStyle w:val="FootnoteReference"/>
          <w:sz w:val="20"/>
        </w:rPr>
        <w:footnoteRef/>
      </w:r>
      <w:r w:rsidRPr="00BD6D7E">
        <w:t xml:space="preserve"> </w:t>
      </w:r>
      <w:r w:rsidRPr="00461B18">
        <w:rPr>
          <w:i/>
          <w:iCs/>
        </w:rPr>
        <w:t>Id.</w:t>
      </w:r>
    </w:p>
  </w:footnote>
  <w:footnote w:id="30">
    <w:p w:rsidR="00632AE6" w:rsidRPr="00461B18" w14:paraId="728C2FEE" w14:textId="41B64DE9">
      <w:pPr>
        <w:pStyle w:val="FootnoteText"/>
      </w:pPr>
      <w:r w:rsidRPr="00461B18">
        <w:rPr>
          <w:rStyle w:val="FootnoteReference"/>
          <w:sz w:val="20"/>
        </w:rPr>
        <w:footnoteRef/>
      </w:r>
      <w:r w:rsidRPr="00BD6D7E">
        <w:t xml:space="preserve"> </w:t>
      </w:r>
      <w:r w:rsidRPr="00461B18">
        <w:rPr>
          <w:i/>
          <w:iCs/>
        </w:rPr>
        <w:t>Id.</w:t>
      </w:r>
      <w:r w:rsidRPr="00461B18">
        <w:t xml:space="preserve"> at 3.</w:t>
      </w:r>
    </w:p>
  </w:footnote>
  <w:footnote w:id="31">
    <w:p w:rsidR="00632AE6" w:rsidRPr="00461B18" w14:paraId="3B748E0A" w14:textId="25651332">
      <w:pPr>
        <w:pStyle w:val="FootnoteText"/>
      </w:pPr>
      <w:r w:rsidRPr="00461B18">
        <w:rPr>
          <w:rStyle w:val="FootnoteReference"/>
          <w:sz w:val="20"/>
        </w:rPr>
        <w:footnoteRef/>
      </w:r>
      <w:r w:rsidRPr="00BD6D7E">
        <w:t xml:space="preserve"> </w:t>
      </w:r>
      <w:r w:rsidRPr="00461B18">
        <w:rPr>
          <w:i/>
          <w:iCs/>
        </w:rPr>
        <w:t>LMG Request</w:t>
      </w:r>
      <w:r w:rsidRPr="00461B18">
        <w:t xml:space="preserve"> at 1.</w:t>
      </w:r>
    </w:p>
  </w:footnote>
  <w:footnote w:id="32">
    <w:p w:rsidR="00632AE6" w:rsidRPr="00461B18" w14:paraId="728F21DA" w14:textId="75A300E3">
      <w:pPr>
        <w:pStyle w:val="FootnoteText"/>
      </w:pPr>
      <w:r w:rsidRPr="00461B18">
        <w:rPr>
          <w:rStyle w:val="FootnoteReference"/>
          <w:sz w:val="20"/>
        </w:rPr>
        <w:footnoteRef/>
      </w:r>
      <w:r w:rsidRPr="00BD6D7E">
        <w:t xml:space="preserve"> </w:t>
      </w:r>
      <w:r w:rsidRPr="00461B18">
        <w:rPr>
          <w:i/>
          <w:iCs/>
        </w:rPr>
        <w:t>Id.</w:t>
      </w:r>
      <w:r w:rsidRPr="00461B18">
        <w:t xml:space="preserve"> at 9 and n.38.</w:t>
      </w:r>
    </w:p>
  </w:footnote>
  <w:footnote w:id="33">
    <w:p w:rsidR="00632AE6" w:rsidRPr="00461B18" w:rsidP="00985A64" w14:paraId="6E3D1E33" w14:textId="7BBE27E8">
      <w:pPr>
        <w:pStyle w:val="FootnoteText"/>
      </w:pPr>
      <w:r w:rsidRPr="00461B18">
        <w:rPr>
          <w:rStyle w:val="FootnoteReference"/>
          <w:sz w:val="20"/>
        </w:rPr>
        <w:footnoteRef/>
      </w:r>
      <w:r w:rsidRPr="00BD6D7E">
        <w:t xml:space="preserve"> </w:t>
      </w:r>
      <w:r w:rsidRPr="00461B18">
        <w:rPr>
          <w:i/>
          <w:iCs/>
        </w:rPr>
        <w:t>Id</w:t>
      </w:r>
      <w:r w:rsidRPr="00461B18">
        <w:t xml:space="preserve">. at 11.  LMG attributes its small staff to its adherence to “Lean Management techniques designed to produce value for its customers through the optimization of resources, continuous improvement and elimination of waste in all aspects of the business operations,” which requires LMG to “operate[ ] with a streamlined staff and management structure.”  </w:t>
      </w:r>
      <w:r w:rsidRPr="00461B18">
        <w:rPr>
          <w:i/>
          <w:iCs/>
        </w:rPr>
        <w:t>Id</w:t>
      </w:r>
      <w:r w:rsidRPr="00461B18">
        <w:t>. at 2.</w:t>
      </w:r>
    </w:p>
  </w:footnote>
  <w:footnote w:id="34">
    <w:p w:rsidR="00632AE6" w:rsidRPr="00461B18" w14:paraId="0393322C" w14:textId="2881F218">
      <w:pPr>
        <w:pStyle w:val="FootnoteText"/>
      </w:pPr>
      <w:r w:rsidRPr="00461B18">
        <w:rPr>
          <w:rStyle w:val="FootnoteReference"/>
          <w:sz w:val="20"/>
        </w:rPr>
        <w:footnoteRef/>
      </w:r>
      <w:r w:rsidRPr="00BD6D7E">
        <w:t xml:space="preserve"> </w:t>
      </w:r>
      <w:r w:rsidRPr="00461B18">
        <w:rPr>
          <w:i/>
        </w:rPr>
        <w:t>See</w:t>
      </w:r>
      <w:r w:rsidRPr="00461B18">
        <w:t xml:space="preserve"> 47 CFR § 1.3.</w:t>
      </w:r>
    </w:p>
  </w:footnote>
  <w:footnote w:id="35">
    <w:p w:rsidR="00632AE6" w:rsidRPr="00461B18" w:rsidP="00033D54" w14:paraId="1E5F53B9" w14:textId="77777777">
      <w:pPr>
        <w:pStyle w:val="FootnoteText"/>
      </w:pPr>
      <w:r w:rsidRPr="00461B18">
        <w:rPr>
          <w:rStyle w:val="FootnoteReference"/>
          <w:sz w:val="20"/>
        </w:rPr>
        <w:footnoteRef/>
      </w:r>
      <w:r w:rsidRPr="00BD6D7E">
        <w:t xml:space="preserve"> </w:t>
      </w:r>
      <w:r w:rsidRPr="00461B18">
        <w:rPr>
          <w:i/>
          <w:iCs/>
        </w:rPr>
        <w:t>See</w:t>
      </w:r>
      <w:r w:rsidRPr="00461B18">
        <w:t xml:space="preserve"> </w:t>
      </w:r>
      <w:r w:rsidRPr="00461B18">
        <w:rPr>
          <w:i/>
          <w:iCs/>
        </w:rPr>
        <w:t>generally</w:t>
      </w:r>
      <w:r w:rsidRPr="00461B18">
        <w:t xml:space="preserve">, </w:t>
      </w:r>
      <w:r w:rsidRPr="00461B18">
        <w:rPr>
          <w:i/>
          <w:iCs/>
        </w:rPr>
        <w:t>Native Network Request</w:t>
      </w:r>
      <w:r w:rsidRPr="00461B18">
        <w:t xml:space="preserve"> (not citing any Commission rule or case); </w:t>
      </w:r>
      <w:r w:rsidRPr="00461B18">
        <w:rPr>
          <w:i/>
        </w:rPr>
        <w:t>SmartSky</w:t>
      </w:r>
      <w:r w:rsidRPr="00461B18">
        <w:rPr>
          <w:i/>
        </w:rPr>
        <w:t xml:space="preserve"> Request</w:t>
      </w:r>
      <w:r w:rsidRPr="00461B18">
        <w:rPr>
          <w:iCs/>
        </w:rPr>
        <w:t xml:space="preserve"> at 1 (waiver request pursuant to Commission rule Sections 1.3 and 1.925); </w:t>
      </w:r>
      <w:r w:rsidRPr="00461B18">
        <w:rPr>
          <w:i/>
        </w:rPr>
        <w:t>ATS Request</w:t>
      </w:r>
      <w:r w:rsidRPr="00461B18">
        <w:rPr>
          <w:iCs/>
        </w:rPr>
        <w:t xml:space="preserve"> at 2 (citing Section 1.3 and related case law); </w:t>
      </w:r>
      <w:r w:rsidRPr="00461B18">
        <w:rPr>
          <w:i/>
        </w:rPr>
        <w:t>Elektrafi</w:t>
      </w:r>
      <w:r w:rsidRPr="00461B18">
        <w:rPr>
          <w:i/>
        </w:rPr>
        <w:t xml:space="preserve"> Request</w:t>
      </w:r>
      <w:r w:rsidRPr="00461B18">
        <w:rPr>
          <w:iCs/>
        </w:rPr>
        <w:t xml:space="preserve"> at 1 (Section 1.925); </w:t>
      </w:r>
      <w:r w:rsidRPr="00461B18">
        <w:rPr>
          <w:i/>
        </w:rPr>
        <w:t>LMG Request</w:t>
      </w:r>
      <w:r w:rsidRPr="00461B18">
        <w:rPr>
          <w:iCs/>
        </w:rPr>
        <w:t xml:space="preserve"> at 1 (Section 1.3).</w:t>
      </w:r>
    </w:p>
  </w:footnote>
  <w:footnote w:id="36">
    <w:p w:rsidR="002B0083" w:rsidRPr="00461B18" w:rsidP="002B0083" w14:paraId="4F8683DD" w14:textId="44A841F7">
      <w:pPr>
        <w:pStyle w:val="FootnoteText"/>
      </w:pPr>
      <w:r w:rsidRPr="00461B18">
        <w:rPr>
          <w:rStyle w:val="FootnoteReference"/>
          <w:sz w:val="20"/>
        </w:rPr>
        <w:footnoteRef/>
      </w:r>
      <w:r w:rsidRPr="00BD6D7E">
        <w:t xml:space="preserve"> </w:t>
      </w:r>
      <w:r w:rsidRPr="00461B18">
        <w:rPr>
          <w:i/>
        </w:rPr>
        <w:t>See</w:t>
      </w:r>
      <w:r w:rsidRPr="00461B18">
        <w:t xml:space="preserve"> </w:t>
      </w:r>
      <w:r w:rsidRPr="00461B18">
        <w:rPr>
          <w:i/>
        </w:rPr>
        <w:t>BellSouth Corp. v. FCC</w:t>
      </w:r>
      <w:r w:rsidRPr="00461B18">
        <w:t xml:space="preserve">, 162 F.3d 1215, 1225 n.10 (D.C. Cir. 1999) (noting virtual identity of material provisions of general waiver standard and standard in specific Commission rule provisions that were later </w:t>
      </w:r>
      <w:r>
        <w:t>incorporated into</w:t>
      </w:r>
      <w:r w:rsidRPr="00461B18">
        <w:t xml:space="preserve"> </w:t>
      </w:r>
      <w:r>
        <w:t>s</w:t>
      </w:r>
      <w:r w:rsidRPr="00461B18">
        <w:t>ection 1.925)</w:t>
      </w:r>
      <w:r w:rsidRPr="00461B18">
        <w:rPr>
          <w:i/>
        </w:rPr>
        <w:t>.</w:t>
      </w:r>
      <w:r w:rsidRPr="00461B18">
        <w:t xml:space="preserve">  </w:t>
      </w:r>
    </w:p>
  </w:footnote>
  <w:footnote w:id="37">
    <w:p w:rsidR="00632AE6" w:rsidRPr="00461B18" w14:paraId="5A1A3984" w14:textId="77777777">
      <w:pPr>
        <w:pStyle w:val="FootnoteText"/>
      </w:pPr>
      <w:r w:rsidRPr="00461B18">
        <w:rPr>
          <w:rStyle w:val="FootnoteReference"/>
          <w:sz w:val="20"/>
        </w:rPr>
        <w:footnoteRef/>
      </w:r>
      <w:r w:rsidRPr="00BD6D7E">
        <w:t xml:space="preserve"> </w:t>
      </w:r>
      <w:r w:rsidRPr="00461B18">
        <w:rPr>
          <w:i/>
        </w:rPr>
        <w:t>See Northeast Cellular Tel. Co. v. FCC</w:t>
      </w:r>
      <w:r w:rsidRPr="00461B18">
        <w:t xml:space="preserve">, 897 F.2d 1164, 1166 (D.C. Cir. 1990) (citing </w:t>
      </w:r>
      <w:r w:rsidRPr="00461B18">
        <w:rPr>
          <w:i/>
        </w:rPr>
        <w:t>WAIT Radio v. FCC</w:t>
      </w:r>
      <w:r w:rsidRPr="00461B18">
        <w:t xml:space="preserve">, 418 F.2d 1153, 1157-59 (D.C. Cir. 1969), </w:t>
      </w:r>
      <w:r w:rsidRPr="00461B18">
        <w:rPr>
          <w:i/>
        </w:rPr>
        <w:t>cert. denied</w:t>
      </w:r>
      <w:r w:rsidRPr="00461B18">
        <w:t xml:space="preserve">, 93 </w:t>
      </w:r>
      <w:r w:rsidRPr="00461B18">
        <w:t>S.Ct</w:t>
      </w:r>
      <w:r w:rsidRPr="00461B18">
        <w:t>. 461 (1972)) (</w:t>
      </w:r>
      <w:r w:rsidRPr="00461B18">
        <w:rPr>
          <w:i/>
        </w:rPr>
        <w:t>Northeast Cellular</w:t>
      </w:r>
      <w:r w:rsidRPr="00461B18">
        <w:t>).</w:t>
      </w:r>
    </w:p>
  </w:footnote>
  <w:footnote w:id="38">
    <w:p w:rsidR="00632AE6" w:rsidRPr="00461B18" w:rsidP="00982E56" w14:paraId="2E057CF4" w14:textId="153ABED1">
      <w:pPr>
        <w:pStyle w:val="FootnoteText"/>
      </w:pPr>
      <w:r w:rsidRPr="00461B18">
        <w:rPr>
          <w:rStyle w:val="FootnoteReference"/>
          <w:sz w:val="20"/>
        </w:rPr>
        <w:footnoteRef/>
      </w:r>
      <w:r w:rsidRPr="00BD6D7E">
        <w:t xml:space="preserve"> </w:t>
      </w:r>
      <w:r w:rsidRPr="00461B18">
        <w:rPr>
          <w:i/>
        </w:rPr>
        <w:t>Rural Digital Opportunity Fund; Connect America Fund</w:t>
      </w:r>
      <w:r w:rsidRPr="00461B18">
        <w:t xml:space="preserve">, Order, 35 FCC </w:t>
      </w:r>
      <w:r w:rsidRPr="00461B18">
        <w:t>Rcd</w:t>
      </w:r>
      <w:r w:rsidRPr="00461B18">
        <w:t xml:space="preserve"> 686, 695, para. 18 (2020) (</w:t>
      </w:r>
      <w:r w:rsidRPr="00461B18">
        <w:rPr>
          <w:i/>
          <w:iCs/>
        </w:rPr>
        <w:t>Order</w:t>
      </w:r>
      <w:r w:rsidRPr="00461B18">
        <w:t>).</w:t>
      </w:r>
    </w:p>
  </w:footnote>
  <w:footnote w:id="39">
    <w:p w:rsidR="00632AE6" w:rsidRPr="00461B18" w:rsidP="000B34A9" w14:paraId="6B4E1E03" w14:textId="2E70B8AC">
      <w:pPr>
        <w:pStyle w:val="FootnoteText"/>
      </w:pPr>
      <w:r w:rsidRPr="00461B18">
        <w:rPr>
          <w:rStyle w:val="FootnoteReference"/>
          <w:sz w:val="20"/>
        </w:rPr>
        <w:footnoteRef/>
      </w:r>
      <w:r w:rsidRPr="00BD6D7E">
        <w:t xml:space="preserve"> </w:t>
      </w:r>
      <w:r w:rsidRPr="00461B18">
        <w:rPr>
          <w:i/>
        </w:rPr>
        <w:t xml:space="preserve">NBVDS </w:t>
      </w:r>
      <w:r w:rsidRPr="00461B18">
        <w:rPr>
          <w:i/>
          <w:iCs/>
        </w:rPr>
        <w:t>Investment, L.L.C., Request for Waiver of Section 1.2105 of the Commission’s Rules for Auction 101</w:t>
      </w:r>
      <w:r w:rsidRPr="00461B18">
        <w:t xml:space="preserve">, Memorandum Opinion and Order, 34 FCC </w:t>
      </w:r>
      <w:r w:rsidRPr="00461B18">
        <w:t>Rcd</w:t>
      </w:r>
      <w:r w:rsidRPr="00461B18">
        <w:t xml:space="preserve"> 8507, 8509, para. 11 (2019) (</w:t>
      </w:r>
      <w:r w:rsidRPr="00461B18">
        <w:rPr>
          <w:i/>
          <w:iCs/>
        </w:rPr>
        <w:t>NBVDS AFR MO&amp;O</w:t>
      </w:r>
      <w:r w:rsidRPr="00461B18">
        <w:rPr>
          <w:iCs/>
        </w:rPr>
        <w:t>)</w:t>
      </w:r>
      <w:r w:rsidRPr="00461B18">
        <w:t xml:space="preserve"> </w:t>
      </w:r>
      <w:r w:rsidRPr="00461B18">
        <w:rPr>
          <w:iCs/>
        </w:rPr>
        <w:t>(citing</w:t>
      </w:r>
      <w:r w:rsidRPr="00461B18">
        <w:rPr>
          <w:i/>
        </w:rPr>
        <w:t xml:space="preserve"> First Auction of Interactive Video and Data Service (IVDS) Licenses: Request for Waiver of Applications Deadline</w:t>
      </w:r>
      <w:r w:rsidRPr="00461B18">
        <w:t xml:space="preserve">, Memorandum Opinion and Order, 11 FCC </w:t>
      </w:r>
      <w:r w:rsidRPr="00461B18">
        <w:t>Rcd</w:t>
      </w:r>
      <w:r w:rsidRPr="00461B18">
        <w:t xml:space="preserve"> 1134 (1996) (Commission decision affirming denial of waiver of short-form filing deadline and emphasizing importance of strictly enforcing deadlines), </w:t>
      </w:r>
      <w:r w:rsidRPr="00461B18">
        <w:rPr>
          <w:i/>
        </w:rPr>
        <w:t>affirming</w:t>
      </w:r>
      <w:r w:rsidRPr="00461B18">
        <w:t xml:space="preserve"> </w:t>
      </w:r>
      <w:r w:rsidRPr="00461B18">
        <w:rPr>
          <w:i/>
        </w:rPr>
        <w:t>First Auction of Interactive Video and Data Service (IVDS) Licenses: Request for Waiver of Applications Deadline</w:t>
      </w:r>
      <w:r w:rsidRPr="00461B18">
        <w:t>,</w:t>
      </w:r>
      <w:r w:rsidRPr="00461B18">
        <w:rPr>
          <w:i/>
        </w:rPr>
        <w:t xml:space="preserve"> </w:t>
      </w:r>
      <w:r w:rsidRPr="00461B18">
        <w:t xml:space="preserve">Order, 10 FCC </w:t>
      </w:r>
      <w:r w:rsidRPr="00461B18">
        <w:t>Rcd</w:t>
      </w:r>
      <w:r w:rsidRPr="00461B18">
        <w:t xml:space="preserve"> 5415 (WTB 1995); </w:t>
      </w:r>
      <w:r w:rsidRPr="00461B18">
        <w:rPr>
          <w:i/>
        </w:rPr>
        <w:t>Vero Beach Broadcasting, LLC – Request for Waiver of Short-Form Deadline for FM Broadcast Auction No. 62</w:t>
      </w:r>
      <w:r w:rsidRPr="00461B18">
        <w:t xml:space="preserve">, Letter Order, 20 FCC </w:t>
      </w:r>
      <w:r w:rsidRPr="00461B18">
        <w:t>Rcd</w:t>
      </w:r>
      <w:r w:rsidRPr="00461B18">
        <w:t xml:space="preserve"> 19346 (WTB 2005) (</w:t>
      </w:r>
      <w:r w:rsidRPr="00461B18">
        <w:rPr>
          <w:i/>
        </w:rPr>
        <w:t>Vero Beach</w:t>
      </w:r>
      <w:r w:rsidRPr="00461B18">
        <w:t xml:space="preserve">) (short-form deadline provides reasonable certainty to applicants of fair and predictable application of auction rules and procedures, including enforcement of deadlines; deadlines allow applicants to plan for auction and a deadline waiver would undermine Commission’s ability to review short-form applications in timely manner because it would encourage similar requests); </w:t>
      </w:r>
      <w:r w:rsidRPr="00461B18">
        <w:rPr>
          <w:i/>
          <w:iCs/>
        </w:rPr>
        <w:t>Ideas for Business, Inc. – Request for Waiver of Short-Form Deadline for FM Broadcast Auction No. 37</w:t>
      </w:r>
      <w:r w:rsidRPr="00461B18">
        <w:t xml:space="preserve">, Letter Order, 19 FCC </w:t>
      </w:r>
      <w:r w:rsidRPr="00461B18">
        <w:t>Rcd</w:t>
      </w:r>
      <w:r w:rsidRPr="00461B18">
        <w:t xml:space="preserve"> 20517, 20517-19 (WTB 2004) (</w:t>
      </w:r>
      <w:r w:rsidRPr="00461B18">
        <w:rPr>
          <w:i/>
          <w:iCs/>
        </w:rPr>
        <w:t>Ideas for Business</w:t>
      </w:r>
      <w:r w:rsidRPr="00461B18">
        <w:t xml:space="preserve">) (denying waiver request when short-form application was not timely submitted due to an alleged “break in the transmission”)); </w:t>
      </w:r>
      <w:r w:rsidRPr="00461B18">
        <w:rPr>
          <w:i/>
          <w:iCs/>
        </w:rPr>
        <w:t xml:space="preserve">see also </w:t>
      </w:r>
      <w:r w:rsidRPr="00461B18">
        <w:rPr>
          <w:i/>
        </w:rPr>
        <w:t>Request for Extensions of Time To File a Short-Form Application and Submit Down Payment in Auction No. 59</w:t>
      </w:r>
      <w:r w:rsidRPr="00461B18">
        <w:t xml:space="preserve">, Letter Order, 20 FCC </w:t>
      </w:r>
      <w:r w:rsidRPr="00461B18">
        <w:t>Rcd</w:t>
      </w:r>
      <w:r w:rsidRPr="00461B18">
        <w:t xml:space="preserve"> 8750 (WTB 2005); </w:t>
      </w:r>
      <w:r w:rsidRPr="00461B18">
        <w:rPr>
          <w:i/>
        </w:rPr>
        <w:t>Request for Waiver of Short-Form Deadline for Auction No. 44</w:t>
      </w:r>
      <w:r w:rsidRPr="00461B18">
        <w:t xml:space="preserve">, Letter Order, 17 FCC </w:t>
      </w:r>
      <w:r w:rsidRPr="00461B18">
        <w:t>Rcd</w:t>
      </w:r>
      <w:r w:rsidRPr="00461B18">
        <w:t xml:space="preserve"> 16301 (WTB 2002)).</w:t>
      </w:r>
    </w:p>
  </w:footnote>
  <w:footnote w:id="40">
    <w:p w:rsidR="00C53D8C" w:rsidRPr="00461B18" w14:paraId="15EB1427" w14:textId="55A32CD1">
      <w:pPr>
        <w:pStyle w:val="FootnoteText"/>
      </w:pPr>
      <w:r w:rsidRPr="00461B18">
        <w:rPr>
          <w:rStyle w:val="FootnoteReference"/>
          <w:sz w:val="20"/>
        </w:rPr>
        <w:footnoteRef/>
      </w:r>
      <w:r w:rsidRPr="00BD6D7E">
        <w:t xml:space="preserve"> </w:t>
      </w:r>
      <w:r w:rsidRPr="00461B18">
        <w:rPr>
          <w:i/>
          <w:iCs/>
        </w:rPr>
        <w:t xml:space="preserve">See </w:t>
      </w:r>
      <w:r w:rsidRPr="00461B18">
        <w:rPr>
          <w:i/>
          <w:iCs/>
        </w:rPr>
        <w:t>Elektrafi</w:t>
      </w:r>
      <w:r w:rsidRPr="00461B18">
        <w:rPr>
          <w:i/>
          <w:iCs/>
        </w:rPr>
        <w:t xml:space="preserve"> Request </w:t>
      </w:r>
      <w:r w:rsidRPr="00461B18">
        <w:t>at 1 (“</w:t>
      </w:r>
      <w:r w:rsidRPr="00461B18">
        <w:t>Elektrafi</w:t>
      </w:r>
      <w:r w:rsidRPr="00461B18">
        <w:t xml:space="preserve"> intends to participate in the [Rural Digital Opportunities Fund] auction.”)</w:t>
      </w:r>
    </w:p>
  </w:footnote>
  <w:footnote w:id="41">
    <w:p w:rsidR="00632AE6" w:rsidRPr="00461B18" w14:paraId="4482861C" w14:textId="74B0A274">
      <w:pPr>
        <w:pStyle w:val="FootnoteText"/>
      </w:pPr>
      <w:r w:rsidRPr="00461B18">
        <w:rPr>
          <w:rStyle w:val="FootnoteReference"/>
          <w:sz w:val="20"/>
        </w:rPr>
        <w:footnoteRef/>
      </w:r>
      <w:r w:rsidRPr="00BD6D7E">
        <w:t xml:space="preserve"> In the par</w:t>
      </w:r>
      <w:r w:rsidRPr="00461B18">
        <w:t xml:space="preserve">allel context of submitting bids in the Commission’s Auction System, the Commission declared that it will have no obligation to resolve issues that arise “outside the Auction System or [are] attributable to a bidder, including, but not limited to, a bidder’s hardware, software, or Internet access problem that prevents the bidder from submitting a bid prior to the end of a round,” on behalf of a bidder.  </w:t>
      </w:r>
      <w:r w:rsidRPr="00461B18">
        <w:rPr>
          <w:i/>
        </w:rPr>
        <w:t>See Auction 904 Procedures Public Notice</w:t>
      </w:r>
      <w:r w:rsidRPr="00461B18">
        <w:t xml:space="preserve"> at 6145, para. 207.</w:t>
      </w:r>
    </w:p>
  </w:footnote>
  <w:footnote w:id="42">
    <w:p w:rsidR="00632AE6" w:rsidRPr="00461B18" w14:paraId="6BF9A8E7" w14:textId="23491BA3">
      <w:pPr>
        <w:pStyle w:val="FootnoteText"/>
      </w:pPr>
      <w:r w:rsidRPr="00461B18">
        <w:rPr>
          <w:rStyle w:val="FootnoteReference"/>
          <w:sz w:val="20"/>
        </w:rPr>
        <w:footnoteRef/>
      </w:r>
      <w:r w:rsidRPr="00BD6D7E">
        <w:t xml:space="preserve"> </w:t>
      </w:r>
      <w:r w:rsidRPr="00461B18">
        <w:rPr>
          <w:i/>
          <w:iCs/>
        </w:rPr>
        <w:t xml:space="preserve">Auction 904 Procedures Public Notice </w:t>
      </w:r>
      <w:r w:rsidRPr="00461B18">
        <w:t>at 6143, para. 196.</w:t>
      </w:r>
    </w:p>
  </w:footnote>
  <w:footnote w:id="43">
    <w:p w:rsidR="00632AE6" w:rsidRPr="00461B18" w14:paraId="50517C4F" w14:textId="71D90B4A">
      <w:pPr>
        <w:pStyle w:val="FootnoteText"/>
      </w:pPr>
      <w:r w:rsidRPr="00461B18">
        <w:rPr>
          <w:rStyle w:val="FootnoteReference"/>
          <w:sz w:val="20"/>
        </w:rPr>
        <w:footnoteRef/>
      </w:r>
      <w:r w:rsidRPr="00BD6D7E">
        <w:t xml:space="preserve"> </w:t>
      </w:r>
      <w:r w:rsidRPr="00461B18">
        <w:rPr>
          <w:i/>
          <w:iCs/>
        </w:rPr>
        <w:t>See</w:t>
      </w:r>
      <w:r w:rsidRPr="00461B18">
        <w:t xml:space="preserve"> </w:t>
      </w:r>
      <w:r w:rsidRPr="00461B18">
        <w:rPr>
          <w:i/>
          <w:iCs/>
        </w:rPr>
        <w:t xml:space="preserve">Native Network Request </w:t>
      </w:r>
      <w:r w:rsidRPr="00461B18">
        <w:t xml:space="preserve">at 1; </w:t>
      </w:r>
      <w:r w:rsidRPr="00461B18">
        <w:rPr>
          <w:i/>
          <w:iCs/>
        </w:rPr>
        <w:t>SmartSky</w:t>
      </w:r>
      <w:r w:rsidRPr="00461B18">
        <w:rPr>
          <w:i/>
          <w:iCs/>
        </w:rPr>
        <w:t xml:space="preserve"> Request </w:t>
      </w:r>
      <w:r w:rsidRPr="00461B18">
        <w:t xml:space="preserve">at 8-9; </w:t>
      </w:r>
      <w:r w:rsidRPr="00461B18">
        <w:rPr>
          <w:i/>
          <w:iCs/>
        </w:rPr>
        <w:t xml:space="preserve">ATS Request </w:t>
      </w:r>
      <w:r w:rsidRPr="00461B18">
        <w:t xml:space="preserve">at 3; </w:t>
      </w:r>
      <w:r w:rsidRPr="00461B18">
        <w:rPr>
          <w:i/>
          <w:iCs/>
        </w:rPr>
        <w:t>Elektrafi</w:t>
      </w:r>
      <w:r w:rsidRPr="00461B18">
        <w:rPr>
          <w:i/>
          <w:iCs/>
        </w:rPr>
        <w:t xml:space="preserve"> Request </w:t>
      </w:r>
      <w:r w:rsidRPr="00461B18">
        <w:t xml:space="preserve">at 1; </w:t>
      </w:r>
      <w:r w:rsidRPr="00461B18">
        <w:rPr>
          <w:i/>
          <w:iCs/>
        </w:rPr>
        <w:t xml:space="preserve">LMG Request </w:t>
      </w:r>
      <w:r w:rsidRPr="00461B18">
        <w:t>at 10-11.</w:t>
      </w:r>
    </w:p>
  </w:footnote>
  <w:footnote w:id="44">
    <w:p w:rsidR="00632AE6" w:rsidRPr="00461B18" w14:paraId="096EA0A8" w14:textId="2E9301C8">
      <w:pPr>
        <w:pStyle w:val="FootnoteText"/>
      </w:pPr>
      <w:r w:rsidRPr="00461B18">
        <w:rPr>
          <w:rStyle w:val="FootnoteReference"/>
          <w:sz w:val="20"/>
        </w:rPr>
        <w:footnoteRef/>
      </w:r>
      <w:r w:rsidRPr="00BD6D7E">
        <w:t xml:space="preserve"> </w:t>
      </w:r>
      <w:r w:rsidRPr="00461B18">
        <w:rPr>
          <w:i/>
        </w:rPr>
        <w:t xml:space="preserve">NBVDS AFR </w:t>
      </w:r>
      <w:r w:rsidRPr="00461B18">
        <w:rPr>
          <w:i/>
          <w:iCs/>
        </w:rPr>
        <w:t>MO&amp;O</w:t>
      </w:r>
      <w:r w:rsidRPr="00461B18">
        <w:t xml:space="preserve"> at 8511, para. 15 (citing </w:t>
      </w:r>
      <w:r w:rsidRPr="00461B18">
        <w:rPr>
          <w:i/>
        </w:rPr>
        <w:t>Application of The ERIE Radio Co., LLC for a Construction Permit for a New FM Broadcast Station at Westfield,</w:t>
      </w:r>
      <w:r w:rsidRPr="00461B18">
        <w:t xml:space="preserve"> </w:t>
      </w:r>
      <w:r w:rsidRPr="00461B18">
        <w:rPr>
          <w:i/>
        </w:rPr>
        <w:t>NY; Informal Request for Extension of Time</w:t>
      </w:r>
      <w:r w:rsidRPr="00461B18">
        <w:t xml:space="preserve">, Memorandum Opinion and Order, 32 FCC </w:t>
      </w:r>
      <w:r w:rsidRPr="00461B18">
        <w:t>Rcd</w:t>
      </w:r>
      <w:r w:rsidRPr="00461B18">
        <w:t xml:space="preserve"> 3890, 3896 &amp; n.51, para. 17 (MB/WTB 2017) (rejecting argument that waiver was in the public interest because re-auctioning construction permit would cause a multi-year delay in a local broadcaster serving Westfield, NY); </w:t>
      </w:r>
      <w:r w:rsidRPr="00461B18">
        <w:rPr>
          <w:i/>
        </w:rPr>
        <w:t>Southern Communications Systems, Inc.</w:t>
      </w:r>
      <w:r w:rsidRPr="00461B18">
        <w:t xml:space="preserve">, Second Memorandum Opinion and Order, 16 FCC </w:t>
      </w:r>
      <w:r w:rsidRPr="00461B18">
        <w:t>Rcd</w:t>
      </w:r>
      <w:r w:rsidRPr="00461B18">
        <w:t xml:space="preserve"> 18357, 18361, para. 9 (2001) (“[E]</w:t>
      </w:r>
      <w:r w:rsidRPr="00461B18">
        <w:t>nforcing</w:t>
      </w:r>
      <w:r w:rsidRPr="00461B18">
        <w:t xml:space="preserve"> the Commission’s payment rules . . . serves the public interest better than relying on the wholly unsubstantiated possibility that [petitioner] might have provided service in its license area sooner than the successor licensees will.”); </w:t>
      </w:r>
      <w:r w:rsidRPr="00461B18">
        <w:rPr>
          <w:iCs/>
        </w:rPr>
        <w:t>and</w:t>
      </w:r>
      <w:r w:rsidRPr="00461B18">
        <w:t xml:space="preserve"> </w:t>
      </w:r>
      <w:r w:rsidRPr="00461B18">
        <w:rPr>
          <w:i/>
        </w:rPr>
        <w:t>Aircom</w:t>
      </w:r>
      <w:r w:rsidRPr="00461B18">
        <w:rPr>
          <w:i/>
        </w:rPr>
        <w:t xml:space="preserve"> Consultants, Inc.</w:t>
      </w:r>
      <w:r w:rsidRPr="00461B18">
        <w:t xml:space="preserve">, Order on Reconsideration, 18 FCC </w:t>
      </w:r>
      <w:r w:rsidRPr="00461B18">
        <w:t>Rcd</w:t>
      </w:r>
      <w:r w:rsidRPr="00461B18">
        <w:t xml:space="preserve"> 1806, 1810-11, paras. 12-13 (WTB 2003) (following Commission precedent in rejecting the petitioner’s argument that the down payment and default rules should be waived to provide communications services to underserved tribal lands and rural areas)).</w:t>
      </w:r>
    </w:p>
  </w:footnote>
  <w:footnote w:id="45">
    <w:p w:rsidR="00C53D8C" w:rsidRPr="00461B18" w14:paraId="50258234" w14:textId="03CA3BF4">
      <w:pPr>
        <w:pStyle w:val="FootnoteText"/>
      </w:pPr>
      <w:r w:rsidRPr="00461B18">
        <w:rPr>
          <w:rStyle w:val="FootnoteReference"/>
          <w:sz w:val="20"/>
        </w:rPr>
        <w:footnoteRef/>
      </w:r>
      <w:r w:rsidRPr="00BD6D7E">
        <w:t xml:space="preserve"> </w:t>
      </w:r>
      <w:r w:rsidRPr="00461B18">
        <w:t xml:space="preserve">This second requirement is essential.  A public interest showing alone cannot suffice to waive a strict deadline, which by its nature effectively excludes otherwise meritorious claims which may be in the public interest to consider.  </w:t>
      </w:r>
      <w:r w:rsidRPr="00461B18">
        <w:rPr>
          <w:i/>
          <w:iCs/>
        </w:rPr>
        <w:t>NetworkIP</w:t>
      </w:r>
      <w:r w:rsidRPr="00461B18">
        <w:rPr>
          <w:i/>
          <w:iCs/>
        </w:rPr>
        <w:t>, LLC v. FCC</w:t>
      </w:r>
      <w:r w:rsidRPr="00461B18">
        <w:t xml:space="preserve">, 548 F.3d 116, 127 (D.C. Cir. 2008).  </w:t>
      </w:r>
    </w:p>
  </w:footnote>
  <w:footnote w:id="46">
    <w:p w:rsidR="00632AE6" w:rsidRPr="00461B18" w14:paraId="78BFFC6E" w14:textId="102A154F">
      <w:pPr>
        <w:pStyle w:val="FootnoteText"/>
      </w:pPr>
      <w:r w:rsidRPr="00461B18">
        <w:rPr>
          <w:rStyle w:val="FootnoteReference"/>
          <w:sz w:val="20"/>
        </w:rPr>
        <w:footnoteRef/>
      </w:r>
      <w:r w:rsidRPr="00BD6D7E">
        <w:t xml:space="preserve"> </w:t>
      </w:r>
      <w:r w:rsidRPr="00461B18">
        <w:rPr>
          <w:i/>
          <w:iCs/>
        </w:rPr>
        <w:t>Native Network Request</w:t>
      </w:r>
      <w:r w:rsidRPr="00461B18">
        <w:t xml:space="preserve"> at 1.</w:t>
      </w:r>
    </w:p>
  </w:footnote>
  <w:footnote w:id="47">
    <w:p w:rsidR="00E8580A" w:rsidP="00E8580A" w14:paraId="49A3EE7B" w14:textId="77777777">
      <w:pPr>
        <w:pStyle w:val="FootnoteText"/>
      </w:pPr>
      <w:r>
        <w:rPr>
          <w:rStyle w:val="FootnoteReference"/>
        </w:rPr>
        <w:footnoteRef/>
      </w:r>
      <w:r>
        <w:t xml:space="preserve"> </w:t>
      </w:r>
      <w:r w:rsidRPr="00F018D2">
        <w:rPr>
          <w:i/>
          <w:iCs/>
        </w:rPr>
        <w:t xml:space="preserve">See Native Networks Request </w:t>
      </w:r>
      <w:r w:rsidRPr="00F018D2">
        <w:t>at 1-2.</w:t>
      </w:r>
    </w:p>
  </w:footnote>
  <w:footnote w:id="48">
    <w:p w:rsidR="00632AE6" w:rsidRPr="00461B18" w14:paraId="1A1921D7" w14:textId="21372830">
      <w:pPr>
        <w:pStyle w:val="FootnoteText"/>
      </w:pPr>
      <w:r w:rsidRPr="00461B18">
        <w:rPr>
          <w:rStyle w:val="FootnoteReference"/>
          <w:sz w:val="20"/>
        </w:rPr>
        <w:footnoteRef/>
      </w:r>
      <w:r w:rsidRPr="00BD6D7E">
        <w:t xml:space="preserve"> </w:t>
      </w:r>
      <w:r w:rsidRPr="00461B18">
        <w:rPr>
          <w:i/>
          <w:iCs/>
        </w:rPr>
        <w:t>SmartSky</w:t>
      </w:r>
      <w:r w:rsidRPr="00461B18">
        <w:rPr>
          <w:i/>
          <w:iCs/>
        </w:rPr>
        <w:t xml:space="preserve"> Request</w:t>
      </w:r>
      <w:r w:rsidRPr="00461B18">
        <w:t xml:space="preserve"> at 3.</w:t>
      </w:r>
    </w:p>
  </w:footnote>
  <w:footnote w:id="49">
    <w:p w:rsidR="00632AE6" w:rsidRPr="00461B18" w14:paraId="3AC82BE8" w14:textId="04CCF772">
      <w:pPr>
        <w:pStyle w:val="FootnoteText"/>
      </w:pPr>
      <w:r w:rsidRPr="00461B18">
        <w:rPr>
          <w:rStyle w:val="FootnoteReference"/>
          <w:sz w:val="20"/>
        </w:rPr>
        <w:footnoteRef/>
      </w:r>
      <w:r w:rsidRPr="00BD6D7E">
        <w:t xml:space="preserve"> </w:t>
      </w:r>
      <w:r w:rsidRPr="00461B18">
        <w:rPr>
          <w:i/>
          <w:iCs/>
        </w:rPr>
        <w:t>ATS Request</w:t>
      </w:r>
      <w:r w:rsidRPr="00461B18">
        <w:t xml:space="preserve"> at 1.</w:t>
      </w:r>
    </w:p>
  </w:footnote>
  <w:footnote w:id="50">
    <w:p w:rsidR="00632AE6" w:rsidRPr="00461B18" w14:paraId="3EA278B2" w14:textId="257A46C6">
      <w:pPr>
        <w:pStyle w:val="FootnoteText"/>
      </w:pPr>
      <w:r w:rsidRPr="00461B18">
        <w:rPr>
          <w:rStyle w:val="FootnoteReference"/>
          <w:sz w:val="20"/>
        </w:rPr>
        <w:footnoteRef/>
      </w:r>
      <w:r w:rsidRPr="00BD6D7E">
        <w:t xml:space="preserve"> </w:t>
      </w:r>
      <w:r w:rsidRPr="00461B18">
        <w:rPr>
          <w:i/>
          <w:iCs/>
        </w:rPr>
        <w:t xml:space="preserve">See, generally, </w:t>
      </w:r>
      <w:r w:rsidRPr="00461B18">
        <w:rPr>
          <w:i/>
          <w:iCs/>
        </w:rPr>
        <w:t>Elektrafi</w:t>
      </w:r>
      <w:r w:rsidRPr="00461B18">
        <w:rPr>
          <w:i/>
          <w:iCs/>
        </w:rPr>
        <w:t xml:space="preserve"> Request.</w:t>
      </w:r>
    </w:p>
  </w:footnote>
  <w:footnote w:id="51">
    <w:p w:rsidR="00632AE6" w:rsidRPr="00461B18" w14:paraId="2F103502" w14:textId="4DBC87E5">
      <w:pPr>
        <w:pStyle w:val="FootnoteText"/>
      </w:pPr>
      <w:r w:rsidRPr="00461B18">
        <w:rPr>
          <w:rStyle w:val="FootnoteReference"/>
          <w:sz w:val="20"/>
        </w:rPr>
        <w:footnoteRef/>
      </w:r>
      <w:r w:rsidRPr="00BD6D7E">
        <w:t xml:space="preserve"> </w:t>
      </w:r>
      <w:r w:rsidRPr="00461B18">
        <w:rPr>
          <w:i/>
          <w:iCs/>
        </w:rPr>
        <w:t>See, generally, LMG Request.</w:t>
      </w:r>
    </w:p>
  </w:footnote>
  <w:footnote w:id="52">
    <w:p w:rsidR="00632AE6" w:rsidRPr="00461B18" w:rsidP="00061275" w14:paraId="052709A4" w14:textId="77777777">
      <w:pPr>
        <w:pStyle w:val="FootnoteText"/>
      </w:pPr>
      <w:r w:rsidRPr="00461B18">
        <w:rPr>
          <w:rStyle w:val="FootnoteReference"/>
          <w:sz w:val="20"/>
        </w:rPr>
        <w:footnoteRef/>
      </w:r>
      <w:r w:rsidRPr="00BD6D7E">
        <w:t xml:space="preserve"> </w:t>
      </w:r>
      <w:r w:rsidRPr="00461B18">
        <w:rPr>
          <w:i/>
          <w:iCs/>
        </w:rPr>
        <w:t>Comment Sought on Competitive Bidding Procedures and Certain Program Requirements for the Rural Digital Opportunity Fund Auction (Auction 904)</w:t>
      </w:r>
      <w:r w:rsidRPr="00461B18">
        <w:t xml:space="preserve">, Public Notice, 35 FCC </w:t>
      </w:r>
      <w:r w:rsidRPr="00461B18">
        <w:t>Rcd</w:t>
      </w:r>
      <w:r w:rsidRPr="00461B18">
        <w:t xml:space="preserve"> 2295 (2020) (</w:t>
      </w:r>
      <w:r w:rsidRPr="00461B18">
        <w:rPr>
          <w:i/>
          <w:iCs/>
        </w:rPr>
        <w:t>Auction 904 Comment Public Notice</w:t>
      </w:r>
      <w:r w:rsidRPr="00461B18">
        <w:t>).</w:t>
      </w:r>
    </w:p>
  </w:footnote>
  <w:footnote w:id="53">
    <w:p w:rsidR="00632AE6" w:rsidRPr="00461B18" w:rsidP="00061275" w14:paraId="45A97A4C" w14:textId="77777777">
      <w:pPr>
        <w:pStyle w:val="FootnoteText"/>
      </w:pPr>
      <w:r w:rsidRPr="00461B18">
        <w:rPr>
          <w:rStyle w:val="FootnoteReference"/>
          <w:sz w:val="20"/>
        </w:rPr>
        <w:footnoteRef/>
      </w:r>
      <w:r w:rsidRPr="00BD6D7E">
        <w:t xml:space="preserve"> </w:t>
      </w:r>
      <w:r w:rsidRPr="00461B18">
        <w:rPr>
          <w:i/>
          <w:iCs/>
        </w:rPr>
        <w:t>A</w:t>
      </w:r>
      <w:r w:rsidRPr="00461B18">
        <w:rPr>
          <w:i/>
        </w:rPr>
        <w:t>uction 904 Procedures Public Notice</w:t>
      </w:r>
      <w:r w:rsidRPr="00461B18">
        <w:t xml:space="preserve"> at 6082, para. 13.</w:t>
      </w:r>
    </w:p>
  </w:footnote>
  <w:footnote w:id="54">
    <w:p w:rsidR="00632AE6" w:rsidRPr="00461B18" w:rsidP="00061275" w14:paraId="11C58569" w14:textId="77777777">
      <w:pPr>
        <w:pStyle w:val="FootnoteText"/>
      </w:pPr>
      <w:r w:rsidRPr="00461B18">
        <w:rPr>
          <w:rStyle w:val="FootnoteReference"/>
          <w:sz w:val="20"/>
        </w:rPr>
        <w:footnoteRef/>
      </w:r>
      <w:r w:rsidRPr="00BD6D7E">
        <w:t xml:space="preserve"> </w:t>
      </w:r>
      <w:r w:rsidRPr="00461B18">
        <w:rPr>
          <w:i/>
          <w:iCs/>
        </w:rPr>
        <w:t>Id</w:t>
      </w:r>
      <w:r w:rsidRPr="00461B18">
        <w:t>.</w:t>
      </w:r>
    </w:p>
  </w:footnote>
  <w:footnote w:id="55">
    <w:p w:rsidR="00632AE6" w:rsidRPr="00461B18" w:rsidP="00061275" w14:paraId="619BD1C7" w14:textId="77777777">
      <w:pPr>
        <w:pStyle w:val="FootnoteText"/>
      </w:pPr>
      <w:r w:rsidRPr="00461B18">
        <w:rPr>
          <w:rStyle w:val="FootnoteReference"/>
          <w:sz w:val="20"/>
        </w:rPr>
        <w:footnoteRef/>
      </w:r>
      <w:r w:rsidRPr="00BD6D7E">
        <w:t xml:space="preserve"> </w:t>
      </w:r>
      <w:r w:rsidRPr="00461B18">
        <w:rPr>
          <w:i/>
          <w:iCs/>
        </w:rPr>
        <w:t>Id.</w:t>
      </w:r>
    </w:p>
  </w:footnote>
  <w:footnote w:id="56">
    <w:p w:rsidR="00632AE6" w:rsidRPr="00461B18" w14:paraId="3DD2774A" w14:textId="47FFB89A">
      <w:pPr>
        <w:pStyle w:val="FootnoteText"/>
      </w:pPr>
      <w:r w:rsidRPr="00461B18">
        <w:rPr>
          <w:rStyle w:val="FootnoteReference"/>
          <w:sz w:val="20"/>
        </w:rPr>
        <w:footnoteRef/>
      </w:r>
      <w:r w:rsidRPr="00BD6D7E">
        <w:t xml:space="preserve"> </w:t>
      </w:r>
      <w:r w:rsidRPr="00461B18">
        <w:rPr>
          <w:i/>
          <w:iCs/>
        </w:rPr>
        <w:t>LMG Request</w:t>
      </w:r>
      <w:r w:rsidRPr="00461B18">
        <w:t xml:space="preserve"> at 9, n.38.</w:t>
      </w:r>
    </w:p>
  </w:footnote>
  <w:footnote w:id="57">
    <w:p w:rsidR="00632AE6" w:rsidRPr="00461B18" w14:paraId="67A8ABCC" w14:textId="437342C0">
      <w:pPr>
        <w:pStyle w:val="FootnoteText"/>
        <w:rPr>
          <w:i/>
          <w:iCs/>
        </w:rPr>
      </w:pPr>
      <w:r w:rsidRPr="00461B18">
        <w:rPr>
          <w:rStyle w:val="FootnoteReference"/>
          <w:sz w:val="20"/>
        </w:rPr>
        <w:footnoteRef/>
      </w:r>
      <w:r w:rsidRPr="00BD6D7E">
        <w:t xml:space="preserve"> </w:t>
      </w:r>
      <w:r w:rsidRPr="00461B18">
        <w:rPr>
          <w:i/>
          <w:iCs/>
        </w:rPr>
        <w:t>See</w:t>
      </w:r>
      <w:r w:rsidRPr="00461B18">
        <w:t xml:space="preserve"> </w:t>
      </w:r>
      <w:r w:rsidRPr="00461B18">
        <w:rPr>
          <w:i/>
          <w:iCs/>
        </w:rPr>
        <w:t>id.</w:t>
      </w:r>
    </w:p>
  </w:footnote>
  <w:footnote w:id="58">
    <w:p w:rsidR="00632AE6" w:rsidRPr="00461B18" w:rsidP="00C009F5" w14:paraId="02FEB1E3" w14:textId="77777777">
      <w:pPr>
        <w:pStyle w:val="FootnoteText"/>
      </w:pPr>
      <w:r w:rsidRPr="00461B18">
        <w:rPr>
          <w:rStyle w:val="FootnoteReference"/>
          <w:sz w:val="20"/>
        </w:rPr>
        <w:footnoteRef/>
      </w:r>
      <w:r w:rsidRPr="00BD6D7E">
        <w:t xml:space="preserve"> </w:t>
      </w:r>
      <w:r w:rsidRPr="00461B18">
        <w:rPr>
          <w:i/>
          <w:iCs/>
        </w:rPr>
        <w:t>A</w:t>
      </w:r>
      <w:r w:rsidRPr="00461B18">
        <w:rPr>
          <w:i/>
        </w:rPr>
        <w:t>uction 904 Procedures Public Notice</w:t>
      </w:r>
      <w:r w:rsidRPr="00461B18">
        <w:t xml:space="preserve"> at 6082, para. 13.</w:t>
      </w:r>
    </w:p>
  </w:footnote>
  <w:footnote w:id="59">
    <w:p w:rsidR="00632AE6" w:rsidRPr="00461B18" w:rsidP="00441116" w14:paraId="0E7CE496" w14:textId="77777777">
      <w:pPr>
        <w:pStyle w:val="FootnoteText"/>
      </w:pPr>
      <w:r w:rsidRPr="00461B18">
        <w:rPr>
          <w:rStyle w:val="FootnoteReference"/>
          <w:sz w:val="20"/>
        </w:rPr>
        <w:footnoteRef/>
      </w:r>
      <w:r w:rsidRPr="00BD6D7E">
        <w:t xml:space="preserve"> </w:t>
      </w:r>
      <w:r w:rsidRPr="00461B18">
        <w:rPr>
          <w:i/>
        </w:rPr>
        <w:t xml:space="preserve">See </w:t>
      </w:r>
      <w:r w:rsidRPr="00461B18">
        <w:rPr>
          <w:i/>
          <w:iCs/>
        </w:rPr>
        <w:t>SmartSky</w:t>
      </w:r>
      <w:r w:rsidRPr="00461B18">
        <w:rPr>
          <w:i/>
          <w:iCs/>
        </w:rPr>
        <w:t xml:space="preserve"> Request </w:t>
      </w:r>
      <w:r w:rsidRPr="00461B18">
        <w:t xml:space="preserve">at 1.  </w:t>
      </w:r>
    </w:p>
  </w:footnote>
  <w:footnote w:id="60">
    <w:p w:rsidR="00632AE6" w:rsidRPr="00461B18" w:rsidP="00441116" w14:paraId="685A0DF4" w14:textId="759EBD9B">
      <w:pPr>
        <w:pStyle w:val="FootnoteText"/>
      </w:pPr>
      <w:r w:rsidRPr="00461B18">
        <w:rPr>
          <w:rStyle w:val="FootnoteReference"/>
          <w:sz w:val="20"/>
        </w:rPr>
        <w:footnoteRef/>
      </w:r>
      <w:r w:rsidRPr="00BD6D7E">
        <w:t xml:space="preserve"> </w:t>
      </w:r>
      <w:r w:rsidRPr="00461B18">
        <w:rPr>
          <w:i/>
          <w:iCs/>
        </w:rPr>
        <w:t>NBVDS AFR</w:t>
      </w:r>
      <w:r w:rsidRPr="00461B18">
        <w:rPr>
          <w:i/>
        </w:rPr>
        <w:t xml:space="preserve"> </w:t>
      </w:r>
      <w:r w:rsidRPr="00461B18">
        <w:rPr>
          <w:i/>
          <w:iCs/>
        </w:rPr>
        <w:t>MO&amp;O</w:t>
      </w:r>
      <w:r w:rsidRPr="00461B18">
        <w:t xml:space="preserve"> at 8513, para. 20.</w:t>
      </w:r>
    </w:p>
  </w:footnote>
  <w:footnote w:id="61">
    <w:p w:rsidR="00632AE6" w:rsidRPr="00461B18" w:rsidP="00097B1E" w14:paraId="65C4737F" w14:textId="6BEA6735">
      <w:pPr>
        <w:pStyle w:val="FootnoteText"/>
        <w:tabs>
          <w:tab w:val="left" w:pos="2880"/>
        </w:tabs>
      </w:pPr>
      <w:r w:rsidRPr="00461B18">
        <w:rPr>
          <w:rStyle w:val="FootnoteReference"/>
          <w:sz w:val="20"/>
        </w:rPr>
        <w:footnoteRef/>
      </w:r>
      <w:r w:rsidRPr="00BD6D7E">
        <w:t xml:space="preserve"> </w:t>
      </w:r>
      <w:r w:rsidRPr="00461B18">
        <w:rPr>
          <w:i/>
          <w:iCs/>
        </w:rPr>
        <w:t xml:space="preserve">See, </w:t>
      </w:r>
      <w:r w:rsidRPr="00461B18">
        <w:rPr>
          <w:i/>
          <w:iCs/>
        </w:rPr>
        <w:t>SmartSky</w:t>
      </w:r>
      <w:r w:rsidRPr="00461B18">
        <w:rPr>
          <w:i/>
          <w:iCs/>
        </w:rPr>
        <w:t xml:space="preserve"> Request </w:t>
      </w:r>
      <w:r w:rsidRPr="00461B18">
        <w:t>at 1-2.</w:t>
      </w:r>
    </w:p>
  </w:footnote>
  <w:footnote w:id="62">
    <w:p w:rsidR="00632AE6" w:rsidRPr="00461B18" w14:paraId="29EC680B" w14:textId="4EA348F7">
      <w:pPr>
        <w:pStyle w:val="FootnoteText"/>
      </w:pPr>
      <w:r w:rsidRPr="00461B18">
        <w:rPr>
          <w:rStyle w:val="FootnoteReference"/>
          <w:sz w:val="20"/>
        </w:rPr>
        <w:footnoteRef/>
      </w:r>
      <w:r w:rsidRPr="00BD6D7E">
        <w:t xml:space="preserve"> </w:t>
      </w:r>
      <w:r w:rsidRPr="00461B18">
        <w:rPr>
          <w:i/>
          <w:iCs/>
        </w:rPr>
        <w:t xml:space="preserve">ATS Request </w:t>
      </w:r>
      <w:r w:rsidRPr="00461B18">
        <w:t xml:space="preserve">at 1.  Other Petitioners are even more </w:t>
      </w:r>
      <w:r w:rsidRPr="00461B18" w:rsidR="00477692">
        <w:t>vague</w:t>
      </w:r>
      <w:r w:rsidRPr="00461B18">
        <w:t xml:space="preserve">.  </w:t>
      </w:r>
      <w:r w:rsidRPr="00461B18">
        <w:rPr>
          <w:i/>
          <w:iCs/>
        </w:rPr>
        <w:t xml:space="preserve">See Native Network Request </w:t>
      </w:r>
      <w:r w:rsidRPr="00461B18">
        <w:t>at 2 (</w:t>
      </w:r>
      <w:r w:rsidRPr="00461B18" w:rsidR="00477692">
        <w:t xml:space="preserve">representative logged on an hour and a quarter after the deadline due to untimed </w:t>
      </w:r>
      <w:r w:rsidRPr="00461B18">
        <w:t>“access and password issues”</w:t>
      </w:r>
      <w:r w:rsidRPr="00461B18" w:rsidR="00477692">
        <w:t xml:space="preserve">); </w:t>
      </w:r>
      <w:r w:rsidRPr="00461B18" w:rsidR="00477692">
        <w:rPr>
          <w:i/>
          <w:iCs/>
        </w:rPr>
        <w:t>Elektrafi</w:t>
      </w:r>
      <w:r w:rsidRPr="00461B18" w:rsidR="00477692">
        <w:rPr>
          <w:i/>
          <w:iCs/>
        </w:rPr>
        <w:t xml:space="preserve"> </w:t>
      </w:r>
      <w:r w:rsidRPr="00461B18" w:rsidR="00477692">
        <w:t>at 1 (in the last five minutes before the deadline, the “</w:t>
      </w:r>
      <w:r w:rsidRPr="00461B18">
        <w:t>Commissio</w:t>
      </w:r>
      <w:r w:rsidRPr="00461B18" w:rsidR="00477692">
        <w:t xml:space="preserve">n’s </w:t>
      </w:r>
      <w:r w:rsidRPr="00461B18">
        <w:t>portal</w:t>
      </w:r>
      <w:r w:rsidRPr="00461B18" w:rsidR="00477692">
        <w:t xml:space="preserve"> </w:t>
      </w:r>
      <w:r w:rsidRPr="00461B18">
        <w:t>was unavailable</w:t>
      </w:r>
      <w:r w:rsidRPr="00461B18" w:rsidR="00477692">
        <w:t>”)</w:t>
      </w:r>
      <w:r w:rsidRPr="00461B18">
        <w:t xml:space="preserve">.  </w:t>
      </w:r>
    </w:p>
  </w:footnote>
  <w:footnote w:id="63">
    <w:p w:rsidR="00632AE6" w:rsidRPr="00461B18" w:rsidP="7B0ED137" w14:paraId="15FEECC0" w14:textId="13447DC9">
      <w:pPr>
        <w:pStyle w:val="FootnoteText"/>
      </w:pPr>
      <w:r w:rsidRPr="00461B18">
        <w:rPr>
          <w:rStyle w:val="FootnoteReference"/>
          <w:sz w:val="20"/>
        </w:rPr>
        <w:footnoteRef/>
      </w:r>
      <w:r w:rsidRPr="00BD6D7E">
        <w:t xml:space="preserve"> </w:t>
      </w:r>
      <w:r w:rsidRPr="00461B18">
        <w:rPr>
          <w:i/>
          <w:iCs/>
        </w:rPr>
        <w:t xml:space="preserve">See Auction 904 Procedures Public Notice </w:t>
      </w:r>
      <w:r w:rsidRPr="00461B18">
        <w:t>at 6145, para. 207 (bid results will not be altered after the deadline for placing bids based on any technical difficulties that a bidder may have encountered, absent evidence of a failure in the Commission’s bidding system).</w:t>
      </w:r>
    </w:p>
  </w:footnote>
  <w:footnote w:id="64">
    <w:p w:rsidR="00BD6D7E" w:rsidRPr="00461B18" w14:paraId="71E30013" w14:textId="72DA063E">
      <w:pPr>
        <w:pStyle w:val="FootnoteText"/>
      </w:pPr>
      <w:r w:rsidRPr="00461B18">
        <w:rPr>
          <w:rStyle w:val="FootnoteReference"/>
          <w:sz w:val="20"/>
        </w:rPr>
        <w:footnoteRef/>
      </w:r>
      <w:r w:rsidRPr="00BD6D7E">
        <w:t xml:space="preserve"> </w:t>
      </w:r>
      <w:r w:rsidRPr="00BD6D7E">
        <w:rPr>
          <w:i/>
          <w:iCs/>
        </w:rPr>
        <w:t xml:space="preserve">See, generally, </w:t>
      </w:r>
      <w:r w:rsidRPr="00461B18">
        <w:rPr>
          <w:i/>
          <w:iCs/>
        </w:rPr>
        <w:t xml:space="preserve">Native Networks Request, </w:t>
      </w:r>
      <w:r w:rsidRPr="00461B18">
        <w:rPr>
          <w:i/>
          <w:iCs/>
        </w:rPr>
        <w:t>SmartSky</w:t>
      </w:r>
      <w:r w:rsidRPr="00461B18">
        <w:rPr>
          <w:i/>
          <w:iCs/>
        </w:rPr>
        <w:t xml:space="preserve"> Request, ATS Request, </w:t>
      </w:r>
      <w:r w:rsidRPr="00461B18">
        <w:rPr>
          <w:i/>
          <w:iCs/>
        </w:rPr>
        <w:t>Elektrafi</w:t>
      </w:r>
      <w:r w:rsidRPr="00461B18">
        <w:rPr>
          <w:i/>
          <w:iCs/>
        </w:rPr>
        <w:t xml:space="preserve"> Request, LMG Request.  </w:t>
      </w:r>
      <w:r w:rsidRPr="00461B18">
        <w:t xml:space="preserve">Indeed, LMG makes no claim of even attempting to file let alone communicate with staff before the deadline.  </w:t>
      </w:r>
      <w:r w:rsidRPr="00461B18">
        <w:rPr>
          <w:i/>
          <w:iCs/>
        </w:rPr>
        <w:t xml:space="preserve">See, generally, LMG Request. </w:t>
      </w:r>
      <w:r w:rsidRPr="00461B18">
        <w:t>As noted above, LMG did not attempt to file an application prior to the deadline, so it cannot make this argument.</w:t>
      </w:r>
    </w:p>
  </w:footnote>
  <w:footnote w:id="65">
    <w:p w:rsidR="00632AE6" w:rsidRPr="00BD6D7E" w14:paraId="4FBF4256" w14:textId="7E759CB6">
      <w:pPr>
        <w:pStyle w:val="FootnoteText"/>
      </w:pPr>
      <w:r w:rsidRPr="00461B18">
        <w:rPr>
          <w:rStyle w:val="FootnoteReference"/>
          <w:sz w:val="20"/>
        </w:rPr>
        <w:footnoteRef/>
      </w:r>
      <w:r w:rsidRPr="00BD6D7E">
        <w:t xml:space="preserve"> As noted above, LMG did not attempt to file an application prior to the deadline, so it cannot make this argument.</w:t>
      </w:r>
    </w:p>
  </w:footnote>
  <w:footnote w:id="66">
    <w:p w:rsidR="00632AE6" w:rsidRPr="00461B18" w14:paraId="699EFD06" w14:textId="58B81EB6">
      <w:pPr>
        <w:pStyle w:val="FootnoteText"/>
      </w:pPr>
      <w:r w:rsidRPr="00461B18">
        <w:rPr>
          <w:rStyle w:val="FootnoteReference"/>
          <w:sz w:val="20"/>
        </w:rPr>
        <w:footnoteRef/>
      </w:r>
      <w:r w:rsidRPr="00BD6D7E">
        <w:t xml:space="preserve"> </w:t>
      </w:r>
      <w:r w:rsidRPr="00BD6D7E">
        <w:rPr>
          <w:i/>
          <w:iCs/>
        </w:rPr>
        <w:t>SmartSky</w:t>
      </w:r>
      <w:r w:rsidRPr="00BD6D7E">
        <w:rPr>
          <w:i/>
          <w:iCs/>
        </w:rPr>
        <w:t xml:space="preserve"> Request</w:t>
      </w:r>
      <w:r w:rsidRPr="00461B18">
        <w:t xml:space="preserve"> at 9 (“there are uploads that need to be completed, a few additional questions to be answered, and a ‘submit’ button that needs to be hit again.”)</w:t>
      </w:r>
    </w:p>
  </w:footnote>
  <w:footnote w:id="67">
    <w:p w:rsidR="00632AE6" w:rsidRPr="00461B18" w14:paraId="14B8359F" w14:textId="35905052">
      <w:pPr>
        <w:pStyle w:val="FootnoteText"/>
      </w:pPr>
      <w:r w:rsidRPr="00461B18">
        <w:rPr>
          <w:rStyle w:val="FootnoteReference"/>
          <w:sz w:val="20"/>
        </w:rPr>
        <w:footnoteRef/>
      </w:r>
      <w:r w:rsidRPr="00BD6D7E">
        <w:t xml:space="preserve"> </w:t>
      </w:r>
      <w:r w:rsidRPr="00BD6D7E">
        <w:rPr>
          <w:i/>
          <w:iCs/>
        </w:rPr>
        <w:t>ATS Request</w:t>
      </w:r>
      <w:r w:rsidRPr="00BD6D7E">
        <w:t xml:space="preserve"> at 3.</w:t>
      </w:r>
    </w:p>
  </w:footnote>
  <w:footnote w:id="68">
    <w:p w:rsidR="00632AE6" w:rsidRPr="00461B18" w14:paraId="16AD8B65" w14:textId="60F6D1A8">
      <w:pPr>
        <w:pStyle w:val="FootnoteText"/>
      </w:pPr>
      <w:r w:rsidRPr="00461B18">
        <w:rPr>
          <w:rStyle w:val="FootnoteReference"/>
          <w:sz w:val="20"/>
        </w:rPr>
        <w:footnoteRef/>
      </w:r>
      <w:r w:rsidRPr="00BD6D7E">
        <w:t xml:space="preserve"> </w:t>
      </w:r>
      <w:r w:rsidRPr="00BD6D7E">
        <w:rPr>
          <w:i/>
          <w:iCs/>
        </w:rPr>
        <w:t>Elektrafi</w:t>
      </w:r>
      <w:r w:rsidRPr="00BD6D7E">
        <w:rPr>
          <w:i/>
          <w:iCs/>
        </w:rPr>
        <w:t xml:space="preserve"> Request</w:t>
      </w:r>
      <w:r w:rsidRPr="00BD6D7E">
        <w:t xml:space="preserve"> at 2 and n.5 (describing attachment).  </w:t>
      </w:r>
      <w:r w:rsidRPr="00461B18">
        <w:t xml:space="preserve">We note that </w:t>
      </w:r>
      <w:r w:rsidRPr="00461B18">
        <w:t>Elektrafi</w:t>
      </w:r>
      <w:r w:rsidRPr="00461B18">
        <w:t xml:space="preserve"> requested that information submitted in the attachment be kept confidential pursuant to Commission rule 0.457.  The Commission provided for an expedited process for requesting confidential treatment of financial information submitted as part of FCC Form 183.  </w:t>
      </w:r>
      <w:r w:rsidRPr="00461B18">
        <w:rPr>
          <w:i/>
          <w:iCs/>
        </w:rPr>
        <w:t>Procedures Public Notice</w:t>
      </w:r>
      <w:r w:rsidRPr="00461B18">
        <w:t xml:space="preserve"> at paras. 142-45; </w:t>
      </w:r>
      <w:r w:rsidRPr="00461B18">
        <w:rPr>
          <w:i/>
          <w:iCs/>
        </w:rPr>
        <w:t>see also</w:t>
      </w:r>
      <w:r w:rsidRPr="00461B18">
        <w:t xml:space="preserve"> 47 CFR § 0.459(a)(4).  Though </w:t>
      </w:r>
      <w:r w:rsidRPr="00461B18">
        <w:t>Elektrafi</w:t>
      </w:r>
      <w:r w:rsidRPr="00461B18">
        <w:t xml:space="preserve"> does not provide the full information normally required as part of a request for confidential treatment, </w:t>
      </w:r>
      <w:r w:rsidRPr="00461B18">
        <w:rPr>
          <w:i/>
          <w:iCs/>
        </w:rPr>
        <w:t xml:space="preserve">see </w:t>
      </w:r>
      <w:r w:rsidRPr="00461B18">
        <w:t xml:space="preserve">47 CFR § 0.459(b), we recognize that it has made this submission as an attempted part of submitting an FCC Form 183.  We therefore considered it has having made the expedited request provided for with respect to FCC Form 183 and will keep the information confidential, pending any request for its release.  </w:t>
      </w:r>
      <w:r w:rsidRPr="00461B18">
        <w:rPr>
          <w:i/>
          <w:iCs/>
        </w:rPr>
        <w:t xml:space="preserve">See </w:t>
      </w:r>
      <w:r w:rsidRPr="00461B18">
        <w:t xml:space="preserve">47 CFR § 0.459(a)(4).  </w:t>
      </w:r>
    </w:p>
  </w:footnote>
  <w:footnote w:id="69">
    <w:p w:rsidR="00632AE6" w:rsidRPr="00461B18" w:rsidP="00DA3D96" w14:paraId="65E24F11" w14:textId="77777777">
      <w:pPr>
        <w:pStyle w:val="FootnoteText"/>
      </w:pPr>
      <w:r w:rsidRPr="00461B18">
        <w:rPr>
          <w:rStyle w:val="FootnoteReference"/>
          <w:sz w:val="20"/>
        </w:rPr>
        <w:footnoteRef/>
      </w:r>
      <w:r w:rsidRPr="00BD6D7E">
        <w:t xml:space="preserve"> </w:t>
      </w:r>
      <w:r w:rsidRPr="00BD6D7E">
        <w:rPr>
          <w:i/>
          <w:iCs/>
        </w:rPr>
        <w:t>Elektrafi</w:t>
      </w:r>
      <w:r w:rsidRPr="00BD6D7E">
        <w:rPr>
          <w:i/>
          <w:iCs/>
        </w:rPr>
        <w:t xml:space="preserve"> Request </w:t>
      </w:r>
      <w:r w:rsidRPr="00461B18">
        <w:t xml:space="preserve">at 1; </w:t>
      </w:r>
      <w:r w:rsidRPr="00461B18">
        <w:rPr>
          <w:i/>
          <w:iCs/>
        </w:rPr>
        <w:t>SmartSky</w:t>
      </w:r>
      <w:r w:rsidRPr="00461B18">
        <w:rPr>
          <w:i/>
          <w:iCs/>
        </w:rPr>
        <w:t xml:space="preserve"> Request </w:t>
      </w:r>
      <w:r w:rsidRPr="00461B18">
        <w:t>at 9.</w:t>
      </w:r>
    </w:p>
  </w:footnote>
  <w:footnote w:id="70">
    <w:p w:rsidR="00632AE6" w:rsidRPr="00461B18" w14:paraId="2CE1C98A" w14:textId="47D97CBD">
      <w:pPr>
        <w:pStyle w:val="FootnoteText"/>
      </w:pPr>
      <w:r w:rsidRPr="00461B18">
        <w:rPr>
          <w:rStyle w:val="FootnoteReference"/>
          <w:sz w:val="20"/>
        </w:rPr>
        <w:footnoteRef/>
      </w:r>
      <w:r w:rsidRPr="00BD6D7E">
        <w:t xml:space="preserve"> </w:t>
      </w:r>
      <w:r w:rsidRPr="00BD6D7E">
        <w:rPr>
          <w:i/>
          <w:iCs/>
        </w:rPr>
        <w:t>Elektrafi</w:t>
      </w:r>
      <w:r w:rsidRPr="00BD6D7E">
        <w:rPr>
          <w:i/>
          <w:iCs/>
        </w:rPr>
        <w:t xml:space="preserve"> Request</w:t>
      </w:r>
      <w:r w:rsidRPr="00BD6D7E">
        <w:t xml:space="preserve"> at 2 (citing </w:t>
      </w:r>
      <w:r w:rsidRPr="00461B18">
        <w:rPr>
          <w:i/>
          <w:iCs/>
        </w:rPr>
        <w:t>Rural Digital Opportunity Fund Order</w:t>
      </w:r>
      <w:r w:rsidRPr="00461B18">
        <w:t xml:space="preserve"> at 721, para. 78).</w:t>
      </w:r>
    </w:p>
  </w:footnote>
  <w:footnote w:id="71">
    <w:p w:rsidR="00632AE6" w:rsidRPr="00461B18" w14:paraId="1F6CBE21" w14:textId="22851A79">
      <w:pPr>
        <w:pStyle w:val="FootnoteText"/>
      </w:pPr>
      <w:r w:rsidRPr="00461B18">
        <w:rPr>
          <w:rStyle w:val="FootnoteReference"/>
          <w:sz w:val="20"/>
        </w:rPr>
        <w:footnoteRef/>
      </w:r>
      <w:r w:rsidRPr="00BD6D7E">
        <w:t xml:space="preserve"> </w:t>
      </w:r>
      <w:r w:rsidRPr="00BD6D7E">
        <w:rPr>
          <w:i/>
          <w:iCs/>
        </w:rPr>
        <w:t>Rural Digital Opportunity Fund Order</w:t>
      </w:r>
      <w:r w:rsidRPr="00461B18">
        <w:t xml:space="preserve"> at 720-21, para. 77.</w:t>
      </w:r>
    </w:p>
  </w:footnote>
  <w:footnote w:id="72">
    <w:p w:rsidR="00B3286F" w:rsidRPr="00461B18" w14:paraId="416B1DC9" w14:textId="34505CF4">
      <w:pPr>
        <w:pStyle w:val="FootnoteText"/>
        <w:rPr>
          <w:i/>
          <w:iCs/>
        </w:rPr>
      </w:pPr>
      <w:r w:rsidRPr="00461B18">
        <w:rPr>
          <w:rStyle w:val="FootnoteReference"/>
          <w:sz w:val="20"/>
        </w:rPr>
        <w:footnoteRef/>
      </w:r>
      <w:r w:rsidRPr="00BD6D7E">
        <w:t xml:space="preserve"> </w:t>
      </w:r>
      <w:r w:rsidRPr="00BD6D7E">
        <w:rPr>
          <w:i/>
          <w:iCs/>
        </w:rPr>
        <w:t>Id.</w:t>
      </w:r>
    </w:p>
  </w:footnote>
  <w:footnote w:id="73">
    <w:p w:rsidR="00632AE6" w:rsidRPr="00461B18" w:rsidP="009373F4" w14:paraId="794D5DE9" w14:textId="65D15C7F">
      <w:pPr>
        <w:pStyle w:val="FootnoteText"/>
      </w:pPr>
      <w:r w:rsidRPr="00461B18">
        <w:rPr>
          <w:rStyle w:val="FootnoteReference"/>
          <w:sz w:val="20"/>
        </w:rPr>
        <w:footnoteRef/>
      </w:r>
      <w:r w:rsidRPr="00BD6D7E">
        <w:t xml:space="preserve"> </w:t>
      </w:r>
      <w:r w:rsidRPr="00BD6D7E">
        <w:rPr>
          <w:i/>
          <w:iCs/>
        </w:rPr>
        <w:t>See</w:t>
      </w:r>
      <w:r w:rsidRPr="00BD6D7E">
        <w:t xml:space="preserve"> 47 CFR </w:t>
      </w:r>
      <w:bookmarkStart w:id="0" w:name="_Hlk49359822"/>
      <w:r w:rsidRPr="00BD6D7E">
        <w:t>§</w:t>
      </w:r>
      <w:bookmarkEnd w:id="0"/>
      <w:r w:rsidRPr="00BD6D7E">
        <w:t xml:space="preserve"> 1.21001(b)(4)-(8), listing certifications required</w:t>
      </w:r>
      <w:r w:rsidRPr="00461B18">
        <w:t xml:space="preserve"> in all short-form applications to participate in competitive bidding for universal service support.</w:t>
      </w:r>
    </w:p>
  </w:footnote>
  <w:footnote w:id="74">
    <w:p w:rsidR="00632AE6" w:rsidRPr="00BD6D7E" w:rsidP="009373F4" w14:paraId="2818BE30" w14:textId="25CB390A">
      <w:pPr>
        <w:pStyle w:val="FootnoteText"/>
      </w:pPr>
      <w:r w:rsidRPr="00461B18">
        <w:rPr>
          <w:rStyle w:val="FootnoteReference"/>
          <w:sz w:val="20"/>
        </w:rPr>
        <w:footnoteRef/>
      </w:r>
      <w:r w:rsidRPr="00BD6D7E">
        <w:t xml:space="preserve"> 47 CFR § 1.21001(d)(4) (emphasis added).</w:t>
      </w:r>
    </w:p>
  </w:footnote>
  <w:footnote w:id="75">
    <w:p w:rsidR="00632AE6" w:rsidRPr="00461B18" w14:paraId="1B0B137C" w14:textId="2AFC22AE">
      <w:pPr>
        <w:pStyle w:val="FootnoteText"/>
      </w:pPr>
      <w:r w:rsidRPr="00461B18">
        <w:rPr>
          <w:rStyle w:val="FootnoteReference"/>
          <w:sz w:val="20"/>
        </w:rPr>
        <w:footnoteRef/>
      </w:r>
      <w:r w:rsidRPr="00BD6D7E">
        <w:t xml:space="preserve"> </w:t>
      </w:r>
      <w:r w:rsidRPr="00BD6D7E">
        <w:rPr>
          <w:i/>
          <w:iCs/>
        </w:rPr>
        <w:t>See</w:t>
      </w:r>
      <w:r w:rsidRPr="00BD6D7E">
        <w:t xml:space="preserve"> 47 CFR. § 1.21001(b)(6) (required certification).</w:t>
      </w:r>
    </w:p>
  </w:footnote>
  <w:footnote w:id="76">
    <w:p w:rsidR="00632AE6" w:rsidRPr="00461B18" w14:paraId="66F4BC33" w14:textId="137BECCD">
      <w:pPr>
        <w:pStyle w:val="FootnoteText"/>
      </w:pPr>
      <w:r w:rsidRPr="00461B18">
        <w:rPr>
          <w:rStyle w:val="FootnoteReference"/>
          <w:sz w:val="20"/>
        </w:rPr>
        <w:footnoteRef/>
      </w:r>
      <w:r w:rsidRPr="00BD6D7E">
        <w:t xml:space="preserve"> </w:t>
      </w:r>
      <w:r w:rsidRPr="00BD6D7E">
        <w:rPr>
          <w:i/>
          <w:iCs/>
        </w:rPr>
        <w:t>SmartSky</w:t>
      </w:r>
      <w:r w:rsidRPr="00BD6D7E">
        <w:rPr>
          <w:i/>
          <w:iCs/>
        </w:rPr>
        <w:t xml:space="preserve"> Request</w:t>
      </w:r>
      <w:r w:rsidRPr="00BD6D7E">
        <w:t xml:space="preserve"> at 10-11 (citing </w:t>
      </w:r>
      <w:r w:rsidRPr="00BD6D7E">
        <w:rPr>
          <w:i/>
        </w:rPr>
        <w:t xml:space="preserve">Application of </w:t>
      </w:r>
      <w:r w:rsidRPr="00BD6D7E">
        <w:rPr>
          <w:i/>
        </w:rPr>
        <w:t>Metricom</w:t>
      </w:r>
      <w:r w:rsidRPr="00461B18">
        <w:t xml:space="preserve">, </w:t>
      </w:r>
      <w:r w:rsidRPr="00461B18">
        <w:rPr>
          <w:i/>
        </w:rPr>
        <w:t>Inc.</w:t>
      </w:r>
      <w:r w:rsidRPr="00461B18">
        <w:t xml:space="preserve">, 12 FCC </w:t>
      </w:r>
      <w:r w:rsidRPr="00461B18">
        <w:t>Rcd</w:t>
      </w:r>
      <w:r w:rsidRPr="00461B18">
        <w:t xml:space="preserve"> 15157, 15159, para. 6 (WTB Commercial Wireless Div. 1997 (</w:t>
      </w:r>
      <w:r w:rsidRPr="00461B18">
        <w:rPr>
          <w:i/>
          <w:iCs/>
        </w:rPr>
        <w:t>Metricom</w:t>
      </w:r>
      <w:r w:rsidRPr="00461B18">
        <w:t>)).</w:t>
      </w:r>
    </w:p>
  </w:footnote>
  <w:footnote w:id="77">
    <w:p w:rsidR="00632AE6" w:rsidRPr="00461B18" w14:paraId="53D20838" w14:textId="63F93ACA">
      <w:pPr>
        <w:pStyle w:val="FootnoteText"/>
      </w:pPr>
      <w:r w:rsidRPr="00461B18">
        <w:rPr>
          <w:rStyle w:val="FootnoteReference"/>
          <w:sz w:val="20"/>
        </w:rPr>
        <w:footnoteRef/>
      </w:r>
      <w:r w:rsidRPr="00BD6D7E">
        <w:t xml:space="preserve"> </w:t>
      </w:r>
      <w:r w:rsidRPr="00BD6D7E">
        <w:rPr>
          <w:i/>
          <w:iCs/>
        </w:rPr>
        <w:t>NBVDS AFR</w:t>
      </w:r>
      <w:r w:rsidRPr="00BD6D7E">
        <w:rPr>
          <w:i/>
        </w:rPr>
        <w:t xml:space="preserve"> </w:t>
      </w:r>
      <w:r w:rsidRPr="00BD6D7E">
        <w:rPr>
          <w:i/>
          <w:iCs/>
        </w:rPr>
        <w:t>MO&amp;O</w:t>
      </w:r>
      <w:r w:rsidRPr="00BD6D7E">
        <w:t xml:space="preserve"> at 8513, para. 18 (distinguishing </w:t>
      </w:r>
      <w:r w:rsidRPr="00461B18">
        <w:rPr>
          <w:i/>
          <w:iCs/>
        </w:rPr>
        <w:t>Metricom</w:t>
      </w:r>
      <w:r w:rsidRPr="00461B18">
        <w:t>).</w:t>
      </w:r>
    </w:p>
  </w:footnote>
  <w:footnote w:id="78">
    <w:p w:rsidR="00632AE6" w:rsidRPr="00461B18" w14:paraId="76213740" w14:textId="61100ACA">
      <w:pPr>
        <w:pStyle w:val="FootnoteText"/>
      </w:pPr>
      <w:r w:rsidRPr="00461B18">
        <w:rPr>
          <w:rStyle w:val="FootnoteReference"/>
          <w:sz w:val="20"/>
        </w:rPr>
        <w:footnoteRef/>
      </w:r>
      <w:r w:rsidRPr="00BD6D7E">
        <w:t xml:space="preserve"> </w:t>
      </w:r>
      <w:r w:rsidRPr="00BD6D7E">
        <w:rPr>
          <w:i/>
          <w:iCs/>
        </w:rPr>
        <w:t>Petition of</w:t>
      </w:r>
      <w:r w:rsidRPr="00BD6D7E">
        <w:rPr>
          <w:i/>
        </w:rPr>
        <w:t xml:space="preserve"> </w:t>
      </w:r>
      <w:r w:rsidRPr="00BD6D7E">
        <w:rPr>
          <w:i/>
          <w:iCs/>
        </w:rPr>
        <w:t>Hawaiian Telcom, Inc. and Cincinnati Bell Inc.</w:t>
      </w:r>
      <w:r w:rsidRPr="00461B18">
        <w:rPr>
          <w:i/>
        </w:rPr>
        <w:t xml:space="preserve"> </w:t>
      </w:r>
      <w:r w:rsidRPr="00461B18">
        <w:rPr>
          <w:i/>
          <w:iCs/>
        </w:rPr>
        <w:t>for Expedited Waiver</w:t>
      </w:r>
      <w:r w:rsidRPr="00461B18">
        <w:rPr>
          <w:i/>
        </w:rPr>
        <w:t xml:space="preserve"> </w:t>
      </w:r>
      <w:r w:rsidRPr="00461B18">
        <w:rPr>
          <w:i/>
          <w:iCs/>
        </w:rPr>
        <w:t>of Section 1.21001(d)(4)</w:t>
      </w:r>
      <w:r w:rsidRPr="00461B18">
        <w:rPr>
          <w:i/>
        </w:rPr>
        <w:t xml:space="preserve"> </w:t>
      </w:r>
      <w:r w:rsidRPr="00461B18">
        <w:rPr>
          <w:i/>
          <w:iCs/>
        </w:rPr>
        <w:t xml:space="preserve">of the Commission’s Rules; Request of Horizon Telcom, Inc. for Waiver of Section 1.21001(d)(4) of the Commission’s Rules, </w:t>
      </w:r>
      <w:r w:rsidRPr="00461B18">
        <w:t xml:space="preserve">Order, 33 FCC </w:t>
      </w:r>
      <w:r w:rsidRPr="00461B18">
        <w:t>Rcd</w:t>
      </w:r>
      <w:r w:rsidRPr="00461B18">
        <w:t xml:space="preserve"> 6208, 6211, para. 9 (WCB/WTB 2018).</w:t>
      </w:r>
    </w:p>
  </w:footnote>
  <w:footnote w:id="79">
    <w:p w:rsidR="00632AE6" w:rsidRPr="00461B18" w:rsidP="00756FCC" w14:paraId="0904A2F3" w14:textId="77777777">
      <w:pPr>
        <w:pStyle w:val="FootnoteText"/>
        <w:rPr>
          <w:i/>
          <w:iCs/>
        </w:rPr>
      </w:pPr>
      <w:r w:rsidRPr="00461B18">
        <w:rPr>
          <w:rStyle w:val="FootnoteReference"/>
          <w:sz w:val="20"/>
        </w:rPr>
        <w:footnoteRef/>
      </w:r>
      <w:r w:rsidRPr="00BD6D7E">
        <w:t xml:space="preserve"> </w:t>
      </w:r>
      <w:r w:rsidRPr="00BD6D7E">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AE6" w14:paraId="35FE3A2B" w14:textId="2B37C5C7">
    <w:pPr>
      <w:pStyle w:val="Header"/>
    </w:pPr>
    <w:r>
      <w:tab/>
      <w:t>Federal Communications Commission</w:t>
    </w:r>
    <w:r>
      <w:tab/>
      <w:t>DA 20-</w:t>
    </w:r>
    <w:r w:rsidR="001746EC">
      <w:t>1007</w:t>
    </w:r>
  </w:p>
  <w:p w:rsidR="00632AE6" w14:paraId="750A44BB" w14:textId="2B8EFC41">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0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32AE6" w14:paraId="25FBB4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AE6" w14:paraId="7CF8E41E" w14:textId="0A276646">
    <w:pPr>
      <w:pStyle w:val="Header"/>
    </w:pPr>
    <w:r>
      <w:tab/>
      <w:t xml:space="preserve">Federal Communications Commission   </w:t>
    </w:r>
    <w:r>
      <w:tab/>
      <w:t>DA 20-</w:t>
    </w:r>
    <w:r w:rsidR="001746EC">
      <w:t>1007</w:t>
    </w:r>
  </w:p>
  <w:p w:rsidR="00632AE6" w14:paraId="735455CC" w14:textId="0A142B41">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0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27E06CBB"/>
    <w:multiLevelType w:val="multilevel"/>
    <w:tmpl w:val="7CC043DA"/>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61182925"/>
    <w:multiLevelType w:val="singleLevel"/>
    <w:tmpl w:val="5BFAF236"/>
    <w:lvl w:ilvl="0">
      <w:start w:val="1"/>
      <w:numFmt w:val="decimal"/>
      <w:pStyle w:val="ParaNum"/>
      <w:lvlText w:val="%1."/>
      <w:lvlJc w:val="left"/>
      <w:pPr>
        <w:tabs>
          <w:tab w:val="num" w:pos="990"/>
        </w:tabs>
        <w:ind w:left="-9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5">
    <w:nsid w:val="6496261D"/>
    <w:multiLevelType w:val="singleLevel"/>
    <w:tmpl w:val="459AAAC2"/>
    <w:lvl w:ilvl="0">
      <w:start w:val="1"/>
      <w:numFmt w:val="decimal"/>
      <w:pStyle w:val="Bullet"/>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num w:numId="1">
    <w:abstractNumId w:val="5"/>
  </w:num>
  <w:num w:numId="2">
    <w:abstractNumId w:val="3"/>
  </w:num>
  <w:num w:numId="3">
    <w:abstractNumId w:val="2"/>
    <w:lvlOverride w:ilvl="0">
      <w:startOverride w:val="14"/>
    </w:lvlOverride>
  </w:num>
  <w:num w:numId="4">
    <w:abstractNumId w:val="4"/>
  </w:num>
  <w:num w:numId="5">
    <w:abstractNumId w:val="1"/>
  </w:num>
  <w:num w:numId="6">
    <w:abstractNumId w:val="4"/>
    <w:lvlOverride w:ilvl="0">
      <w:startOverride w:val="15"/>
    </w:lvlOverride>
  </w:num>
  <w:num w:numId="7">
    <w:abstractNumId w:val="4"/>
  </w:num>
  <w:num w:numId="8">
    <w:abstractNumId w:val="4"/>
  </w:num>
  <w:num w:numId="9">
    <w:abstractNumId w:val="4"/>
  </w:num>
  <w:num w:numId="10">
    <w:abstractNumId w:val="4"/>
  </w:num>
  <w:num w:numId="11">
    <w:abstractNumId w:val="4"/>
  </w:num>
  <w:num w:numId="12">
    <w:abstractNumId w:val="1"/>
  </w:num>
  <w:num w:numId="13">
    <w:abstractNumId w:val="1"/>
  </w:num>
  <w:num w:numId="14">
    <w:abstractNumId w:val="4"/>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 w:numId="22">
    <w:abstractNumId w:val="0"/>
  </w:num>
  <w:num w:numId="2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9D"/>
    <w:rsid w:val="00000C9B"/>
    <w:rsid w:val="00002CC1"/>
    <w:rsid w:val="00003AD2"/>
    <w:rsid w:val="00003CF5"/>
    <w:rsid w:val="00004EDF"/>
    <w:rsid w:val="00004F24"/>
    <w:rsid w:val="000055A6"/>
    <w:rsid w:val="00006BF8"/>
    <w:rsid w:val="00007449"/>
    <w:rsid w:val="00007712"/>
    <w:rsid w:val="0000791E"/>
    <w:rsid w:val="000103C1"/>
    <w:rsid w:val="00010AD5"/>
    <w:rsid w:val="00010C69"/>
    <w:rsid w:val="000112D9"/>
    <w:rsid w:val="00011905"/>
    <w:rsid w:val="00011A46"/>
    <w:rsid w:val="0001374D"/>
    <w:rsid w:val="0001484D"/>
    <w:rsid w:val="00020069"/>
    <w:rsid w:val="00020456"/>
    <w:rsid w:val="00021209"/>
    <w:rsid w:val="0002168F"/>
    <w:rsid w:val="00024962"/>
    <w:rsid w:val="00026346"/>
    <w:rsid w:val="00027864"/>
    <w:rsid w:val="0003026D"/>
    <w:rsid w:val="00030CE7"/>
    <w:rsid w:val="00032A29"/>
    <w:rsid w:val="00033BF6"/>
    <w:rsid w:val="00033C12"/>
    <w:rsid w:val="00033D54"/>
    <w:rsid w:val="000370DF"/>
    <w:rsid w:val="00037DE3"/>
    <w:rsid w:val="000400D1"/>
    <w:rsid w:val="0004266C"/>
    <w:rsid w:val="00043CE3"/>
    <w:rsid w:val="00044772"/>
    <w:rsid w:val="0004545D"/>
    <w:rsid w:val="00045C7A"/>
    <w:rsid w:val="00045D89"/>
    <w:rsid w:val="00046A6F"/>
    <w:rsid w:val="00050827"/>
    <w:rsid w:val="00050FC6"/>
    <w:rsid w:val="00052B36"/>
    <w:rsid w:val="00053ECB"/>
    <w:rsid w:val="00054691"/>
    <w:rsid w:val="00054811"/>
    <w:rsid w:val="000574CF"/>
    <w:rsid w:val="000575CA"/>
    <w:rsid w:val="00061275"/>
    <w:rsid w:val="00061C3B"/>
    <w:rsid w:val="00062380"/>
    <w:rsid w:val="00063D47"/>
    <w:rsid w:val="0006482B"/>
    <w:rsid w:val="000659F7"/>
    <w:rsid w:val="0007041E"/>
    <w:rsid w:val="0007076B"/>
    <w:rsid w:val="00071E1A"/>
    <w:rsid w:val="00072742"/>
    <w:rsid w:val="00072D0F"/>
    <w:rsid w:val="00073EE3"/>
    <w:rsid w:val="00074251"/>
    <w:rsid w:val="000753B6"/>
    <w:rsid w:val="000753C3"/>
    <w:rsid w:val="00075B66"/>
    <w:rsid w:val="000774A7"/>
    <w:rsid w:val="00077BF2"/>
    <w:rsid w:val="00080E65"/>
    <w:rsid w:val="00081718"/>
    <w:rsid w:val="00081C34"/>
    <w:rsid w:val="0008276A"/>
    <w:rsid w:val="00082D28"/>
    <w:rsid w:val="0008305A"/>
    <w:rsid w:val="0008334C"/>
    <w:rsid w:val="0008564B"/>
    <w:rsid w:val="00086E89"/>
    <w:rsid w:val="000871B3"/>
    <w:rsid w:val="00090690"/>
    <w:rsid w:val="00090778"/>
    <w:rsid w:val="00090EBC"/>
    <w:rsid w:val="000925B7"/>
    <w:rsid w:val="0009354D"/>
    <w:rsid w:val="00094421"/>
    <w:rsid w:val="00095251"/>
    <w:rsid w:val="00097B1E"/>
    <w:rsid w:val="000A0216"/>
    <w:rsid w:val="000A4F1B"/>
    <w:rsid w:val="000A6902"/>
    <w:rsid w:val="000A74E8"/>
    <w:rsid w:val="000B12EB"/>
    <w:rsid w:val="000B169B"/>
    <w:rsid w:val="000B1701"/>
    <w:rsid w:val="000B20EE"/>
    <w:rsid w:val="000B20FF"/>
    <w:rsid w:val="000B34A9"/>
    <w:rsid w:val="000B391A"/>
    <w:rsid w:val="000B3E79"/>
    <w:rsid w:val="000B49C2"/>
    <w:rsid w:val="000B69BB"/>
    <w:rsid w:val="000B72BF"/>
    <w:rsid w:val="000B74DE"/>
    <w:rsid w:val="000B762E"/>
    <w:rsid w:val="000B7BD6"/>
    <w:rsid w:val="000C056B"/>
    <w:rsid w:val="000C0D56"/>
    <w:rsid w:val="000C132B"/>
    <w:rsid w:val="000C21B1"/>
    <w:rsid w:val="000C2B64"/>
    <w:rsid w:val="000C4B46"/>
    <w:rsid w:val="000C4FFA"/>
    <w:rsid w:val="000C5FBA"/>
    <w:rsid w:val="000C6D75"/>
    <w:rsid w:val="000C7457"/>
    <w:rsid w:val="000C7708"/>
    <w:rsid w:val="000C7DCB"/>
    <w:rsid w:val="000D051A"/>
    <w:rsid w:val="000D2CE7"/>
    <w:rsid w:val="000D3373"/>
    <w:rsid w:val="000D486A"/>
    <w:rsid w:val="000D5428"/>
    <w:rsid w:val="000D5840"/>
    <w:rsid w:val="000D5B8D"/>
    <w:rsid w:val="000D6561"/>
    <w:rsid w:val="000E109E"/>
    <w:rsid w:val="000E1616"/>
    <w:rsid w:val="000E210D"/>
    <w:rsid w:val="000E2EAD"/>
    <w:rsid w:val="000E33DD"/>
    <w:rsid w:val="000E38B5"/>
    <w:rsid w:val="000E3CED"/>
    <w:rsid w:val="000E3EF2"/>
    <w:rsid w:val="000E436C"/>
    <w:rsid w:val="000E51F1"/>
    <w:rsid w:val="000E7F47"/>
    <w:rsid w:val="000F04E1"/>
    <w:rsid w:val="000F1786"/>
    <w:rsid w:val="000F243B"/>
    <w:rsid w:val="000F3F49"/>
    <w:rsid w:val="000F4E71"/>
    <w:rsid w:val="000F79AD"/>
    <w:rsid w:val="00100903"/>
    <w:rsid w:val="00100A4A"/>
    <w:rsid w:val="0010278E"/>
    <w:rsid w:val="001028C1"/>
    <w:rsid w:val="00103951"/>
    <w:rsid w:val="00103F53"/>
    <w:rsid w:val="001046E3"/>
    <w:rsid w:val="00105321"/>
    <w:rsid w:val="0010575B"/>
    <w:rsid w:val="00106BBE"/>
    <w:rsid w:val="00107C90"/>
    <w:rsid w:val="00107EE6"/>
    <w:rsid w:val="00110CAB"/>
    <w:rsid w:val="00111860"/>
    <w:rsid w:val="00111B45"/>
    <w:rsid w:val="00111D33"/>
    <w:rsid w:val="001129AF"/>
    <w:rsid w:val="0011423A"/>
    <w:rsid w:val="00114712"/>
    <w:rsid w:val="00114B27"/>
    <w:rsid w:val="001151D2"/>
    <w:rsid w:val="001154AE"/>
    <w:rsid w:val="00116D6B"/>
    <w:rsid w:val="001176B9"/>
    <w:rsid w:val="00117DA5"/>
    <w:rsid w:val="0012066A"/>
    <w:rsid w:val="0012203A"/>
    <w:rsid w:val="00122B60"/>
    <w:rsid w:val="001236BA"/>
    <w:rsid w:val="00123C47"/>
    <w:rsid w:val="00123F9F"/>
    <w:rsid w:val="00124A96"/>
    <w:rsid w:val="00124C9D"/>
    <w:rsid w:val="00125657"/>
    <w:rsid w:val="00130B23"/>
    <w:rsid w:val="00130E18"/>
    <w:rsid w:val="00130F6C"/>
    <w:rsid w:val="001322A9"/>
    <w:rsid w:val="0013256B"/>
    <w:rsid w:val="00133568"/>
    <w:rsid w:val="001356F5"/>
    <w:rsid w:val="00135A77"/>
    <w:rsid w:val="00136ED0"/>
    <w:rsid w:val="001370D9"/>
    <w:rsid w:val="001377B2"/>
    <w:rsid w:val="0013BBBD"/>
    <w:rsid w:val="00142382"/>
    <w:rsid w:val="001435A6"/>
    <w:rsid w:val="00144464"/>
    <w:rsid w:val="00145AF1"/>
    <w:rsid w:val="00146861"/>
    <w:rsid w:val="001501C1"/>
    <w:rsid w:val="001521E5"/>
    <w:rsid w:val="00153C08"/>
    <w:rsid w:val="00155810"/>
    <w:rsid w:val="00156410"/>
    <w:rsid w:val="00157255"/>
    <w:rsid w:val="001576A6"/>
    <w:rsid w:val="00160613"/>
    <w:rsid w:val="00160B0A"/>
    <w:rsid w:val="00160FB6"/>
    <w:rsid w:val="0016209E"/>
    <w:rsid w:val="00162EF8"/>
    <w:rsid w:val="00164B9B"/>
    <w:rsid w:val="00164B9C"/>
    <w:rsid w:val="0016556F"/>
    <w:rsid w:val="00165CAA"/>
    <w:rsid w:val="00165F14"/>
    <w:rsid w:val="001660FC"/>
    <w:rsid w:val="00166659"/>
    <w:rsid w:val="00170149"/>
    <w:rsid w:val="00172AA3"/>
    <w:rsid w:val="00172BED"/>
    <w:rsid w:val="00172E3A"/>
    <w:rsid w:val="00174639"/>
    <w:rsid w:val="001746EC"/>
    <w:rsid w:val="001761D8"/>
    <w:rsid w:val="001768FD"/>
    <w:rsid w:val="00177F7A"/>
    <w:rsid w:val="0018185B"/>
    <w:rsid w:val="00183C0B"/>
    <w:rsid w:val="00185108"/>
    <w:rsid w:val="001853EC"/>
    <w:rsid w:val="00186208"/>
    <w:rsid w:val="00186B0A"/>
    <w:rsid w:val="00187255"/>
    <w:rsid w:val="00190199"/>
    <w:rsid w:val="001901ED"/>
    <w:rsid w:val="00190863"/>
    <w:rsid w:val="001915A4"/>
    <w:rsid w:val="00191BD5"/>
    <w:rsid w:val="00191C36"/>
    <w:rsid w:val="0019710C"/>
    <w:rsid w:val="001A01AA"/>
    <w:rsid w:val="001A23CB"/>
    <w:rsid w:val="001A2E4F"/>
    <w:rsid w:val="001A308D"/>
    <w:rsid w:val="001A4533"/>
    <w:rsid w:val="001A4AA2"/>
    <w:rsid w:val="001A5B85"/>
    <w:rsid w:val="001A7B16"/>
    <w:rsid w:val="001B0A2A"/>
    <w:rsid w:val="001B1F04"/>
    <w:rsid w:val="001B2761"/>
    <w:rsid w:val="001B2AC0"/>
    <w:rsid w:val="001B2BC8"/>
    <w:rsid w:val="001B2F6C"/>
    <w:rsid w:val="001B5B33"/>
    <w:rsid w:val="001C0CD1"/>
    <w:rsid w:val="001C0D57"/>
    <w:rsid w:val="001C1A4B"/>
    <w:rsid w:val="001C1E17"/>
    <w:rsid w:val="001C2F42"/>
    <w:rsid w:val="001C3FFA"/>
    <w:rsid w:val="001C4D97"/>
    <w:rsid w:val="001C5BDA"/>
    <w:rsid w:val="001C6F91"/>
    <w:rsid w:val="001C79F1"/>
    <w:rsid w:val="001D12A1"/>
    <w:rsid w:val="001D2E6F"/>
    <w:rsid w:val="001D4959"/>
    <w:rsid w:val="001D61CC"/>
    <w:rsid w:val="001D6305"/>
    <w:rsid w:val="001D7606"/>
    <w:rsid w:val="001E0667"/>
    <w:rsid w:val="001E1434"/>
    <w:rsid w:val="001E1452"/>
    <w:rsid w:val="001E17D4"/>
    <w:rsid w:val="001E1A51"/>
    <w:rsid w:val="001E1C77"/>
    <w:rsid w:val="001E35C9"/>
    <w:rsid w:val="001E3984"/>
    <w:rsid w:val="001E5872"/>
    <w:rsid w:val="001E6146"/>
    <w:rsid w:val="001E7EF8"/>
    <w:rsid w:val="001F028E"/>
    <w:rsid w:val="001F06BA"/>
    <w:rsid w:val="001F17DD"/>
    <w:rsid w:val="001F1A0D"/>
    <w:rsid w:val="001F2DF8"/>
    <w:rsid w:val="001F3836"/>
    <w:rsid w:val="001F3D1F"/>
    <w:rsid w:val="001F4031"/>
    <w:rsid w:val="001F42E8"/>
    <w:rsid w:val="001F4F88"/>
    <w:rsid w:val="001F5EE3"/>
    <w:rsid w:val="00203675"/>
    <w:rsid w:val="002037C9"/>
    <w:rsid w:val="00205668"/>
    <w:rsid w:val="002068CC"/>
    <w:rsid w:val="00207805"/>
    <w:rsid w:val="0021025A"/>
    <w:rsid w:val="00210789"/>
    <w:rsid w:val="00211D33"/>
    <w:rsid w:val="00211F68"/>
    <w:rsid w:val="00213AF7"/>
    <w:rsid w:val="00213C3D"/>
    <w:rsid w:val="00213C40"/>
    <w:rsid w:val="00214677"/>
    <w:rsid w:val="00214837"/>
    <w:rsid w:val="00216DD7"/>
    <w:rsid w:val="002172AD"/>
    <w:rsid w:val="00217569"/>
    <w:rsid w:val="002179BA"/>
    <w:rsid w:val="002204A2"/>
    <w:rsid w:val="00221D27"/>
    <w:rsid w:val="0022252E"/>
    <w:rsid w:val="002228EA"/>
    <w:rsid w:val="0022473A"/>
    <w:rsid w:val="00225C50"/>
    <w:rsid w:val="002260F8"/>
    <w:rsid w:val="00230747"/>
    <w:rsid w:val="002318A9"/>
    <w:rsid w:val="002322F6"/>
    <w:rsid w:val="00232A5D"/>
    <w:rsid w:val="002331AD"/>
    <w:rsid w:val="00233D81"/>
    <w:rsid w:val="00235A17"/>
    <w:rsid w:val="00235E64"/>
    <w:rsid w:val="0023738E"/>
    <w:rsid w:val="002411B2"/>
    <w:rsid w:val="0024196B"/>
    <w:rsid w:val="00242FA6"/>
    <w:rsid w:val="00243513"/>
    <w:rsid w:val="002461E9"/>
    <w:rsid w:val="0024660F"/>
    <w:rsid w:val="002472E8"/>
    <w:rsid w:val="00251300"/>
    <w:rsid w:val="00253623"/>
    <w:rsid w:val="00254AA2"/>
    <w:rsid w:val="00254C63"/>
    <w:rsid w:val="00255E76"/>
    <w:rsid w:val="002562E1"/>
    <w:rsid w:val="00260BE0"/>
    <w:rsid w:val="002613BB"/>
    <w:rsid w:val="00261FFD"/>
    <w:rsid w:val="00266535"/>
    <w:rsid w:val="0027051A"/>
    <w:rsid w:val="00270549"/>
    <w:rsid w:val="00271390"/>
    <w:rsid w:val="00272644"/>
    <w:rsid w:val="00272BC5"/>
    <w:rsid w:val="002738E7"/>
    <w:rsid w:val="00274DB4"/>
    <w:rsid w:val="00275059"/>
    <w:rsid w:val="0027539E"/>
    <w:rsid w:val="0027627A"/>
    <w:rsid w:val="0027654F"/>
    <w:rsid w:val="0027663F"/>
    <w:rsid w:val="00276751"/>
    <w:rsid w:val="00277A1A"/>
    <w:rsid w:val="0028039A"/>
    <w:rsid w:val="00281845"/>
    <w:rsid w:val="00282E74"/>
    <w:rsid w:val="002837C1"/>
    <w:rsid w:val="00286317"/>
    <w:rsid w:val="002872E3"/>
    <w:rsid w:val="00290FC1"/>
    <w:rsid w:val="00293290"/>
    <w:rsid w:val="0029390D"/>
    <w:rsid w:val="00296459"/>
    <w:rsid w:val="002A0E22"/>
    <w:rsid w:val="002A2D23"/>
    <w:rsid w:val="002A309A"/>
    <w:rsid w:val="002A3807"/>
    <w:rsid w:val="002A3AAA"/>
    <w:rsid w:val="002A3CB8"/>
    <w:rsid w:val="002A46CA"/>
    <w:rsid w:val="002A5688"/>
    <w:rsid w:val="002A7F4B"/>
    <w:rsid w:val="002B0083"/>
    <w:rsid w:val="002B0262"/>
    <w:rsid w:val="002B1CD2"/>
    <w:rsid w:val="002B256C"/>
    <w:rsid w:val="002B4106"/>
    <w:rsid w:val="002B4656"/>
    <w:rsid w:val="002B4F56"/>
    <w:rsid w:val="002B4FBC"/>
    <w:rsid w:val="002B7298"/>
    <w:rsid w:val="002B7438"/>
    <w:rsid w:val="002B7846"/>
    <w:rsid w:val="002C07EA"/>
    <w:rsid w:val="002C105B"/>
    <w:rsid w:val="002C3CEE"/>
    <w:rsid w:val="002C3F87"/>
    <w:rsid w:val="002C51EF"/>
    <w:rsid w:val="002C55A6"/>
    <w:rsid w:val="002C6F62"/>
    <w:rsid w:val="002C7AEF"/>
    <w:rsid w:val="002D06CC"/>
    <w:rsid w:val="002D07AA"/>
    <w:rsid w:val="002D271A"/>
    <w:rsid w:val="002D2905"/>
    <w:rsid w:val="002D31A9"/>
    <w:rsid w:val="002D3EF8"/>
    <w:rsid w:val="002D4CC4"/>
    <w:rsid w:val="002D6E89"/>
    <w:rsid w:val="002D72CF"/>
    <w:rsid w:val="002E0A3F"/>
    <w:rsid w:val="002E21D2"/>
    <w:rsid w:val="002E2EC9"/>
    <w:rsid w:val="002E3289"/>
    <w:rsid w:val="002E3F3C"/>
    <w:rsid w:val="002E4B87"/>
    <w:rsid w:val="002E4B93"/>
    <w:rsid w:val="002E4C58"/>
    <w:rsid w:val="002E4DFE"/>
    <w:rsid w:val="002E5ADC"/>
    <w:rsid w:val="002E5C5B"/>
    <w:rsid w:val="002F018D"/>
    <w:rsid w:val="002F1707"/>
    <w:rsid w:val="002F1F15"/>
    <w:rsid w:val="002F3322"/>
    <w:rsid w:val="002F38AF"/>
    <w:rsid w:val="002F4C25"/>
    <w:rsid w:val="002F53ED"/>
    <w:rsid w:val="002F64E5"/>
    <w:rsid w:val="002F6EB3"/>
    <w:rsid w:val="00301726"/>
    <w:rsid w:val="00301F23"/>
    <w:rsid w:val="00303E7E"/>
    <w:rsid w:val="00303F93"/>
    <w:rsid w:val="00310188"/>
    <w:rsid w:val="00310BBA"/>
    <w:rsid w:val="003133BD"/>
    <w:rsid w:val="00313DD5"/>
    <w:rsid w:val="00313DD9"/>
    <w:rsid w:val="003143B2"/>
    <w:rsid w:val="00314DC1"/>
    <w:rsid w:val="0031548E"/>
    <w:rsid w:val="0031574A"/>
    <w:rsid w:val="00316781"/>
    <w:rsid w:val="003169BF"/>
    <w:rsid w:val="0032003D"/>
    <w:rsid w:val="003227D0"/>
    <w:rsid w:val="003230D7"/>
    <w:rsid w:val="003241C6"/>
    <w:rsid w:val="00326ECA"/>
    <w:rsid w:val="00326FBD"/>
    <w:rsid w:val="00330172"/>
    <w:rsid w:val="0033073F"/>
    <w:rsid w:val="00331268"/>
    <w:rsid w:val="00331605"/>
    <w:rsid w:val="00331D08"/>
    <w:rsid w:val="00331FAE"/>
    <w:rsid w:val="003334C4"/>
    <w:rsid w:val="00333BCE"/>
    <w:rsid w:val="00333C2A"/>
    <w:rsid w:val="00334102"/>
    <w:rsid w:val="00335DD2"/>
    <w:rsid w:val="003361CB"/>
    <w:rsid w:val="00336E1E"/>
    <w:rsid w:val="00337251"/>
    <w:rsid w:val="003403F3"/>
    <w:rsid w:val="00342558"/>
    <w:rsid w:val="0034260F"/>
    <w:rsid w:val="00343546"/>
    <w:rsid w:val="00344792"/>
    <w:rsid w:val="00345397"/>
    <w:rsid w:val="003500A0"/>
    <w:rsid w:val="00350866"/>
    <w:rsid w:val="003537B0"/>
    <w:rsid w:val="00354BF3"/>
    <w:rsid w:val="003554F9"/>
    <w:rsid w:val="0035587A"/>
    <w:rsid w:val="00360EEB"/>
    <w:rsid w:val="003615F9"/>
    <w:rsid w:val="0036238C"/>
    <w:rsid w:val="00362496"/>
    <w:rsid w:val="00362A51"/>
    <w:rsid w:val="00362C39"/>
    <w:rsid w:val="00363C43"/>
    <w:rsid w:val="00365C87"/>
    <w:rsid w:val="00366A38"/>
    <w:rsid w:val="00370304"/>
    <w:rsid w:val="0037232F"/>
    <w:rsid w:val="00372A16"/>
    <w:rsid w:val="00373309"/>
    <w:rsid w:val="003736BE"/>
    <w:rsid w:val="00374B24"/>
    <w:rsid w:val="00375256"/>
    <w:rsid w:val="00377D20"/>
    <w:rsid w:val="00380B51"/>
    <w:rsid w:val="003815BA"/>
    <w:rsid w:val="0038385C"/>
    <w:rsid w:val="00384871"/>
    <w:rsid w:val="0038499E"/>
    <w:rsid w:val="00384AAF"/>
    <w:rsid w:val="0038518D"/>
    <w:rsid w:val="003852AB"/>
    <w:rsid w:val="00385714"/>
    <w:rsid w:val="00387D57"/>
    <w:rsid w:val="003904E8"/>
    <w:rsid w:val="00393419"/>
    <w:rsid w:val="00393E56"/>
    <w:rsid w:val="00394330"/>
    <w:rsid w:val="00394A95"/>
    <w:rsid w:val="00397042"/>
    <w:rsid w:val="003978A1"/>
    <w:rsid w:val="003A18DC"/>
    <w:rsid w:val="003A2B60"/>
    <w:rsid w:val="003A2C26"/>
    <w:rsid w:val="003A3384"/>
    <w:rsid w:val="003A3723"/>
    <w:rsid w:val="003A6D7B"/>
    <w:rsid w:val="003B2753"/>
    <w:rsid w:val="003B2BA2"/>
    <w:rsid w:val="003B319C"/>
    <w:rsid w:val="003B3D69"/>
    <w:rsid w:val="003B5A02"/>
    <w:rsid w:val="003B65CB"/>
    <w:rsid w:val="003C109B"/>
    <w:rsid w:val="003C1360"/>
    <w:rsid w:val="003C171C"/>
    <w:rsid w:val="003C182B"/>
    <w:rsid w:val="003C3982"/>
    <w:rsid w:val="003C56D8"/>
    <w:rsid w:val="003C5CF7"/>
    <w:rsid w:val="003C7C43"/>
    <w:rsid w:val="003D2F32"/>
    <w:rsid w:val="003D3950"/>
    <w:rsid w:val="003D4490"/>
    <w:rsid w:val="003D5E15"/>
    <w:rsid w:val="003D6397"/>
    <w:rsid w:val="003D7C20"/>
    <w:rsid w:val="003E044B"/>
    <w:rsid w:val="003E0D9D"/>
    <w:rsid w:val="003E23A3"/>
    <w:rsid w:val="003E269E"/>
    <w:rsid w:val="003E30A5"/>
    <w:rsid w:val="003E3914"/>
    <w:rsid w:val="003F02E8"/>
    <w:rsid w:val="003F0D39"/>
    <w:rsid w:val="003F0ECF"/>
    <w:rsid w:val="003F153E"/>
    <w:rsid w:val="003F1962"/>
    <w:rsid w:val="003F2F68"/>
    <w:rsid w:val="003F54EA"/>
    <w:rsid w:val="003F75D3"/>
    <w:rsid w:val="003F7751"/>
    <w:rsid w:val="00402F78"/>
    <w:rsid w:val="00404E7F"/>
    <w:rsid w:val="00405012"/>
    <w:rsid w:val="0040577F"/>
    <w:rsid w:val="00405F10"/>
    <w:rsid w:val="004061E1"/>
    <w:rsid w:val="00410671"/>
    <w:rsid w:val="0041157E"/>
    <w:rsid w:val="0041180B"/>
    <w:rsid w:val="00412928"/>
    <w:rsid w:val="00415FCC"/>
    <w:rsid w:val="004161D8"/>
    <w:rsid w:val="00416D07"/>
    <w:rsid w:val="00416D9C"/>
    <w:rsid w:val="00416FCC"/>
    <w:rsid w:val="004205F0"/>
    <w:rsid w:val="00421226"/>
    <w:rsid w:val="004219D4"/>
    <w:rsid w:val="00421AC3"/>
    <w:rsid w:val="00422D1C"/>
    <w:rsid w:val="00423C13"/>
    <w:rsid w:val="00424896"/>
    <w:rsid w:val="004256C8"/>
    <w:rsid w:val="00425BEC"/>
    <w:rsid w:val="004267E7"/>
    <w:rsid w:val="0042729F"/>
    <w:rsid w:val="00430614"/>
    <w:rsid w:val="00431B79"/>
    <w:rsid w:val="004320CD"/>
    <w:rsid w:val="0043463F"/>
    <w:rsid w:val="00436119"/>
    <w:rsid w:val="004369F4"/>
    <w:rsid w:val="00436D9D"/>
    <w:rsid w:val="00441064"/>
    <w:rsid w:val="00441116"/>
    <w:rsid w:val="00441F3A"/>
    <w:rsid w:val="004420CC"/>
    <w:rsid w:val="00442BDF"/>
    <w:rsid w:val="00442FEA"/>
    <w:rsid w:val="00443F07"/>
    <w:rsid w:val="00445692"/>
    <w:rsid w:val="00446BC6"/>
    <w:rsid w:val="004475A5"/>
    <w:rsid w:val="00451D76"/>
    <w:rsid w:val="00452EBD"/>
    <w:rsid w:val="00453968"/>
    <w:rsid w:val="00454271"/>
    <w:rsid w:val="00455878"/>
    <w:rsid w:val="0045588A"/>
    <w:rsid w:val="0045636D"/>
    <w:rsid w:val="004571EF"/>
    <w:rsid w:val="00457A90"/>
    <w:rsid w:val="00457B8E"/>
    <w:rsid w:val="00461B18"/>
    <w:rsid w:val="004637EE"/>
    <w:rsid w:val="004644C6"/>
    <w:rsid w:val="004644E3"/>
    <w:rsid w:val="00465A3C"/>
    <w:rsid w:val="004668A9"/>
    <w:rsid w:val="0047018F"/>
    <w:rsid w:val="0047103E"/>
    <w:rsid w:val="004719E4"/>
    <w:rsid w:val="00472EBF"/>
    <w:rsid w:val="004759FD"/>
    <w:rsid w:val="0047619F"/>
    <w:rsid w:val="00476753"/>
    <w:rsid w:val="00476A84"/>
    <w:rsid w:val="00477692"/>
    <w:rsid w:val="00480277"/>
    <w:rsid w:val="0048289C"/>
    <w:rsid w:val="00486267"/>
    <w:rsid w:val="00491303"/>
    <w:rsid w:val="004916BE"/>
    <w:rsid w:val="00491BD7"/>
    <w:rsid w:val="00491DE8"/>
    <w:rsid w:val="0049217E"/>
    <w:rsid w:val="004936E9"/>
    <w:rsid w:val="00493804"/>
    <w:rsid w:val="004939DF"/>
    <w:rsid w:val="004942C6"/>
    <w:rsid w:val="004948A5"/>
    <w:rsid w:val="0049504D"/>
    <w:rsid w:val="00495794"/>
    <w:rsid w:val="0049597C"/>
    <w:rsid w:val="00495C18"/>
    <w:rsid w:val="004A0A4F"/>
    <w:rsid w:val="004A2573"/>
    <w:rsid w:val="004B0FC0"/>
    <w:rsid w:val="004B2255"/>
    <w:rsid w:val="004B32E9"/>
    <w:rsid w:val="004B3931"/>
    <w:rsid w:val="004B4404"/>
    <w:rsid w:val="004B5E1D"/>
    <w:rsid w:val="004B6892"/>
    <w:rsid w:val="004B7194"/>
    <w:rsid w:val="004B77C4"/>
    <w:rsid w:val="004C0C50"/>
    <w:rsid w:val="004C0F99"/>
    <w:rsid w:val="004C1D20"/>
    <w:rsid w:val="004C2C32"/>
    <w:rsid w:val="004C3682"/>
    <w:rsid w:val="004C5386"/>
    <w:rsid w:val="004D1A2B"/>
    <w:rsid w:val="004D1D23"/>
    <w:rsid w:val="004D2F07"/>
    <w:rsid w:val="004D399C"/>
    <w:rsid w:val="004D43B7"/>
    <w:rsid w:val="004D47FF"/>
    <w:rsid w:val="004D5061"/>
    <w:rsid w:val="004D532C"/>
    <w:rsid w:val="004D554A"/>
    <w:rsid w:val="004D5885"/>
    <w:rsid w:val="004D662B"/>
    <w:rsid w:val="004D6C3E"/>
    <w:rsid w:val="004D6FC9"/>
    <w:rsid w:val="004E1AC1"/>
    <w:rsid w:val="004E3E88"/>
    <w:rsid w:val="004E52C9"/>
    <w:rsid w:val="004E5587"/>
    <w:rsid w:val="004E65B4"/>
    <w:rsid w:val="004E7515"/>
    <w:rsid w:val="004E7A2E"/>
    <w:rsid w:val="004F0591"/>
    <w:rsid w:val="004F14EB"/>
    <w:rsid w:val="004F3F1B"/>
    <w:rsid w:val="004F40DB"/>
    <w:rsid w:val="004F44B2"/>
    <w:rsid w:val="004F4C6A"/>
    <w:rsid w:val="004F5C56"/>
    <w:rsid w:val="004F6A13"/>
    <w:rsid w:val="004F7F67"/>
    <w:rsid w:val="00500F09"/>
    <w:rsid w:val="00501959"/>
    <w:rsid w:val="00502D21"/>
    <w:rsid w:val="00503CEE"/>
    <w:rsid w:val="005046CB"/>
    <w:rsid w:val="00504CA4"/>
    <w:rsid w:val="00504E3F"/>
    <w:rsid w:val="0050508D"/>
    <w:rsid w:val="00506DF4"/>
    <w:rsid w:val="00507407"/>
    <w:rsid w:val="00507B59"/>
    <w:rsid w:val="00507DE8"/>
    <w:rsid w:val="00510B40"/>
    <w:rsid w:val="005123DC"/>
    <w:rsid w:val="005123EA"/>
    <w:rsid w:val="00515693"/>
    <w:rsid w:val="0051680B"/>
    <w:rsid w:val="00517499"/>
    <w:rsid w:val="00520150"/>
    <w:rsid w:val="00520C2A"/>
    <w:rsid w:val="00521228"/>
    <w:rsid w:val="005212E8"/>
    <w:rsid w:val="005226EB"/>
    <w:rsid w:val="00522F5C"/>
    <w:rsid w:val="00523232"/>
    <w:rsid w:val="00523818"/>
    <w:rsid w:val="0052742D"/>
    <w:rsid w:val="00527EDC"/>
    <w:rsid w:val="0053182A"/>
    <w:rsid w:val="00531FC6"/>
    <w:rsid w:val="005326D5"/>
    <w:rsid w:val="0053326A"/>
    <w:rsid w:val="005369C0"/>
    <w:rsid w:val="00536EFE"/>
    <w:rsid w:val="005426F6"/>
    <w:rsid w:val="005429F4"/>
    <w:rsid w:val="0054327A"/>
    <w:rsid w:val="00543355"/>
    <w:rsid w:val="00543424"/>
    <w:rsid w:val="005449D7"/>
    <w:rsid w:val="00545115"/>
    <w:rsid w:val="00545DAF"/>
    <w:rsid w:val="005462B1"/>
    <w:rsid w:val="00547526"/>
    <w:rsid w:val="00547841"/>
    <w:rsid w:val="00552118"/>
    <w:rsid w:val="0055453D"/>
    <w:rsid w:val="0055468F"/>
    <w:rsid w:val="005554B7"/>
    <w:rsid w:val="005569CC"/>
    <w:rsid w:val="00561831"/>
    <w:rsid w:val="00561E00"/>
    <w:rsid w:val="00562836"/>
    <w:rsid w:val="00563256"/>
    <w:rsid w:val="005662B7"/>
    <w:rsid w:val="00566C8D"/>
    <w:rsid w:val="00567142"/>
    <w:rsid w:val="00567178"/>
    <w:rsid w:val="005679B5"/>
    <w:rsid w:val="005700E1"/>
    <w:rsid w:val="0057015E"/>
    <w:rsid w:val="0057034E"/>
    <w:rsid w:val="00572C95"/>
    <w:rsid w:val="005731C5"/>
    <w:rsid w:val="00573648"/>
    <w:rsid w:val="0057406B"/>
    <w:rsid w:val="005753DA"/>
    <w:rsid w:val="0057575B"/>
    <w:rsid w:val="00575C17"/>
    <w:rsid w:val="00577C5E"/>
    <w:rsid w:val="00577CDD"/>
    <w:rsid w:val="00577D6A"/>
    <w:rsid w:val="00577EEC"/>
    <w:rsid w:val="00580163"/>
    <w:rsid w:val="005806C9"/>
    <w:rsid w:val="00580C4F"/>
    <w:rsid w:val="00581742"/>
    <w:rsid w:val="00581F5D"/>
    <w:rsid w:val="0058277D"/>
    <w:rsid w:val="00582C69"/>
    <w:rsid w:val="005843B9"/>
    <w:rsid w:val="00584B09"/>
    <w:rsid w:val="00585B9D"/>
    <w:rsid w:val="005906B5"/>
    <w:rsid w:val="0059307E"/>
    <w:rsid w:val="00594699"/>
    <w:rsid w:val="0059497F"/>
    <w:rsid w:val="00595D55"/>
    <w:rsid w:val="005971CA"/>
    <w:rsid w:val="00597816"/>
    <w:rsid w:val="005A0A08"/>
    <w:rsid w:val="005A1225"/>
    <w:rsid w:val="005A1500"/>
    <w:rsid w:val="005A2927"/>
    <w:rsid w:val="005A2F92"/>
    <w:rsid w:val="005A3CC0"/>
    <w:rsid w:val="005A502B"/>
    <w:rsid w:val="005A57D9"/>
    <w:rsid w:val="005A5F00"/>
    <w:rsid w:val="005A6D70"/>
    <w:rsid w:val="005A7CF0"/>
    <w:rsid w:val="005B0E2A"/>
    <w:rsid w:val="005B1621"/>
    <w:rsid w:val="005B1DAE"/>
    <w:rsid w:val="005B3D05"/>
    <w:rsid w:val="005B3D58"/>
    <w:rsid w:val="005B3DA9"/>
    <w:rsid w:val="005B419C"/>
    <w:rsid w:val="005B4EFC"/>
    <w:rsid w:val="005B5088"/>
    <w:rsid w:val="005B5702"/>
    <w:rsid w:val="005B62EF"/>
    <w:rsid w:val="005B6AB6"/>
    <w:rsid w:val="005C0840"/>
    <w:rsid w:val="005C0AF7"/>
    <w:rsid w:val="005C3C5C"/>
    <w:rsid w:val="005C624A"/>
    <w:rsid w:val="005C6C93"/>
    <w:rsid w:val="005C7B29"/>
    <w:rsid w:val="005C7BD1"/>
    <w:rsid w:val="005D242D"/>
    <w:rsid w:val="005D2526"/>
    <w:rsid w:val="005D379F"/>
    <w:rsid w:val="005D3A03"/>
    <w:rsid w:val="005D52EE"/>
    <w:rsid w:val="005D5471"/>
    <w:rsid w:val="005D5E0A"/>
    <w:rsid w:val="005D76CC"/>
    <w:rsid w:val="005E0BEB"/>
    <w:rsid w:val="005E2A05"/>
    <w:rsid w:val="005E2A8A"/>
    <w:rsid w:val="005E4584"/>
    <w:rsid w:val="005E46C9"/>
    <w:rsid w:val="005E52DA"/>
    <w:rsid w:val="005E53C2"/>
    <w:rsid w:val="005E553E"/>
    <w:rsid w:val="005E5D8D"/>
    <w:rsid w:val="005E60C9"/>
    <w:rsid w:val="005E731E"/>
    <w:rsid w:val="005F0F98"/>
    <w:rsid w:val="005F1A78"/>
    <w:rsid w:val="005F2505"/>
    <w:rsid w:val="005F2F92"/>
    <w:rsid w:val="005F439C"/>
    <w:rsid w:val="005F4B07"/>
    <w:rsid w:val="005F5126"/>
    <w:rsid w:val="005F5A43"/>
    <w:rsid w:val="006015BB"/>
    <w:rsid w:val="0060320E"/>
    <w:rsid w:val="0060352D"/>
    <w:rsid w:val="00603B6F"/>
    <w:rsid w:val="0060474B"/>
    <w:rsid w:val="00606D32"/>
    <w:rsid w:val="00607242"/>
    <w:rsid w:val="00607D8C"/>
    <w:rsid w:val="00610322"/>
    <w:rsid w:val="00611594"/>
    <w:rsid w:val="006124DA"/>
    <w:rsid w:val="00612CF1"/>
    <w:rsid w:val="0061306A"/>
    <w:rsid w:val="00613D67"/>
    <w:rsid w:val="00614322"/>
    <w:rsid w:val="00615182"/>
    <w:rsid w:val="006155C1"/>
    <w:rsid w:val="00616561"/>
    <w:rsid w:val="00617734"/>
    <w:rsid w:val="00621A89"/>
    <w:rsid w:val="0062248A"/>
    <w:rsid w:val="006229D3"/>
    <w:rsid w:val="00622C4A"/>
    <w:rsid w:val="00622D92"/>
    <w:rsid w:val="006233E4"/>
    <w:rsid w:val="00623432"/>
    <w:rsid w:val="00624100"/>
    <w:rsid w:val="00624198"/>
    <w:rsid w:val="0062623B"/>
    <w:rsid w:val="00626A74"/>
    <w:rsid w:val="00630FB0"/>
    <w:rsid w:val="0063121E"/>
    <w:rsid w:val="00632074"/>
    <w:rsid w:val="00632304"/>
    <w:rsid w:val="00632AE6"/>
    <w:rsid w:val="00633381"/>
    <w:rsid w:val="00633DBB"/>
    <w:rsid w:val="00635B17"/>
    <w:rsid w:val="0063681C"/>
    <w:rsid w:val="00637C19"/>
    <w:rsid w:val="00640378"/>
    <w:rsid w:val="00641C46"/>
    <w:rsid w:val="00641DB8"/>
    <w:rsid w:val="006433AC"/>
    <w:rsid w:val="00643ED7"/>
    <w:rsid w:val="00644CB1"/>
    <w:rsid w:val="0064547D"/>
    <w:rsid w:val="00646074"/>
    <w:rsid w:val="006517A3"/>
    <w:rsid w:val="00651D4E"/>
    <w:rsid w:val="00652A80"/>
    <w:rsid w:val="00653D2B"/>
    <w:rsid w:val="00654096"/>
    <w:rsid w:val="006546CE"/>
    <w:rsid w:val="0065609D"/>
    <w:rsid w:val="0066011B"/>
    <w:rsid w:val="006604C6"/>
    <w:rsid w:val="006622A7"/>
    <w:rsid w:val="00662FC7"/>
    <w:rsid w:val="006649F3"/>
    <w:rsid w:val="00666C9D"/>
    <w:rsid w:val="006671E6"/>
    <w:rsid w:val="0066723F"/>
    <w:rsid w:val="006673FF"/>
    <w:rsid w:val="0067015D"/>
    <w:rsid w:val="006706BA"/>
    <w:rsid w:val="00670FCD"/>
    <w:rsid w:val="0067103C"/>
    <w:rsid w:val="006718E3"/>
    <w:rsid w:val="00672583"/>
    <w:rsid w:val="00673C9F"/>
    <w:rsid w:val="00674739"/>
    <w:rsid w:val="00674AE7"/>
    <w:rsid w:val="00676F73"/>
    <w:rsid w:val="00680B90"/>
    <w:rsid w:val="00682380"/>
    <w:rsid w:val="00682B8F"/>
    <w:rsid w:val="006837A7"/>
    <w:rsid w:val="006839AD"/>
    <w:rsid w:val="006839C2"/>
    <w:rsid w:val="00683A10"/>
    <w:rsid w:val="00685408"/>
    <w:rsid w:val="00685649"/>
    <w:rsid w:val="00686877"/>
    <w:rsid w:val="00690C25"/>
    <w:rsid w:val="006915A4"/>
    <w:rsid w:val="00691B56"/>
    <w:rsid w:val="00693928"/>
    <w:rsid w:val="00693E64"/>
    <w:rsid w:val="00694C77"/>
    <w:rsid w:val="00696FD0"/>
    <w:rsid w:val="006979CD"/>
    <w:rsid w:val="006A18CA"/>
    <w:rsid w:val="006A1C8A"/>
    <w:rsid w:val="006A1FDF"/>
    <w:rsid w:val="006A2820"/>
    <w:rsid w:val="006A28FE"/>
    <w:rsid w:val="006A36DE"/>
    <w:rsid w:val="006A4161"/>
    <w:rsid w:val="006A7ACE"/>
    <w:rsid w:val="006B035F"/>
    <w:rsid w:val="006B05E3"/>
    <w:rsid w:val="006B143A"/>
    <w:rsid w:val="006B2815"/>
    <w:rsid w:val="006B2E28"/>
    <w:rsid w:val="006B42B7"/>
    <w:rsid w:val="006B45A0"/>
    <w:rsid w:val="006B4E91"/>
    <w:rsid w:val="006B59A9"/>
    <w:rsid w:val="006B6585"/>
    <w:rsid w:val="006B6792"/>
    <w:rsid w:val="006B6829"/>
    <w:rsid w:val="006B690F"/>
    <w:rsid w:val="006C3952"/>
    <w:rsid w:val="006C3AE5"/>
    <w:rsid w:val="006C3E7F"/>
    <w:rsid w:val="006C4B94"/>
    <w:rsid w:val="006C51E1"/>
    <w:rsid w:val="006C621E"/>
    <w:rsid w:val="006D07E3"/>
    <w:rsid w:val="006D38E5"/>
    <w:rsid w:val="006D4A48"/>
    <w:rsid w:val="006D5168"/>
    <w:rsid w:val="006E2734"/>
    <w:rsid w:val="006E3B32"/>
    <w:rsid w:val="006E52AE"/>
    <w:rsid w:val="006E58EB"/>
    <w:rsid w:val="006E5F3E"/>
    <w:rsid w:val="006E8286"/>
    <w:rsid w:val="006F143A"/>
    <w:rsid w:val="006F1DC5"/>
    <w:rsid w:val="006F6EF5"/>
    <w:rsid w:val="006F7C1A"/>
    <w:rsid w:val="006F7C71"/>
    <w:rsid w:val="006F7E9D"/>
    <w:rsid w:val="00701D49"/>
    <w:rsid w:val="00701F35"/>
    <w:rsid w:val="007023AE"/>
    <w:rsid w:val="00705A6B"/>
    <w:rsid w:val="0070704F"/>
    <w:rsid w:val="00710AF7"/>
    <w:rsid w:val="00714157"/>
    <w:rsid w:val="00714614"/>
    <w:rsid w:val="00714665"/>
    <w:rsid w:val="00715283"/>
    <w:rsid w:val="0071628F"/>
    <w:rsid w:val="00716B41"/>
    <w:rsid w:val="0071753F"/>
    <w:rsid w:val="0072131C"/>
    <w:rsid w:val="00721844"/>
    <w:rsid w:val="00722740"/>
    <w:rsid w:val="00722F9D"/>
    <w:rsid w:val="0072446D"/>
    <w:rsid w:val="00726C3D"/>
    <w:rsid w:val="00727656"/>
    <w:rsid w:val="00730FCC"/>
    <w:rsid w:val="007326F8"/>
    <w:rsid w:val="007349DA"/>
    <w:rsid w:val="00734C44"/>
    <w:rsid w:val="00734E4A"/>
    <w:rsid w:val="007367F6"/>
    <w:rsid w:val="00736905"/>
    <w:rsid w:val="00736AEF"/>
    <w:rsid w:val="00742A43"/>
    <w:rsid w:val="00743D40"/>
    <w:rsid w:val="007445D8"/>
    <w:rsid w:val="007452C0"/>
    <w:rsid w:val="0074652D"/>
    <w:rsid w:val="00746A3B"/>
    <w:rsid w:val="00751EBC"/>
    <w:rsid w:val="00752734"/>
    <w:rsid w:val="00752D99"/>
    <w:rsid w:val="00753B00"/>
    <w:rsid w:val="00754A7C"/>
    <w:rsid w:val="00756426"/>
    <w:rsid w:val="00756FCC"/>
    <w:rsid w:val="0076165B"/>
    <w:rsid w:val="0076167B"/>
    <w:rsid w:val="0076325C"/>
    <w:rsid w:val="00765A3A"/>
    <w:rsid w:val="00766528"/>
    <w:rsid w:val="00767DE6"/>
    <w:rsid w:val="0077117D"/>
    <w:rsid w:val="007716F9"/>
    <w:rsid w:val="00772931"/>
    <w:rsid w:val="00772B67"/>
    <w:rsid w:val="00775B09"/>
    <w:rsid w:val="00777D03"/>
    <w:rsid w:val="0078167D"/>
    <w:rsid w:val="00781ABC"/>
    <w:rsid w:val="0078502D"/>
    <w:rsid w:val="007860A9"/>
    <w:rsid w:val="00787B61"/>
    <w:rsid w:val="0079061E"/>
    <w:rsid w:val="00790B10"/>
    <w:rsid w:val="0079216C"/>
    <w:rsid w:val="00792B10"/>
    <w:rsid w:val="00792B8B"/>
    <w:rsid w:val="00793C45"/>
    <w:rsid w:val="00794812"/>
    <w:rsid w:val="007967DA"/>
    <w:rsid w:val="00796A13"/>
    <w:rsid w:val="00797198"/>
    <w:rsid w:val="00797BF0"/>
    <w:rsid w:val="007A0CE7"/>
    <w:rsid w:val="007A1192"/>
    <w:rsid w:val="007A200B"/>
    <w:rsid w:val="007A24D1"/>
    <w:rsid w:val="007A2E21"/>
    <w:rsid w:val="007A4039"/>
    <w:rsid w:val="007A4D9C"/>
    <w:rsid w:val="007A5002"/>
    <w:rsid w:val="007A5662"/>
    <w:rsid w:val="007A63A4"/>
    <w:rsid w:val="007A6401"/>
    <w:rsid w:val="007A6DFF"/>
    <w:rsid w:val="007A7083"/>
    <w:rsid w:val="007A7E59"/>
    <w:rsid w:val="007B0FF0"/>
    <w:rsid w:val="007B5BE1"/>
    <w:rsid w:val="007B6F36"/>
    <w:rsid w:val="007C16C4"/>
    <w:rsid w:val="007C2074"/>
    <w:rsid w:val="007C2726"/>
    <w:rsid w:val="007C2BD1"/>
    <w:rsid w:val="007C3521"/>
    <w:rsid w:val="007C3F01"/>
    <w:rsid w:val="007C5750"/>
    <w:rsid w:val="007C695A"/>
    <w:rsid w:val="007C69A6"/>
    <w:rsid w:val="007C74D4"/>
    <w:rsid w:val="007C75EC"/>
    <w:rsid w:val="007D0171"/>
    <w:rsid w:val="007D096C"/>
    <w:rsid w:val="007D355B"/>
    <w:rsid w:val="007D374A"/>
    <w:rsid w:val="007D4904"/>
    <w:rsid w:val="007D4D44"/>
    <w:rsid w:val="007D5595"/>
    <w:rsid w:val="007D5639"/>
    <w:rsid w:val="007D77B6"/>
    <w:rsid w:val="007D7AF8"/>
    <w:rsid w:val="007E297E"/>
    <w:rsid w:val="007E53D8"/>
    <w:rsid w:val="007E56A0"/>
    <w:rsid w:val="007E581E"/>
    <w:rsid w:val="007E5FCB"/>
    <w:rsid w:val="007E6D30"/>
    <w:rsid w:val="007F1486"/>
    <w:rsid w:val="007F40C2"/>
    <w:rsid w:val="007F4101"/>
    <w:rsid w:val="007F4B92"/>
    <w:rsid w:val="007F7229"/>
    <w:rsid w:val="007F7A67"/>
    <w:rsid w:val="008009A4"/>
    <w:rsid w:val="00801CC7"/>
    <w:rsid w:val="00801E16"/>
    <w:rsid w:val="00803151"/>
    <w:rsid w:val="008043DB"/>
    <w:rsid w:val="00804B59"/>
    <w:rsid w:val="00805059"/>
    <w:rsid w:val="00805091"/>
    <w:rsid w:val="00805A7C"/>
    <w:rsid w:val="00805E7C"/>
    <w:rsid w:val="008071A6"/>
    <w:rsid w:val="0080724F"/>
    <w:rsid w:val="0081016F"/>
    <w:rsid w:val="008106B3"/>
    <w:rsid w:val="0081221A"/>
    <w:rsid w:val="0081314E"/>
    <w:rsid w:val="008138B6"/>
    <w:rsid w:val="00815FB8"/>
    <w:rsid w:val="008169C4"/>
    <w:rsid w:val="008174EC"/>
    <w:rsid w:val="00817ED8"/>
    <w:rsid w:val="008209F0"/>
    <w:rsid w:val="00820BF1"/>
    <w:rsid w:val="00820CDC"/>
    <w:rsid w:val="00821F10"/>
    <w:rsid w:val="00822643"/>
    <w:rsid w:val="00823BD1"/>
    <w:rsid w:val="0082446C"/>
    <w:rsid w:val="00826E1B"/>
    <w:rsid w:val="00832DA4"/>
    <w:rsid w:val="00832ED6"/>
    <w:rsid w:val="0083343E"/>
    <w:rsid w:val="0083433C"/>
    <w:rsid w:val="008345FB"/>
    <w:rsid w:val="008354B5"/>
    <w:rsid w:val="00835E10"/>
    <w:rsid w:val="008374D3"/>
    <w:rsid w:val="008400C3"/>
    <w:rsid w:val="00842C19"/>
    <w:rsid w:val="00842EFE"/>
    <w:rsid w:val="00843900"/>
    <w:rsid w:val="008459B1"/>
    <w:rsid w:val="008459E2"/>
    <w:rsid w:val="0084627B"/>
    <w:rsid w:val="00846ABA"/>
    <w:rsid w:val="00847EA2"/>
    <w:rsid w:val="0085034A"/>
    <w:rsid w:val="00851A8B"/>
    <w:rsid w:val="00852893"/>
    <w:rsid w:val="00852DDD"/>
    <w:rsid w:val="00853B32"/>
    <w:rsid w:val="00854401"/>
    <w:rsid w:val="00855401"/>
    <w:rsid w:val="008568AC"/>
    <w:rsid w:val="00857F62"/>
    <w:rsid w:val="008607D7"/>
    <w:rsid w:val="00861297"/>
    <w:rsid w:val="00861622"/>
    <w:rsid w:val="0086195D"/>
    <w:rsid w:val="00861C22"/>
    <w:rsid w:val="00863134"/>
    <w:rsid w:val="00865503"/>
    <w:rsid w:val="0086570C"/>
    <w:rsid w:val="00866B21"/>
    <w:rsid w:val="0086713A"/>
    <w:rsid w:val="008671CB"/>
    <w:rsid w:val="008712AB"/>
    <w:rsid w:val="0087158A"/>
    <w:rsid w:val="0087300C"/>
    <w:rsid w:val="0087401D"/>
    <w:rsid w:val="00874680"/>
    <w:rsid w:val="00875C78"/>
    <w:rsid w:val="00876EED"/>
    <w:rsid w:val="008806E5"/>
    <w:rsid w:val="008809AF"/>
    <w:rsid w:val="00880B5A"/>
    <w:rsid w:val="00880D2B"/>
    <w:rsid w:val="008816E0"/>
    <w:rsid w:val="00881CB4"/>
    <w:rsid w:val="00886656"/>
    <w:rsid w:val="00886FAD"/>
    <w:rsid w:val="0089059E"/>
    <w:rsid w:val="00890EA2"/>
    <w:rsid w:val="00891538"/>
    <w:rsid w:val="00891E52"/>
    <w:rsid w:val="0089351E"/>
    <w:rsid w:val="008938A2"/>
    <w:rsid w:val="00894016"/>
    <w:rsid w:val="008961F6"/>
    <w:rsid w:val="00896A26"/>
    <w:rsid w:val="00897425"/>
    <w:rsid w:val="008A2CCD"/>
    <w:rsid w:val="008A45B6"/>
    <w:rsid w:val="008A564B"/>
    <w:rsid w:val="008A63CF"/>
    <w:rsid w:val="008B1631"/>
    <w:rsid w:val="008B2FD2"/>
    <w:rsid w:val="008B33DB"/>
    <w:rsid w:val="008B4578"/>
    <w:rsid w:val="008B6352"/>
    <w:rsid w:val="008C09BE"/>
    <w:rsid w:val="008C0D16"/>
    <w:rsid w:val="008C104D"/>
    <w:rsid w:val="008C4DE9"/>
    <w:rsid w:val="008C76EF"/>
    <w:rsid w:val="008C7855"/>
    <w:rsid w:val="008C7EDC"/>
    <w:rsid w:val="008D01CA"/>
    <w:rsid w:val="008D1BF7"/>
    <w:rsid w:val="008D266B"/>
    <w:rsid w:val="008D2947"/>
    <w:rsid w:val="008D3D46"/>
    <w:rsid w:val="008D5069"/>
    <w:rsid w:val="008E0672"/>
    <w:rsid w:val="008E1DDD"/>
    <w:rsid w:val="008E28E4"/>
    <w:rsid w:val="008E4953"/>
    <w:rsid w:val="008E4E16"/>
    <w:rsid w:val="008E6B8A"/>
    <w:rsid w:val="008F3FCD"/>
    <w:rsid w:val="008F6234"/>
    <w:rsid w:val="008F64F1"/>
    <w:rsid w:val="008F76FE"/>
    <w:rsid w:val="00900166"/>
    <w:rsid w:val="0090132D"/>
    <w:rsid w:val="00901BA3"/>
    <w:rsid w:val="009028DB"/>
    <w:rsid w:val="00902939"/>
    <w:rsid w:val="00903074"/>
    <w:rsid w:val="0090496D"/>
    <w:rsid w:val="009049C7"/>
    <w:rsid w:val="00906816"/>
    <w:rsid w:val="0090740A"/>
    <w:rsid w:val="0090741C"/>
    <w:rsid w:val="00910CBE"/>
    <w:rsid w:val="00911984"/>
    <w:rsid w:val="00911E8C"/>
    <w:rsid w:val="00912351"/>
    <w:rsid w:val="00913123"/>
    <w:rsid w:val="00913B79"/>
    <w:rsid w:val="009152B8"/>
    <w:rsid w:val="00916A0A"/>
    <w:rsid w:val="00920928"/>
    <w:rsid w:val="00920C9F"/>
    <w:rsid w:val="0092232E"/>
    <w:rsid w:val="00922A43"/>
    <w:rsid w:val="00931F51"/>
    <w:rsid w:val="00932C1E"/>
    <w:rsid w:val="00932C54"/>
    <w:rsid w:val="00933C0D"/>
    <w:rsid w:val="00934125"/>
    <w:rsid w:val="00935F92"/>
    <w:rsid w:val="00936E4F"/>
    <w:rsid w:val="009373F4"/>
    <w:rsid w:val="00937D4D"/>
    <w:rsid w:val="00937DC8"/>
    <w:rsid w:val="0094127C"/>
    <w:rsid w:val="009423AA"/>
    <w:rsid w:val="009453CF"/>
    <w:rsid w:val="0094698D"/>
    <w:rsid w:val="00946A7F"/>
    <w:rsid w:val="00947714"/>
    <w:rsid w:val="00947C7D"/>
    <w:rsid w:val="0095036A"/>
    <w:rsid w:val="009526D8"/>
    <w:rsid w:val="009536FA"/>
    <w:rsid w:val="00955271"/>
    <w:rsid w:val="00957501"/>
    <w:rsid w:val="0096003E"/>
    <w:rsid w:val="00960935"/>
    <w:rsid w:val="00961BC8"/>
    <w:rsid w:val="00961EAA"/>
    <w:rsid w:val="009624B7"/>
    <w:rsid w:val="0096266F"/>
    <w:rsid w:val="00962741"/>
    <w:rsid w:val="00963D5F"/>
    <w:rsid w:val="009649C0"/>
    <w:rsid w:val="009663D1"/>
    <w:rsid w:val="00966B8D"/>
    <w:rsid w:val="0096701E"/>
    <w:rsid w:val="0097148B"/>
    <w:rsid w:val="00972E21"/>
    <w:rsid w:val="00973850"/>
    <w:rsid w:val="009745F9"/>
    <w:rsid w:val="0097651A"/>
    <w:rsid w:val="00976684"/>
    <w:rsid w:val="00976BEA"/>
    <w:rsid w:val="0098082D"/>
    <w:rsid w:val="00981902"/>
    <w:rsid w:val="00982E56"/>
    <w:rsid w:val="00984136"/>
    <w:rsid w:val="009844B4"/>
    <w:rsid w:val="009847C2"/>
    <w:rsid w:val="009859DE"/>
    <w:rsid w:val="00985A64"/>
    <w:rsid w:val="00987177"/>
    <w:rsid w:val="0098733C"/>
    <w:rsid w:val="009903AD"/>
    <w:rsid w:val="00990630"/>
    <w:rsid w:val="009910D2"/>
    <w:rsid w:val="0099140E"/>
    <w:rsid w:val="00992D93"/>
    <w:rsid w:val="0099326C"/>
    <w:rsid w:val="00993BBC"/>
    <w:rsid w:val="00995CAF"/>
    <w:rsid w:val="009A236B"/>
    <w:rsid w:val="009A3658"/>
    <w:rsid w:val="009A4240"/>
    <w:rsid w:val="009A4868"/>
    <w:rsid w:val="009A5F9C"/>
    <w:rsid w:val="009A63FE"/>
    <w:rsid w:val="009A6FF4"/>
    <w:rsid w:val="009B1494"/>
    <w:rsid w:val="009B2710"/>
    <w:rsid w:val="009B309F"/>
    <w:rsid w:val="009B3FA3"/>
    <w:rsid w:val="009B427A"/>
    <w:rsid w:val="009B4292"/>
    <w:rsid w:val="009B6C5D"/>
    <w:rsid w:val="009B6DCD"/>
    <w:rsid w:val="009B755E"/>
    <w:rsid w:val="009C0740"/>
    <w:rsid w:val="009C151C"/>
    <w:rsid w:val="009C16E5"/>
    <w:rsid w:val="009C1C21"/>
    <w:rsid w:val="009C3327"/>
    <w:rsid w:val="009C5F61"/>
    <w:rsid w:val="009D0495"/>
    <w:rsid w:val="009D1A8C"/>
    <w:rsid w:val="009D2156"/>
    <w:rsid w:val="009D374E"/>
    <w:rsid w:val="009D446F"/>
    <w:rsid w:val="009D49AD"/>
    <w:rsid w:val="009D4DDA"/>
    <w:rsid w:val="009D4DE8"/>
    <w:rsid w:val="009D6160"/>
    <w:rsid w:val="009D6905"/>
    <w:rsid w:val="009E3D43"/>
    <w:rsid w:val="009E3D6F"/>
    <w:rsid w:val="009E4F30"/>
    <w:rsid w:val="009E7C3A"/>
    <w:rsid w:val="009E7E5C"/>
    <w:rsid w:val="009F10DA"/>
    <w:rsid w:val="009F2007"/>
    <w:rsid w:val="009F30C5"/>
    <w:rsid w:val="009F3F48"/>
    <w:rsid w:val="009F48DE"/>
    <w:rsid w:val="009F503B"/>
    <w:rsid w:val="009F6891"/>
    <w:rsid w:val="009F7F49"/>
    <w:rsid w:val="00A01552"/>
    <w:rsid w:val="00A02BD0"/>
    <w:rsid w:val="00A02F2E"/>
    <w:rsid w:val="00A04245"/>
    <w:rsid w:val="00A04A88"/>
    <w:rsid w:val="00A054D5"/>
    <w:rsid w:val="00A0751D"/>
    <w:rsid w:val="00A07F27"/>
    <w:rsid w:val="00A107FD"/>
    <w:rsid w:val="00A109CD"/>
    <w:rsid w:val="00A1259C"/>
    <w:rsid w:val="00A137C9"/>
    <w:rsid w:val="00A152BF"/>
    <w:rsid w:val="00A165E5"/>
    <w:rsid w:val="00A20C9B"/>
    <w:rsid w:val="00A20E9F"/>
    <w:rsid w:val="00A21599"/>
    <w:rsid w:val="00A22249"/>
    <w:rsid w:val="00A2268D"/>
    <w:rsid w:val="00A226F1"/>
    <w:rsid w:val="00A23FF6"/>
    <w:rsid w:val="00A24D35"/>
    <w:rsid w:val="00A2780E"/>
    <w:rsid w:val="00A301D1"/>
    <w:rsid w:val="00A30891"/>
    <w:rsid w:val="00A316C0"/>
    <w:rsid w:val="00A317CC"/>
    <w:rsid w:val="00A32DEF"/>
    <w:rsid w:val="00A33196"/>
    <w:rsid w:val="00A33329"/>
    <w:rsid w:val="00A34BB3"/>
    <w:rsid w:val="00A34F17"/>
    <w:rsid w:val="00A3565F"/>
    <w:rsid w:val="00A357FA"/>
    <w:rsid w:val="00A36DB8"/>
    <w:rsid w:val="00A37FA6"/>
    <w:rsid w:val="00A40329"/>
    <w:rsid w:val="00A40331"/>
    <w:rsid w:val="00A4101C"/>
    <w:rsid w:val="00A41AA4"/>
    <w:rsid w:val="00A42590"/>
    <w:rsid w:val="00A4288A"/>
    <w:rsid w:val="00A44D90"/>
    <w:rsid w:val="00A44EB6"/>
    <w:rsid w:val="00A47A37"/>
    <w:rsid w:val="00A5018D"/>
    <w:rsid w:val="00A51A6F"/>
    <w:rsid w:val="00A548D5"/>
    <w:rsid w:val="00A553B4"/>
    <w:rsid w:val="00A572D7"/>
    <w:rsid w:val="00A6004A"/>
    <w:rsid w:val="00A61E5B"/>
    <w:rsid w:val="00A6344F"/>
    <w:rsid w:val="00A642E6"/>
    <w:rsid w:val="00A64564"/>
    <w:rsid w:val="00A6499F"/>
    <w:rsid w:val="00A64D8F"/>
    <w:rsid w:val="00A66751"/>
    <w:rsid w:val="00A66782"/>
    <w:rsid w:val="00A670F0"/>
    <w:rsid w:val="00A67AF8"/>
    <w:rsid w:val="00A74EC3"/>
    <w:rsid w:val="00A76B5A"/>
    <w:rsid w:val="00A77B56"/>
    <w:rsid w:val="00A77E75"/>
    <w:rsid w:val="00A819D8"/>
    <w:rsid w:val="00A81D67"/>
    <w:rsid w:val="00A82DA1"/>
    <w:rsid w:val="00A83003"/>
    <w:rsid w:val="00A84C99"/>
    <w:rsid w:val="00A84FD2"/>
    <w:rsid w:val="00A85A47"/>
    <w:rsid w:val="00A86A4A"/>
    <w:rsid w:val="00A86B93"/>
    <w:rsid w:val="00A918BA"/>
    <w:rsid w:val="00A91DA7"/>
    <w:rsid w:val="00A93117"/>
    <w:rsid w:val="00A94CF2"/>
    <w:rsid w:val="00A95477"/>
    <w:rsid w:val="00A97098"/>
    <w:rsid w:val="00A97D4D"/>
    <w:rsid w:val="00AA0C9D"/>
    <w:rsid w:val="00AA2269"/>
    <w:rsid w:val="00AA628D"/>
    <w:rsid w:val="00AA6B7C"/>
    <w:rsid w:val="00AA752E"/>
    <w:rsid w:val="00AA76C4"/>
    <w:rsid w:val="00AB037A"/>
    <w:rsid w:val="00AB125F"/>
    <w:rsid w:val="00AB181C"/>
    <w:rsid w:val="00AB1927"/>
    <w:rsid w:val="00AB1C83"/>
    <w:rsid w:val="00AB21F1"/>
    <w:rsid w:val="00AB2504"/>
    <w:rsid w:val="00AB2A5F"/>
    <w:rsid w:val="00AB51E9"/>
    <w:rsid w:val="00AB5C2D"/>
    <w:rsid w:val="00AB68FE"/>
    <w:rsid w:val="00AC0064"/>
    <w:rsid w:val="00AC0605"/>
    <w:rsid w:val="00AC0E99"/>
    <w:rsid w:val="00AC1157"/>
    <w:rsid w:val="00AC281D"/>
    <w:rsid w:val="00AC5174"/>
    <w:rsid w:val="00AC6C34"/>
    <w:rsid w:val="00AD0051"/>
    <w:rsid w:val="00AD0F34"/>
    <w:rsid w:val="00AD13C5"/>
    <w:rsid w:val="00AD2194"/>
    <w:rsid w:val="00AD4BF3"/>
    <w:rsid w:val="00AD537E"/>
    <w:rsid w:val="00AD55FB"/>
    <w:rsid w:val="00AD607B"/>
    <w:rsid w:val="00AD60B2"/>
    <w:rsid w:val="00AE31B7"/>
    <w:rsid w:val="00AE3D0F"/>
    <w:rsid w:val="00AE4032"/>
    <w:rsid w:val="00AE4535"/>
    <w:rsid w:val="00AE4C0D"/>
    <w:rsid w:val="00AE5661"/>
    <w:rsid w:val="00AE5F27"/>
    <w:rsid w:val="00AE62B2"/>
    <w:rsid w:val="00AE6A33"/>
    <w:rsid w:val="00AF1538"/>
    <w:rsid w:val="00AF4A24"/>
    <w:rsid w:val="00AF637A"/>
    <w:rsid w:val="00AF6B6F"/>
    <w:rsid w:val="00B01EF8"/>
    <w:rsid w:val="00B02124"/>
    <w:rsid w:val="00B02CBA"/>
    <w:rsid w:val="00B0314B"/>
    <w:rsid w:val="00B037BF"/>
    <w:rsid w:val="00B05129"/>
    <w:rsid w:val="00B060C0"/>
    <w:rsid w:val="00B07506"/>
    <w:rsid w:val="00B1126C"/>
    <w:rsid w:val="00B119AD"/>
    <w:rsid w:val="00B11EC6"/>
    <w:rsid w:val="00B12FFC"/>
    <w:rsid w:val="00B13024"/>
    <w:rsid w:val="00B14B69"/>
    <w:rsid w:val="00B150AD"/>
    <w:rsid w:val="00B16995"/>
    <w:rsid w:val="00B16D88"/>
    <w:rsid w:val="00B170C6"/>
    <w:rsid w:val="00B174C1"/>
    <w:rsid w:val="00B20650"/>
    <w:rsid w:val="00B20ECD"/>
    <w:rsid w:val="00B22EFA"/>
    <w:rsid w:val="00B255C5"/>
    <w:rsid w:val="00B25D84"/>
    <w:rsid w:val="00B262DA"/>
    <w:rsid w:val="00B267CA"/>
    <w:rsid w:val="00B26D65"/>
    <w:rsid w:val="00B2743F"/>
    <w:rsid w:val="00B27651"/>
    <w:rsid w:val="00B31F93"/>
    <w:rsid w:val="00B3286F"/>
    <w:rsid w:val="00B3310E"/>
    <w:rsid w:val="00B3318B"/>
    <w:rsid w:val="00B33CF3"/>
    <w:rsid w:val="00B3591E"/>
    <w:rsid w:val="00B365A2"/>
    <w:rsid w:val="00B43781"/>
    <w:rsid w:val="00B4501B"/>
    <w:rsid w:val="00B4502A"/>
    <w:rsid w:val="00B45D8A"/>
    <w:rsid w:val="00B467C1"/>
    <w:rsid w:val="00B5119B"/>
    <w:rsid w:val="00B51D58"/>
    <w:rsid w:val="00B52F71"/>
    <w:rsid w:val="00B5356D"/>
    <w:rsid w:val="00B55A8F"/>
    <w:rsid w:val="00B6079E"/>
    <w:rsid w:val="00B61703"/>
    <w:rsid w:val="00B61CEB"/>
    <w:rsid w:val="00B6241E"/>
    <w:rsid w:val="00B62910"/>
    <w:rsid w:val="00B63087"/>
    <w:rsid w:val="00B63814"/>
    <w:rsid w:val="00B6545D"/>
    <w:rsid w:val="00B6743E"/>
    <w:rsid w:val="00B67ECB"/>
    <w:rsid w:val="00B7404A"/>
    <w:rsid w:val="00B74909"/>
    <w:rsid w:val="00B75CF5"/>
    <w:rsid w:val="00B77165"/>
    <w:rsid w:val="00B82228"/>
    <w:rsid w:val="00B82D8F"/>
    <w:rsid w:val="00B830A8"/>
    <w:rsid w:val="00B83362"/>
    <w:rsid w:val="00B8388E"/>
    <w:rsid w:val="00B83C7C"/>
    <w:rsid w:val="00B84B66"/>
    <w:rsid w:val="00B84D14"/>
    <w:rsid w:val="00B909C1"/>
    <w:rsid w:val="00B90CAA"/>
    <w:rsid w:val="00B92617"/>
    <w:rsid w:val="00B92F3A"/>
    <w:rsid w:val="00B93616"/>
    <w:rsid w:val="00B974EC"/>
    <w:rsid w:val="00BA161F"/>
    <w:rsid w:val="00BA321F"/>
    <w:rsid w:val="00BA433C"/>
    <w:rsid w:val="00BA4ACF"/>
    <w:rsid w:val="00BA5497"/>
    <w:rsid w:val="00BA5A87"/>
    <w:rsid w:val="00BA774D"/>
    <w:rsid w:val="00BB0286"/>
    <w:rsid w:val="00BB0DB0"/>
    <w:rsid w:val="00BB2D7E"/>
    <w:rsid w:val="00BB30D7"/>
    <w:rsid w:val="00BB3C3D"/>
    <w:rsid w:val="00BB3D09"/>
    <w:rsid w:val="00BB3D28"/>
    <w:rsid w:val="00BB3F7C"/>
    <w:rsid w:val="00BB48C4"/>
    <w:rsid w:val="00BB5E2A"/>
    <w:rsid w:val="00BB60A1"/>
    <w:rsid w:val="00BB6307"/>
    <w:rsid w:val="00BB6373"/>
    <w:rsid w:val="00BB6454"/>
    <w:rsid w:val="00BB6BF0"/>
    <w:rsid w:val="00BB6C12"/>
    <w:rsid w:val="00BC0A73"/>
    <w:rsid w:val="00BC1FC3"/>
    <w:rsid w:val="00BC3BFC"/>
    <w:rsid w:val="00BC5085"/>
    <w:rsid w:val="00BC52DC"/>
    <w:rsid w:val="00BC54C0"/>
    <w:rsid w:val="00BC7AE3"/>
    <w:rsid w:val="00BD007E"/>
    <w:rsid w:val="00BD0365"/>
    <w:rsid w:val="00BD183B"/>
    <w:rsid w:val="00BD1A23"/>
    <w:rsid w:val="00BD2A4A"/>
    <w:rsid w:val="00BD2B70"/>
    <w:rsid w:val="00BD2BA0"/>
    <w:rsid w:val="00BD3A86"/>
    <w:rsid w:val="00BD47FA"/>
    <w:rsid w:val="00BD4D5A"/>
    <w:rsid w:val="00BD4E47"/>
    <w:rsid w:val="00BD53E6"/>
    <w:rsid w:val="00BD5C8E"/>
    <w:rsid w:val="00BD68C6"/>
    <w:rsid w:val="00BD6D7E"/>
    <w:rsid w:val="00BD717B"/>
    <w:rsid w:val="00BD75E0"/>
    <w:rsid w:val="00BE1CED"/>
    <w:rsid w:val="00BE21CB"/>
    <w:rsid w:val="00BE23C4"/>
    <w:rsid w:val="00BE3F5E"/>
    <w:rsid w:val="00BE5982"/>
    <w:rsid w:val="00BE607E"/>
    <w:rsid w:val="00BE6709"/>
    <w:rsid w:val="00BF0551"/>
    <w:rsid w:val="00BF19C6"/>
    <w:rsid w:val="00BF1EF7"/>
    <w:rsid w:val="00BF24E1"/>
    <w:rsid w:val="00BF2DD3"/>
    <w:rsid w:val="00BF493A"/>
    <w:rsid w:val="00BF4D85"/>
    <w:rsid w:val="00BF4F06"/>
    <w:rsid w:val="00BF58D1"/>
    <w:rsid w:val="00BF621C"/>
    <w:rsid w:val="00C005BE"/>
    <w:rsid w:val="00C009F5"/>
    <w:rsid w:val="00C00B60"/>
    <w:rsid w:val="00C0192C"/>
    <w:rsid w:val="00C02659"/>
    <w:rsid w:val="00C03495"/>
    <w:rsid w:val="00C04893"/>
    <w:rsid w:val="00C052AC"/>
    <w:rsid w:val="00C05889"/>
    <w:rsid w:val="00C0596C"/>
    <w:rsid w:val="00C06D3A"/>
    <w:rsid w:val="00C1033B"/>
    <w:rsid w:val="00C11029"/>
    <w:rsid w:val="00C11213"/>
    <w:rsid w:val="00C11D97"/>
    <w:rsid w:val="00C11EBA"/>
    <w:rsid w:val="00C127C4"/>
    <w:rsid w:val="00C15D70"/>
    <w:rsid w:val="00C20F65"/>
    <w:rsid w:val="00C21350"/>
    <w:rsid w:val="00C218F2"/>
    <w:rsid w:val="00C21AF9"/>
    <w:rsid w:val="00C23404"/>
    <w:rsid w:val="00C24CFC"/>
    <w:rsid w:val="00C30257"/>
    <w:rsid w:val="00C30F64"/>
    <w:rsid w:val="00C34B26"/>
    <w:rsid w:val="00C3581F"/>
    <w:rsid w:val="00C37399"/>
    <w:rsid w:val="00C40A6D"/>
    <w:rsid w:val="00C40A97"/>
    <w:rsid w:val="00C4231C"/>
    <w:rsid w:val="00C431C0"/>
    <w:rsid w:val="00C43A24"/>
    <w:rsid w:val="00C440DA"/>
    <w:rsid w:val="00C45730"/>
    <w:rsid w:val="00C501FC"/>
    <w:rsid w:val="00C52A09"/>
    <w:rsid w:val="00C52D6B"/>
    <w:rsid w:val="00C53D8C"/>
    <w:rsid w:val="00C54EA8"/>
    <w:rsid w:val="00C563B9"/>
    <w:rsid w:val="00C57936"/>
    <w:rsid w:val="00C609AE"/>
    <w:rsid w:val="00C62067"/>
    <w:rsid w:val="00C65428"/>
    <w:rsid w:val="00C656A9"/>
    <w:rsid w:val="00C66CE4"/>
    <w:rsid w:val="00C67313"/>
    <w:rsid w:val="00C70CA4"/>
    <w:rsid w:val="00C70EC9"/>
    <w:rsid w:val="00C71D72"/>
    <w:rsid w:val="00C728EC"/>
    <w:rsid w:val="00C74687"/>
    <w:rsid w:val="00C75E1C"/>
    <w:rsid w:val="00C76123"/>
    <w:rsid w:val="00C80602"/>
    <w:rsid w:val="00C80BE2"/>
    <w:rsid w:val="00C810CB"/>
    <w:rsid w:val="00C81B17"/>
    <w:rsid w:val="00C826F3"/>
    <w:rsid w:val="00C829D0"/>
    <w:rsid w:val="00C82EA7"/>
    <w:rsid w:val="00C835CD"/>
    <w:rsid w:val="00C83C12"/>
    <w:rsid w:val="00C84488"/>
    <w:rsid w:val="00C84DD5"/>
    <w:rsid w:val="00C861E9"/>
    <w:rsid w:val="00C8714A"/>
    <w:rsid w:val="00C91150"/>
    <w:rsid w:val="00C91731"/>
    <w:rsid w:val="00C921AE"/>
    <w:rsid w:val="00C92F34"/>
    <w:rsid w:val="00C93903"/>
    <w:rsid w:val="00C93BBD"/>
    <w:rsid w:val="00C93E64"/>
    <w:rsid w:val="00C9550B"/>
    <w:rsid w:val="00C95591"/>
    <w:rsid w:val="00C95967"/>
    <w:rsid w:val="00C9600E"/>
    <w:rsid w:val="00C972D3"/>
    <w:rsid w:val="00C97C5B"/>
    <w:rsid w:val="00C97CD9"/>
    <w:rsid w:val="00C97DA6"/>
    <w:rsid w:val="00CA2552"/>
    <w:rsid w:val="00CA2700"/>
    <w:rsid w:val="00CA2852"/>
    <w:rsid w:val="00CA3747"/>
    <w:rsid w:val="00CA3DB2"/>
    <w:rsid w:val="00CA440D"/>
    <w:rsid w:val="00CA4DCB"/>
    <w:rsid w:val="00CA4E2E"/>
    <w:rsid w:val="00CA6E76"/>
    <w:rsid w:val="00CA7A12"/>
    <w:rsid w:val="00CB0D03"/>
    <w:rsid w:val="00CB1016"/>
    <w:rsid w:val="00CB2CBE"/>
    <w:rsid w:val="00CB4AD8"/>
    <w:rsid w:val="00CB4D2D"/>
    <w:rsid w:val="00CB5611"/>
    <w:rsid w:val="00CB5A8C"/>
    <w:rsid w:val="00CB6F08"/>
    <w:rsid w:val="00CB735F"/>
    <w:rsid w:val="00CB7C27"/>
    <w:rsid w:val="00CC07A5"/>
    <w:rsid w:val="00CC27F7"/>
    <w:rsid w:val="00CC3EBA"/>
    <w:rsid w:val="00CC3F8B"/>
    <w:rsid w:val="00CC51EF"/>
    <w:rsid w:val="00CC6AAA"/>
    <w:rsid w:val="00CD007D"/>
    <w:rsid w:val="00CD0385"/>
    <w:rsid w:val="00CD082E"/>
    <w:rsid w:val="00CD43C8"/>
    <w:rsid w:val="00CD48D2"/>
    <w:rsid w:val="00CD54F5"/>
    <w:rsid w:val="00CD59BD"/>
    <w:rsid w:val="00CD6616"/>
    <w:rsid w:val="00CE1E2C"/>
    <w:rsid w:val="00CE204C"/>
    <w:rsid w:val="00CE29BE"/>
    <w:rsid w:val="00CE39C4"/>
    <w:rsid w:val="00CE5D15"/>
    <w:rsid w:val="00CE61C8"/>
    <w:rsid w:val="00CF1504"/>
    <w:rsid w:val="00CF1ADD"/>
    <w:rsid w:val="00CF4512"/>
    <w:rsid w:val="00CF595B"/>
    <w:rsid w:val="00CF5CBF"/>
    <w:rsid w:val="00CF6B5C"/>
    <w:rsid w:val="00D011C9"/>
    <w:rsid w:val="00D0144D"/>
    <w:rsid w:val="00D03B7C"/>
    <w:rsid w:val="00D03DD2"/>
    <w:rsid w:val="00D04930"/>
    <w:rsid w:val="00D04AA3"/>
    <w:rsid w:val="00D05FE0"/>
    <w:rsid w:val="00D10A22"/>
    <w:rsid w:val="00D115EC"/>
    <w:rsid w:val="00D12B7A"/>
    <w:rsid w:val="00D13030"/>
    <w:rsid w:val="00D15410"/>
    <w:rsid w:val="00D159EF"/>
    <w:rsid w:val="00D160A2"/>
    <w:rsid w:val="00D17146"/>
    <w:rsid w:val="00D20AEF"/>
    <w:rsid w:val="00D220CB"/>
    <w:rsid w:val="00D22616"/>
    <w:rsid w:val="00D23427"/>
    <w:rsid w:val="00D239D8"/>
    <w:rsid w:val="00D24F59"/>
    <w:rsid w:val="00D271E2"/>
    <w:rsid w:val="00D275F7"/>
    <w:rsid w:val="00D27DB9"/>
    <w:rsid w:val="00D3225C"/>
    <w:rsid w:val="00D32AA8"/>
    <w:rsid w:val="00D33486"/>
    <w:rsid w:val="00D34A1F"/>
    <w:rsid w:val="00D35190"/>
    <w:rsid w:val="00D356F7"/>
    <w:rsid w:val="00D3E9D6"/>
    <w:rsid w:val="00D40A71"/>
    <w:rsid w:val="00D43F2D"/>
    <w:rsid w:val="00D43FB6"/>
    <w:rsid w:val="00D459CA"/>
    <w:rsid w:val="00D520AF"/>
    <w:rsid w:val="00D52977"/>
    <w:rsid w:val="00D53495"/>
    <w:rsid w:val="00D549A9"/>
    <w:rsid w:val="00D56747"/>
    <w:rsid w:val="00D604C6"/>
    <w:rsid w:val="00D60B6D"/>
    <w:rsid w:val="00D6163E"/>
    <w:rsid w:val="00D61BEB"/>
    <w:rsid w:val="00D62098"/>
    <w:rsid w:val="00D63162"/>
    <w:rsid w:val="00D637F7"/>
    <w:rsid w:val="00D64C10"/>
    <w:rsid w:val="00D657D0"/>
    <w:rsid w:val="00D67E6C"/>
    <w:rsid w:val="00D70A51"/>
    <w:rsid w:val="00D71716"/>
    <w:rsid w:val="00D719E1"/>
    <w:rsid w:val="00D71DA7"/>
    <w:rsid w:val="00D71DBF"/>
    <w:rsid w:val="00D7332E"/>
    <w:rsid w:val="00D80334"/>
    <w:rsid w:val="00D81C87"/>
    <w:rsid w:val="00D83A0D"/>
    <w:rsid w:val="00D83A28"/>
    <w:rsid w:val="00D83B4E"/>
    <w:rsid w:val="00D844B6"/>
    <w:rsid w:val="00D8463C"/>
    <w:rsid w:val="00D85ABD"/>
    <w:rsid w:val="00D90354"/>
    <w:rsid w:val="00D90B5F"/>
    <w:rsid w:val="00D90BAC"/>
    <w:rsid w:val="00D93CEA"/>
    <w:rsid w:val="00D9520E"/>
    <w:rsid w:val="00DA052F"/>
    <w:rsid w:val="00DA0B9C"/>
    <w:rsid w:val="00DA109B"/>
    <w:rsid w:val="00DA10AD"/>
    <w:rsid w:val="00DA1A74"/>
    <w:rsid w:val="00DA2BC5"/>
    <w:rsid w:val="00DA3D96"/>
    <w:rsid w:val="00DA48A1"/>
    <w:rsid w:val="00DA74FA"/>
    <w:rsid w:val="00DB090B"/>
    <w:rsid w:val="00DB0E1B"/>
    <w:rsid w:val="00DB19B9"/>
    <w:rsid w:val="00DB4ECF"/>
    <w:rsid w:val="00DB5752"/>
    <w:rsid w:val="00DB575E"/>
    <w:rsid w:val="00DB5C3C"/>
    <w:rsid w:val="00DC0C66"/>
    <w:rsid w:val="00DC2285"/>
    <w:rsid w:val="00DC3E4A"/>
    <w:rsid w:val="00DC3EB9"/>
    <w:rsid w:val="00DC54D7"/>
    <w:rsid w:val="00DC57EE"/>
    <w:rsid w:val="00DC6C7B"/>
    <w:rsid w:val="00DD1418"/>
    <w:rsid w:val="00DD1702"/>
    <w:rsid w:val="00DD18E3"/>
    <w:rsid w:val="00DD3580"/>
    <w:rsid w:val="00DD422E"/>
    <w:rsid w:val="00DD42CD"/>
    <w:rsid w:val="00DD6DEC"/>
    <w:rsid w:val="00DD7576"/>
    <w:rsid w:val="00DD7CE6"/>
    <w:rsid w:val="00DE07CB"/>
    <w:rsid w:val="00DE1FB4"/>
    <w:rsid w:val="00DE5649"/>
    <w:rsid w:val="00DE5B48"/>
    <w:rsid w:val="00DE6052"/>
    <w:rsid w:val="00DE6AFF"/>
    <w:rsid w:val="00DE6FA2"/>
    <w:rsid w:val="00DF18AF"/>
    <w:rsid w:val="00DF2DA5"/>
    <w:rsid w:val="00DF3E27"/>
    <w:rsid w:val="00DF4B8A"/>
    <w:rsid w:val="00DF4CE9"/>
    <w:rsid w:val="00DF5F53"/>
    <w:rsid w:val="00DF73A9"/>
    <w:rsid w:val="00DF7A84"/>
    <w:rsid w:val="00E000B0"/>
    <w:rsid w:val="00E00281"/>
    <w:rsid w:val="00E007DC"/>
    <w:rsid w:val="00E0145E"/>
    <w:rsid w:val="00E015D7"/>
    <w:rsid w:val="00E02EB9"/>
    <w:rsid w:val="00E04A5D"/>
    <w:rsid w:val="00E04DE7"/>
    <w:rsid w:val="00E067F5"/>
    <w:rsid w:val="00E10260"/>
    <w:rsid w:val="00E13BE1"/>
    <w:rsid w:val="00E14E46"/>
    <w:rsid w:val="00E177F4"/>
    <w:rsid w:val="00E20129"/>
    <w:rsid w:val="00E20FFB"/>
    <w:rsid w:val="00E21F21"/>
    <w:rsid w:val="00E22E5C"/>
    <w:rsid w:val="00E23213"/>
    <w:rsid w:val="00E24016"/>
    <w:rsid w:val="00E246FE"/>
    <w:rsid w:val="00E24A7F"/>
    <w:rsid w:val="00E250B1"/>
    <w:rsid w:val="00E2583D"/>
    <w:rsid w:val="00E260A1"/>
    <w:rsid w:val="00E26522"/>
    <w:rsid w:val="00E2788B"/>
    <w:rsid w:val="00E30059"/>
    <w:rsid w:val="00E30A2B"/>
    <w:rsid w:val="00E3131C"/>
    <w:rsid w:val="00E31738"/>
    <w:rsid w:val="00E31A51"/>
    <w:rsid w:val="00E32926"/>
    <w:rsid w:val="00E32C5F"/>
    <w:rsid w:val="00E32C71"/>
    <w:rsid w:val="00E33DBB"/>
    <w:rsid w:val="00E350BD"/>
    <w:rsid w:val="00E35F2F"/>
    <w:rsid w:val="00E36024"/>
    <w:rsid w:val="00E40938"/>
    <w:rsid w:val="00E40A99"/>
    <w:rsid w:val="00E40C47"/>
    <w:rsid w:val="00E40FE6"/>
    <w:rsid w:val="00E419E9"/>
    <w:rsid w:val="00E41BAB"/>
    <w:rsid w:val="00E43AFE"/>
    <w:rsid w:val="00E441B2"/>
    <w:rsid w:val="00E45571"/>
    <w:rsid w:val="00E469F9"/>
    <w:rsid w:val="00E47D9D"/>
    <w:rsid w:val="00E514D3"/>
    <w:rsid w:val="00E5336B"/>
    <w:rsid w:val="00E54657"/>
    <w:rsid w:val="00E555BF"/>
    <w:rsid w:val="00E578E7"/>
    <w:rsid w:val="00E62F88"/>
    <w:rsid w:val="00E63858"/>
    <w:rsid w:val="00E66988"/>
    <w:rsid w:val="00E67A64"/>
    <w:rsid w:val="00E67A6A"/>
    <w:rsid w:val="00E67DA9"/>
    <w:rsid w:val="00E70BE0"/>
    <w:rsid w:val="00E71542"/>
    <w:rsid w:val="00E71B63"/>
    <w:rsid w:val="00E730AA"/>
    <w:rsid w:val="00E7478F"/>
    <w:rsid w:val="00E758B5"/>
    <w:rsid w:val="00E7764D"/>
    <w:rsid w:val="00E7795D"/>
    <w:rsid w:val="00E8042F"/>
    <w:rsid w:val="00E8343B"/>
    <w:rsid w:val="00E85023"/>
    <w:rsid w:val="00E856FA"/>
    <w:rsid w:val="00E8580A"/>
    <w:rsid w:val="00E85FD3"/>
    <w:rsid w:val="00E87843"/>
    <w:rsid w:val="00E87FDE"/>
    <w:rsid w:val="00E90F2A"/>
    <w:rsid w:val="00E91DDC"/>
    <w:rsid w:val="00E92290"/>
    <w:rsid w:val="00E929CD"/>
    <w:rsid w:val="00E932CC"/>
    <w:rsid w:val="00E933A2"/>
    <w:rsid w:val="00E933F4"/>
    <w:rsid w:val="00E9782A"/>
    <w:rsid w:val="00EA073F"/>
    <w:rsid w:val="00EA0814"/>
    <w:rsid w:val="00EA12DF"/>
    <w:rsid w:val="00EA3B3F"/>
    <w:rsid w:val="00EA3FFB"/>
    <w:rsid w:val="00EA410C"/>
    <w:rsid w:val="00EA41F0"/>
    <w:rsid w:val="00EA48CF"/>
    <w:rsid w:val="00EA64B2"/>
    <w:rsid w:val="00EA6FF0"/>
    <w:rsid w:val="00EB0155"/>
    <w:rsid w:val="00EB07A1"/>
    <w:rsid w:val="00EB0D59"/>
    <w:rsid w:val="00EB5AA5"/>
    <w:rsid w:val="00EB5D20"/>
    <w:rsid w:val="00EB699A"/>
    <w:rsid w:val="00EB7972"/>
    <w:rsid w:val="00EB7BC3"/>
    <w:rsid w:val="00EC05CF"/>
    <w:rsid w:val="00EC2550"/>
    <w:rsid w:val="00EC467E"/>
    <w:rsid w:val="00EC58EE"/>
    <w:rsid w:val="00EC5B92"/>
    <w:rsid w:val="00EC7466"/>
    <w:rsid w:val="00ED0007"/>
    <w:rsid w:val="00ED0E46"/>
    <w:rsid w:val="00ED2295"/>
    <w:rsid w:val="00ED3920"/>
    <w:rsid w:val="00ED6D0D"/>
    <w:rsid w:val="00EE3A19"/>
    <w:rsid w:val="00EE415D"/>
    <w:rsid w:val="00EE438E"/>
    <w:rsid w:val="00EE4B0A"/>
    <w:rsid w:val="00EE4CA6"/>
    <w:rsid w:val="00EE5E6A"/>
    <w:rsid w:val="00EE6367"/>
    <w:rsid w:val="00EE6837"/>
    <w:rsid w:val="00EF07A8"/>
    <w:rsid w:val="00EF07D0"/>
    <w:rsid w:val="00EF0C5F"/>
    <w:rsid w:val="00EF3285"/>
    <w:rsid w:val="00EF4BC3"/>
    <w:rsid w:val="00EF622F"/>
    <w:rsid w:val="00EF652C"/>
    <w:rsid w:val="00EF737A"/>
    <w:rsid w:val="00EF7E80"/>
    <w:rsid w:val="00F00BDB"/>
    <w:rsid w:val="00F018D2"/>
    <w:rsid w:val="00F028E8"/>
    <w:rsid w:val="00F02B18"/>
    <w:rsid w:val="00F0345F"/>
    <w:rsid w:val="00F03C18"/>
    <w:rsid w:val="00F05019"/>
    <w:rsid w:val="00F0545F"/>
    <w:rsid w:val="00F06565"/>
    <w:rsid w:val="00F0754C"/>
    <w:rsid w:val="00F13870"/>
    <w:rsid w:val="00F216EC"/>
    <w:rsid w:val="00F21F45"/>
    <w:rsid w:val="00F22147"/>
    <w:rsid w:val="00F235DB"/>
    <w:rsid w:val="00F243D7"/>
    <w:rsid w:val="00F27D73"/>
    <w:rsid w:val="00F3191F"/>
    <w:rsid w:val="00F31BAE"/>
    <w:rsid w:val="00F325E4"/>
    <w:rsid w:val="00F33049"/>
    <w:rsid w:val="00F33D8D"/>
    <w:rsid w:val="00F33E3A"/>
    <w:rsid w:val="00F36712"/>
    <w:rsid w:val="00F37D62"/>
    <w:rsid w:val="00F40577"/>
    <w:rsid w:val="00F4490F"/>
    <w:rsid w:val="00F50CC7"/>
    <w:rsid w:val="00F51AEC"/>
    <w:rsid w:val="00F52855"/>
    <w:rsid w:val="00F54BEE"/>
    <w:rsid w:val="00F54EC0"/>
    <w:rsid w:val="00F5590D"/>
    <w:rsid w:val="00F61337"/>
    <w:rsid w:val="00F613C9"/>
    <w:rsid w:val="00F6197D"/>
    <w:rsid w:val="00F6253A"/>
    <w:rsid w:val="00F6307D"/>
    <w:rsid w:val="00F63707"/>
    <w:rsid w:val="00F64AE8"/>
    <w:rsid w:val="00F65437"/>
    <w:rsid w:val="00F65451"/>
    <w:rsid w:val="00F655E6"/>
    <w:rsid w:val="00F661B5"/>
    <w:rsid w:val="00F66AFA"/>
    <w:rsid w:val="00F71453"/>
    <w:rsid w:val="00F72D0A"/>
    <w:rsid w:val="00F72FBB"/>
    <w:rsid w:val="00F74C0F"/>
    <w:rsid w:val="00F75F6B"/>
    <w:rsid w:val="00F77B9D"/>
    <w:rsid w:val="00F77EFB"/>
    <w:rsid w:val="00F77FED"/>
    <w:rsid w:val="00F803A9"/>
    <w:rsid w:val="00F806BF"/>
    <w:rsid w:val="00F82032"/>
    <w:rsid w:val="00F8236D"/>
    <w:rsid w:val="00F8360A"/>
    <w:rsid w:val="00F83F12"/>
    <w:rsid w:val="00F83FF0"/>
    <w:rsid w:val="00F847CD"/>
    <w:rsid w:val="00F90C56"/>
    <w:rsid w:val="00F90D9A"/>
    <w:rsid w:val="00F918F0"/>
    <w:rsid w:val="00F92239"/>
    <w:rsid w:val="00F940A1"/>
    <w:rsid w:val="00F9549C"/>
    <w:rsid w:val="00F975B3"/>
    <w:rsid w:val="00F97874"/>
    <w:rsid w:val="00FA0B83"/>
    <w:rsid w:val="00FA1E2F"/>
    <w:rsid w:val="00FA3241"/>
    <w:rsid w:val="00FA3F6F"/>
    <w:rsid w:val="00FA3F93"/>
    <w:rsid w:val="00FA5E4C"/>
    <w:rsid w:val="00FA7BEB"/>
    <w:rsid w:val="00FB0677"/>
    <w:rsid w:val="00FB2CC9"/>
    <w:rsid w:val="00FB2CD1"/>
    <w:rsid w:val="00FB33AE"/>
    <w:rsid w:val="00FB440B"/>
    <w:rsid w:val="00FB56E9"/>
    <w:rsid w:val="00FB6303"/>
    <w:rsid w:val="00FC0228"/>
    <w:rsid w:val="00FC1D51"/>
    <w:rsid w:val="00FC3315"/>
    <w:rsid w:val="00FC45CE"/>
    <w:rsid w:val="00FC4F97"/>
    <w:rsid w:val="00FC7C9E"/>
    <w:rsid w:val="00FD02F8"/>
    <w:rsid w:val="00FD102B"/>
    <w:rsid w:val="00FD2BDD"/>
    <w:rsid w:val="00FD3F8D"/>
    <w:rsid w:val="00FD517F"/>
    <w:rsid w:val="00FD6620"/>
    <w:rsid w:val="00FD6B08"/>
    <w:rsid w:val="00FD7FEC"/>
    <w:rsid w:val="00FE050F"/>
    <w:rsid w:val="00FE084B"/>
    <w:rsid w:val="00FE222D"/>
    <w:rsid w:val="00FE2530"/>
    <w:rsid w:val="00FE2803"/>
    <w:rsid w:val="00FE3ABC"/>
    <w:rsid w:val="00FE4660"/>
    <w:rsid w:val="00FE4935"/>
    <w:rsid w:val="00FE52BE"/>
    <w:rsid w:val="00FE5890"/>
    <w:rsid w:val="00FE6136"/>
    <w:rsid w:val="00FF015B"/>
    <w:rsid w:val="00FF0486"/>
    <w:rsid w:val="00FF0871"/>
    <w:rsid w:val="00FF1433"/>
    <w:rsid w:val="00FF359A"/>
    <w:rsid w:val="00FF6B5D"/>
    <w:rsid w:val="00FF7326"/>
    <w:rsid w:val="00FF7FA2"/>
    <w:rsid w:val="05A241AC"/>
    <w:rsid w:val="05D2FB28"/>
    <w:rsid w:val="06514D34"/>
    <w:rsid w:val="06B32C89"/>
    <w:rsid w:val="07B1683F"/>
    <w:rsid w:val="13B44E6E"/>
    <w:rsid w:val="14894CDF"/>
    <w:rsid w:val="17639D26"/>
    <w:rsid w:val="17913AF9"/>
    <w:rsid w:val="1CD6A5CF"/>
    <w:rsid w:val="1CF620FC"/>
    <w:rsid w:val="1D297C44"/>
    <w:rsid w:val="1DC889D2"/>
    <w:rsid w:val="1EDD378A"/>
    <w:rsid w:val="20000A58"/>
    <w:rsid w:val="249E146B"/>
    <w:rsid w:val="24BC96BF"/>
    <w:rsid w:val="2822006B"/>
    <w:rsid w:val="29414BFC"/>
    <w:rsid w:val="2A2B810F"/>
    <w:rsid w:val="312AB954"/>
    <w:rsid w:val="32C5D30F"/>
    <w:rsid w:val="38BDB681"/>
    <w:rsid w:val="412A62E1"/>
    <w:rsid w:val="44916CB7"/>
    <w:rsid w:val="4629901B"/>
    <w:rsid w:val="46418D49"/>
    <w:rsid w:val="48617CBA"/>
    <w:rsid w:val="48C28293"/>
    <w:rsid w:val="4AD46D8E"/>
    <w:rsid w:val="555B1943"/>
    <w:rsid w:val="56821C3E"/>
    <w:rsid w:val="568339D8"/>
    <w:rsid w:val="57471B04"/>
    <w:rsid w:val="5B062108"/>
    <w:rsid w:val="5B70FFD1"/>
    <w:rsid w:val="5D005371"/>
    <w:rsid w:val="5FF95152"/>
    <w:rsid w:val="611058C6"/>
    <w:rsid w:val="61AF0D50"/>
    <w:rsid w:val="640B2A61"/>
    <w:rsid w:val="64B052F3"/>
    <w:rsid w:val="671D040C"/>
    <w:rsid w:val="6D4E6C9C"/>
    <w:rsid w:val="6EEB27DC"/>
    <w:rsid w:val="712A8ECA"/>
    <w:rsid w:val="72D1D8B3"/>
    <w:rsid w:val="78CC870C"/>
    <w:rsid w:val="78E0C209"/>
    <w:rsid w:val="79EBE60F"/>
    <w:rsid w:val="7B0ED137"/>
    <w:rsid w:val="7BCEF809"/>
    <w:rsid w:val="7BD67555"/>
    <w:rsid w:val="7C82D627"/>
    <w:rsid w:val="7D14699E"/>
    <w:rsid w:val="7EC0F503"/>
    <w:rsid w:val="7F6F137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C1D45541-253D-49BE-81F4-142F1EAC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5"/>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5"/>
      </w:numPr>
      <w:spacing w:after="120"/>
      <w:outlineLvl w:val="1"/>
    </w:pPr>
    <w:rPr>
      <w:b/>
    </w:rPr>
  </w:style>
  <w:style w:type="paragraph" w:styleId="Heading3">
    <w:name w:val="heading 3"/>
    <w:basedOn w:val="Normal"/>
    <w:next w:val="ParaNum"/>
    <w:qFormat/>
    <w:pPr>
      <w:keepNext/>
      <w:numPr>
        <w:ilvl w:val="2"/>
        <w:numId w:val="5"/>
      </w:numPr>
      <w:tabs>
        <w:tab w:val="left" w:pos="2160"/>
      </w:tabs>
      <w:spacing w:after="120"/>
      <w:outlineLvl w:val="2"/>
    </w:pPr>
    <w:rPr>
      <w:b/>
    </w:rPr>
  </w:style>
  <w:style w:type="paragraph" w:styleId="Heading4">
    <w:name w:val="heading 4"/>
    <w:basedOn w:val="Normal"/>
    <w:next w:val="ParaNum"/>
    <w:qFormat/>
    <w:pPr>
      <w:keepNext/>
      <w:numPr>
        <w:ilvl w:val="3"/>
        <w:numId w:val="5"/>
      </w:numPr>
      <w:tabs>
        <w:tab w:val="left" w:pos="2880"/>
      </w:tabs>
      <w:spacing w:after="120"/>
      <w:outlineLvl w:val="3"/>
    </w:pPr>
    <w:rPr>
      <w:b/>
    </w:rPr>
  </w:style>
  <w:style w:type="paragraph" w:styleId="Heading5">
    <w:name w:val="heading 5"/>
    <w:basedOn w:val="Normal"/>
    <w:next w:val="ParaNum"/>
    <w:qFormat/>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pPr>
      <w:numPr>
        <w:ilvl w:val="5"/>
        <w:numId w:val="5"/>
      </w:numPr>
      <w:tabs>
        <w:tab w:val="left" w:pos="4320"/>
      </w:tabs>
      <w:spacing w:after="120"/>
      <w:outlineLvl w:val="5"/>
    </w:pPr>
    <w:rPr>
      <w:b/>
    </w:rPr>
  </w:style>
  <w:style w:type="paragraph" w:styleId="Heading7">
    <w:name w:val="heading 7"/>
    <w:basedOn w:val="Normal"/>
    <w:next w:val="ParaNum"/>
    <w:qFormat/>
    <w:pPr>
      <w:numPr>
        <w:ilvl w:val="6"/>
        <w:numId w:val="5"/>
      </w:numPr>
      <w:tabs>
        <w:tab w:val="left" w:pos="5040"/>
      </w:tabs>
      <w:spacing w:after="120"/>
      <w:ind w:left="5040" w:hanging="720"/>
      <w:outlineLvl w:val="6"/>
    </w:pPr>
    <w:rPr>
      <w:b/>
    </w:rPr>
  </w:style>
  <w:style w:type="paragraph" w:styleId="Heading8">
    <w:name w:val="heading 8"/>
    <w:basedOn w:val="Normal"/>
    <w:next w:val="ParaNum"/>
    <w:qFormat/>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4"/>
      </w:numPr>
      <w:spacing w:after="120"/>
    </w:pPr>
  </w:style>
  <w:style w:type="paragraph" w:styleId="FootnoteText">
    <w:name w:val="footnote text"/>
    <w:aliases w:val="Footnote Text Char,Footnote Text Char Char Char,Footnote Text Char Char Char Char Char,Footnote Text Char1 Char,Footnote Text Char1 Char Char Char,Footnote Text Char1 Char Char Char Char Char,Footnote Text Char3 Char Char Char,ft Char Char"/>
    <w:link w:val="FootnoteTextChar1"/>
    <w:qFormat/>
    <w:pPr>
      <w:spacing w:after="120"/>
    </w:p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sz w:val="22"/>
      <w:vertAlign w:val="superscript"/>
    </w:rPr>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StyleLinespacingDouble">
    <w:name w:val="Style Line spacing:  Double"/>
    <w:basedOn w:val="Normal"/>
    <w:next w:val="Signature"/>
    <w:pPr>
      <w:spacing w:line="480" w:lineRule="auto"/>
    </w:pPr>
  </w:style>
  <w:style w:type="paragraph" w:customStyle="1" w:styleId="Style10">
    <w:name w:val="Style1"/>
    <w:basedOn w:val="Normal"/>
    <w:rPr>
      <w:szCs w:val="22"/>
    </w:rPr>
  </w:style>
  <w:style w:type="paragraph" w:styleId="Signature">
    <w:name w:val="Signature"/>
    <w:basedOn w:val="Normal"/>
    <w:pPr>
      <w:ind w:left="4320"/>
    </w:pPr>
  </w:style>
  <w:style w:type="paragraph" w:customStyle="1" w:styleId="Style2">
    <w:name w:val="Style2"/>
    <w:basedOn w:val="Normal"/>
    <w:rPr>
      <w:szCs w:val="22"/>
    </w:rPr>
  </w:style>
  <w:style w:type="paragraph" w:styleId="BalloonText">
    <w:name w:val="Balloon Text"/>
    <w:basedOn w:val="Normal"/>
    <w:semiHidden/>
    <w:rPr>
      <w:rFonts w:ascii="Tahoma" w:hAnsi="Tahoma" w:cs="Tahoma"/>
      <w:sz w:val="16"/>
      <w:szCs w:val="16"/>
    </w:rPr>
  </w:style>
  <w:style w:type="paragraph" w:styleId="List2">
    <w:name w:val="List 2"/>
    <w:basedOn w:val="Normal"/>
    <w:pPr>
      <w:ind w:left="720" w:hanging="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customStyle="1" w:styleId="ParaNumChar">
    <w:name w:val="ParaNum Char"/>
    <w:link w:val="ParaNum"/>
    <w:rPr>
      <w:snapToGrid w:val="0"/>
      <w:kern w:val="28"/>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Jay">
    <w:name w:val="Jay"/>
    <w:basedOn w:val="ParaNum"/>
    <w:link w:val="JayChar"/>
  </w:style>
  <w:style w:type="character" w:customStyle="1" w:styleId="JayChar">
    <w:name w:val="Jay Char"/>
    <w:link w:val="Jay"/>
    <w:rPr>
      <w:snapToGrid w:val="0"/>
      <w:kern w:val="28"/>
      <w:sz w:val="22"/>
      <w:lang w:val="en-US" w:eastAsia="en-US" w:bidi="ar-SA"/>
    </w:rPr>
  </w:style>
  <w:style w:type="paragraph" w:customStyle="1" w:styleId="Jay1">
    <w:name w:val="Jay1"/>
    <w:basedOn w:val="ParaNum"/>
    <w:link w:val="Jay1Char"/>
  </w:style>
  <w:style w:type="character" w:customStyle="1" w:styleId="Jay1Char">
    <w:name w:val="Jay1 Char"/>
    <w:link w:val="Jay1"/>
    <w:rPr>
      <w:snapToGrid w:val="0"/>
      <w:kern w:val="28"/>
      <w:sz w:val="22"/>
      <w:lang w:val="en-US" w:eastAsia="en-US" w:bidi="ar-SA"/>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
    <w:link w:val="FootnoteText"/>
    <w:rPr>
      <w:lang w:val="en-US" w:eastAsia="en-US" w:bidi="ar-SA"/>
    </w:rPr>
  </w:style>
  <w:style w:type="character" w:styleId="CommentReference">
    <w:name w:val="annotation reference"/>
    <w:rsid w:val="002A0734"/>
    <w:rPr>
      <w:sz w:val="16"/>
      <w:szCs w:val="16"/>
    </w:rPr>
  </w:style>
  <w:style w:type="paragraph" w:styleId="CommentText">
    <w:name w:val="annotation text"/>
    <w:basedOn w:val="Normal"/>
    <w:link w:val="CommentTextChar"/>
    <w:rsid w:val="002A0734"/>
    <w:rPr>
      <w:sz w:val="20"/>
    </w:rPr>
  </w:style>
  <w:style w:type="character" w:customStyle="1" w:styleId="CommentTextChar">
    <w:name w:val="Comment Text Char"/>
    <w:link w:val="CommentText"/>
    <w:rsid w:val="002A0734"/>
    <w:rPr>
      <w:snapToGrid w:val="0"/>
      <w:kern w:val="28"/>
    </w:rPr>
  </w:style>
  <w:style w:type="paragraph" w:styleId="CommentSubject">
    <w:name w:val="annotation subject"/>
    <w:basedOn w:val="CommentText"/>
    <w:next w:val="CommentText"/>
    <w:link w:val="CommentSubjectChar"/>
    <w:rsid w:val="002A0734"/>
    <w:rPr>
      <w:b/>
      <w:bCs/>
    </w:rPr>
  </w:style>
  <w:style w:type="character" w:customStyle="1" w:styleId="CommentSubjectChar">
    <w:name w:val="Comment Subject Char"/>
    <w:link w:val="CommentSubject"/>
    <w:rsid w:val="002A0734"/>
    <w:rPr>
      <w:b/>
      <w:bCs/>
      <w:snapToGrid w:val="0"/>
      <w:kern w:val="28"/>
    </w:rPr>
  </w:style>
  <w:style w:type="character" w:customStyle="1" w:styleId="FootnoteTextChar1CharCharChar1">
    <w:name w:val="Footnote Text Char1 Char Char Char1"/>
    <w:aliases w:val="ALTS FOOTNOTE Char,FOOT Char,Footnote Text Char Char1,Footnote Text Char1 Char1 Char Char,Footnote Text Char1 Char1 Char1,Footnote Text Char2 Char,Footnote Text Char2 Char Char Char,Footnote Text Char3,f Char,fn Char"/>
    <w:rsid w:val="00CE3CED"/>
    <w:rPr>
      <w:rFonts w:eastAsia="MS Mincho"/>
      <w:lang w:val="en-US" w:eastAsia="ja-JP" w:bidi="ar-SA"/>
    </w:rPr>
  </w:style>
  <w:style w:type="character" w:customStyle="1" w:styleId="UnresolvedMention1">
    <w:name w:val="Unresolved Mention1"/>
    <w:uiPriority w:val="99"/>
    <w:semiHidden/>
    <w:unhideWhenUsed/>
    <w:rsid w:val="00B35010"/>
    <w:rPr>
      <w:color w:val="808080"/>
      <w:shd w:val="clear" w:color="auto" w:fill="E6E6E6"/>
    </w:rPr>
  </w:style>
  <w:style w:type="character" w:customStyle="1" w:styleId="cosearchterm">
    <w:name w:val="co_searchterm"/>
    <w:rsid w:val="006F1ECE"/>
  </w:style>
  <w:style w:type="character" w:customStyle="1" w:styleId="ParaNumCharChar1">
    <w:name w:val="ParaNum Char Char1"/>
    <w:locked/>
    <w:rsid w:val="00472EBF"/>
    <w:rPr>
      <w:snapToGrid w:val="0"/>
      <w:kern w:val="28"/>
      <w:sz w:val="22"/>
    </w:rPr>
  </w:style>
  <w:style w:type="paragraph" w:styleId="Revision">
    <w:name w:val="Revision"/>
    <w:hidden/>
    <w:uiPriority w:val="99"/>
    <w:semiHidden/>
    <w:rsid w:val="000A0216"/>
    <w:rPr>
      <w:snapToGrid w:val="0"/>
      <w:kern w:val="28"/>
      <w:sz w:val="22"/>
    </w:rPr>
  </w:style>
  <w:style w:type="character" w:styleId="Emphasis">
    <w:name w:val="Emphasis"/>
    <w:basedOn w:val="DefaultParagraphFont"/>
    <w:uiPriority w:val="20"/>
    <w:qFormat/>
    <w:rsid w:val="00766528"/>
    <w:rPr>
      <w:i/>
      <w:iCs/>
    </w:rPr>
  </w:style>
  <w:style w:type="paragraph" w:styleId="NormalWeb">
    <w:name w:val="Normal (Web)"/>
    <w:basedOn w:val="Normal"/>
    <w:uiPriority w:val="99"/>
    <w:unhideWhenUsed/>
    <w:rsid w:val="00581F5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Jay.Nacpil\Desktop\Work\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