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14F6C94A" w14:textId="77777777">
      <w:pPr>
        <w:jc w:val="right"/>
        <w:rPr>
          <w:sz w:val="24"/>
        </w:rPr>
      </w:pPr>
    </w:p>
    <w:p w:rsidR="00013A8B" w:rsidRPr="00B20363" w:rsidP="00013A8B" w14:paraId="5A94D62E" w14:textId="77777777">
      <w:pPr>
        <w:jc w:val="right"/>
        <w:rPr>
          <w:b/>
          <w:sz w:val="24"/>
        </w:rPr>
      </w:pPr>
      <w:r>
        <w:rPr>
          <w:b/>
          <w:sz w:val="24"/>
        </w:rPr>
        <w:t>DA</w:t>
      </w:r>
      <w:r w:rsidR="007702D7">
        <w:rPr>
          <w:b/>
          <w:sz w:val="24"/>
        </w:rPr>
        <w:t xml:space="preserve"> </w:t>
      </w:r>
      <w:r>
        <w:rPr>
          <w:b/>
          <w:sz w:val="24"/>
        </w:rPr>
        <w:t>20-</w:t>
      </w:r>
      <w:r w:rsidRPr="004219A3" w:rsidR="004219A3">
        <w:rPr>
          <w:b/>
          <w:sz w:val="24"/>
        </w:rPr>
        <w:t>1015</w:t>
      </w:r>
    </w:p>
    <w:p w:rsidR="00013A8B" w:rsidRPr="00B20363" w:rsidP="00013A8B" w14:paraId="1AE97955" w14:textId="77777777">
      <w:pPr>
        <w:spacing w:before="60"/>
        <w:jc w:val="right"/>
        <w:rPr>
          <w:b/>
          <w:sz w:val="24"/>
        </w:rPr>
      </w:pPr>
      <w:r>
        <w:rPr>
          <w:b/>
          <w:sz w:val="24"/>
        </w:rPr>
        <w:t xml:space="preserve">September </w:t>
      </w:r>
      <w:r w:rsidR="004219A3">
        <w:rPr>
          <w:b/>
          <w:sz w:val="24"/>
        </w:rPr>
        <w:t>2</w:t>
      </w:r>
      <w:r w:rsidR="005C362F">
        <w:rPr>
          <w:b/>
          <w:sz w:val="24"/>
        </w:rPr>
        <w:t>, 2020</w:t>
      </w:r>
    </w:p>
    <w:p w:rsidR="00013A8B" w:rsidP="00013A8B" w14:paraId="09E06476" w14:textId="77777777">
      <w:pPr>
        <w:jc w:val="right"/>
        <w:rPr>
          <w:sz w:val="24"/>
        </w:rPr>
      </w:pPr>
    </w:p>
    <w:p w:rsidR="00013A8B" w:rsidRPr="00B20363" w:rsidP="00013A8B" w14:paraId="007AA749" w14:textId="77777777">
      <w:pPr>
        <w:spacing w:after="240"/>
        <w:jc w:val="center"/>
        <w:rPr>
          <w:rFonts w:ascii="Times New Roman Bold" w:hAnsi="Times New Roman Bold"/>
          <w:b/>
          <w:caps/>
          <w:sz w:val="24"/>
        </w:rPr>
      </w:pPr>
      <w:r>
        <w:rPr>
          <w:rFonts w:ascii="Times New Roman Bold" w:hAnsi="Times New Roman Bold"/>
          <w:b/>
          <w:caps/>
          <w:sz w:val="24"/>
        </w:rPr>
        <w:t xml:space="preserve">Applications filed for </w:t>
      </w:r>
      <w:r w:rsidR="00B86A74">
        <w:rPr>
          <w:rFonts w:ascii="Times New Roman Bold" w:hAnsi="Times New Roman Bold"/>
          <w:b/>
          <w:caps/>
          <w:sz w:val="24"/>
        </w:rPr>
        <w:t xml:space="preserve">assignment and </w:t>
      </w:r>
      <w:r>
        <w:rPr>
          <w:rFonts w:ascii="Times New Roman Bold" w:hAnsi="Times New Roman Bold"/>
          <w:b/>
          <w:caps/>
          <w:sz w:val="24"/>
        </w:rPr>
        <w:t xml:space="preserve">transfer of control </w:t>
      </w:r>
      <w:r w:rsidR="00B86A74">
        <w:rPr>
          <w:rFonts w:ascii="Times New Roman Bold" w:hAnsi="Times New Roman Bold"/>
          <w:b/>
          <w:caps/>
          <w:sz w:val="24"/>
        </w:rPr>
        <w:t xml:space="preserve">by </w:t>
      </w:r>
      <w:r w:rsidRPr="004B070B">
        <w:rPr>
          <w:rFonts w:ascii="Times New Roman Bold" w:hAnsi="Times New Roman Bold"/>
          <w:b/>
          <w:caps/>
          <w:sz w:val="24"/>
        </w:rPr>
        <w:t>WorldVu Satellites Limited, Debtor-in-Possession</w:t>
      </w:r>
    </w:p>
    <w:p w:rsidR="00013A8B" w:rsidP="00013A8B" w14:paraId="7C7059A2" w14:textId="77777777">
      <w:pPr>
        <w:spacing w:after="240"/>
        <w:jc w:val="center"/>
        <w:rPr>
          <w:b/>
          <w:sz w:val="24"/>
        </w:rPr>
      </w:pPr>
      <w:r>
        <w:rPr>
          <w:b/>
          <w:sz w:val="24"/>
        </w:rPr>
        <w:t>Pleading Cycle Established</w:t>
      </w:r>
    </w:p>
    <w:p w:rsidR="00013A8B" w:rsidP="00013A8B" w14:paraId="7D2B8BF1" w14:textId="77777777">
      <w:pPr>
        <w:jc w:val="center"/>
        <w:rPr>
          <w:b/>
          <w:sz w:val="24"/>
        </w:rPr>
      </w:pPr>
      <w:r>
        <w:rPr>
          <w:b/>
          <w:sz w:val="24"/>
        </w:rPr>
        <w:t>IB Docket No. 20-</w:t>
      </w:r>
      <w:r w:rsidR="00EE1F3F">
        <w:rPr>
          <w:b/>
          <w:sz w:val="24"/>
        </w:rPr>
        <w:t>290</w:t>
      </w:r>
    </w:p>
    <w:p w:rsidR="00F96F63" w:rsidP="00F96F63" w14:paraId="0AA49E1B" w14:textId="77777777">
      <w:pPr>
        <w:rPr>
          <w:sz w:val="24"/>
        </w:rPr>
      </w:pPr>
    </w:p>
    <w:p w:rsidR="005C362F" w:rsidRPr="00471580" w:rsidP="005C362F" w14:paraId="68522788" w14:textId="77777777">
      <w:pPr>
        <w:pStyle w:val="NoSpacing"/>
        <w:rPr>
          <w:b/>
          <w:szCs w:val="22"/>
        </w:rPr>
      </w:pPr>
      <w:r w:rsidRPr="00471580">
        <w:rPr>
          <w:b/>
          <w:szCs w:val="22"/>
        </w:rPr>
        <w:t xml:space="preserve">Comments Due:  </w:t>
      </w:r>
      <w:r w:rsidR="00DE5C3C">
        <w:rPr>
          <w:b/>
          <w:szCs w:val="22"/>
        </w:rPr>
        <w:t xml:space="preserve">October </w:t>
      </w:r>
      <w:r w:rsidR="004219A3">
        <w:rPr>
          <w:b/>
          <w:szCs w:val="22"/>
        </w:rPr>
        <w:t>2</w:t>
      </w:r>
      <w:r w:rsidRPr="00CE42B4" w:rsidR="00CE42B4">
        <w:rPr>
          <w:b/>
          <w:szCs w:val="22"/>
        </w:rPr>
        <w:t>, 2020</w:t>
      </w:r>
    </w:p>
    <w:p w:rsidR="005C362F" w:rsidRPr="00471580" w:rsidP="005C362F" w14:paraId="32C36F50" w14:textId="27563AF9">
      <w:pPr>
        <w:pStyle w:val="NoSpacing"/>
        <w:rPr>
          <w:b/>
          <w:szCs w:val="22"/>
        </w:rPr>
      </w:pPr>
      <w:r w:rsidRPr="00471580">
        <w:rPr>
          <w:b/>
          <w:szCs w:val="22"/>
        </w:rPr>
        <w:t xml:space="preserve">Reply Comments Due:  </w:t>
      </w:r>
      <w:r w:rsidRPr="00CE42B4" w:rsidR="00CE42B4">
        <w:rPr>
          <w:b/>
          <w:szCs w:val="22"/>
        </w:rPr>
        <w:t xml:space="preserve">October </w:t>
      </w:r>
      <w:r w:rsidR="00421B71">
        <w:rPr>
          <w:b/>
          <w:szCs w:val="22"/>
        </w:rPr>
        <w:t>19</w:t>
      </w:r>
      <w:bookmarkStart w:id="0" w:name="_GoBack"/>
      <w:bookmarkEnd w:id="0"/>
      <w:r w:rsidRPr="00CE42B4" w:rsidR="00CE42B4">
        <w:rPr>
          <w:b/>
          <w:szCs w:val="22"/>
        </w:rPr>
        <w:t>, 2020</w:t>
      </w:r>
    </w:p>
    <w:p w:rsidR="005C362F" w:rsidP="00F96F63" w14:paraId="0E9220EA" w14:textId="77777777">
      <w:pPr>
        <w:rPr>
          <w:sz w:val="24"/>
        </w:rPr>
      </w:pPr>
    </w:p>
    <w:p w:rsidR="00BA036D" w:rsidP="00CD3F4F" w14:paraId="1705641D" w14:textId="77777777">
      <w:pPr>
        <w:spacing w:after="120"/>
        <w:ind w:firstLine="720"/>
        <w:rPr>
          <w:szCs w:val="22"/>
        </w:rPr>
      </w:pPr>
      <w:r w:rsidRPr="005C362F">
        <w:rPr>
          <w:szCs w:val="22"/>
        </w:rPr>
        <w:t xml:space="preserve">By this Public Notice, the International Bureau and Office of Engineering and Technology seek comment from interested parties on </w:t>
      </w:r>
      <w:r w:rsidR="004454A8">
        <w:rPr>
          <w:szCs w:val="22"/>
        </w:rPr>
        <w:t>the requests of</w:t>
      </w:r>
      <w:r w:rsidRPr="005C362F">
        <w:rPr>
          <w:szCs w:val="22"/>
        </w:rPr>
        <w:t xml:space="preserve"> </w:t>
      </w:r>
      <w:r w:rsidRPr="005C362F">
        <w:rPr>
          <w:szCs w:val="22"/>
        </w:rPr>
        <w:t>WorldVu</w:t>
      </w:r>
      <w:r w:rsidRPr="005C362F">
        <w:rPr>
          <w:szCs w:val="22"/>
        </w:rPr>
        <w:t xml:space="preserve"> Satellites Limited, Debtor-in-Possession (</w:t>
      </w:r>
      <w:r w:rsidRPr="005C362F">
        <w:rPr>
          <w:szCs w:val="22"/>
        </w:rPr>
        <w:t>OneWeb</w:t>
      </w:r>
      <w:r w:rsidRPr="005C362F">
        <w:rPr>
          <w:szCs w:val="22"/>
        </w:rPr>
        <w:t xml:space="preserve"> DIP) and </w:t>
      </w:r>
      <w:r w:rsidRPr="005C362F">
        <w:rPr>
          <w:szCs w:val="22"/>
        </w:rPr>
        <w:t>BidCo</w:t>
      </w:r>
      <w:r w:rsidRPr="005C362F">
        <w:rPr>
          <w:szCs w:val="22"/>
        </w:rPr>
        <w:t xml:space="preserve"> Limited 100 (</w:t>
      </w:r>
      <w:r w:rsidRPr="005C362F">
        <w:rPr>
          <w:szCs w:val="22"/>
        </w:rPr>
        <w:t>BidCo</w:t>
      </w:r>
      <w:r w:rsidR="00F97CCF">
        <w:rPr>
          <w:szCs w:val="22"/>
        </w:rPr>
        <w:t>)</w:t>
      </w:r>
      <w:r w:rsidRPr="005C362F">
        <w:rPr>
          <w:szCs w:val="22"/>
        </w:rPr>
        <w:t xml:space="preserve"> </w:t>
      </w:r>
      <w:r w:rsidR="00F97CCF">
        <w:rPr>
          <w:szCs w:val="22"/>
        </w:rPr>
        <w:t>(</w:t>
      </w:r>
      <w:r w:rsidRPr="005C362F">
        <w:rPr>
          <w:szCs w:val="22"/>
        </w:rPr>
        <w:t>together</w:t>
      </w:r>
      <w:r>
        <w:rPr>
          <w:szCs w:val="22"/>
        </w:rPr>
        <w:t xml:space="preserve"> </w:t>
      </w:r>
      <w:r w:rsidRPr="005C362F">
        <w:rPr>
          <w:szCs w:val="22"/>
        </w:rPr>
        <w:t xml:space="preserve">with </w:t>
      </w:r>
      <w:r w:rsidRPr="005C362F">
        <w:rPr>
          <w:szCs w:val="22"/>
        </w:rPr>
        <w:t>OneWeb</w:t>
      </w:r>
      <w:r w:rsidRPr="005C362F">
        <w:rPr>
          <w:szCs w:val="22"/>
        </w:rPr>
        <w:t xml:space="preserve"> DIP, the Applicants)</w:t>
      </w:r>
      <w:r w:rsidR="001A13EF">
        <w:rPr>
          <w:szCs w:val="22"/>
        </w:rPr>
        <w:t xml:space="preserve"> </w:t>
      </w:r>
      <w:r w:rsidR="004454A8">
        <w:rPr>
          <w:szCs w:val="22"/>
        </w:rPr>
        <w:t xml:space="preserve">for Commission consent to the </w:t>
      </w:r>
      <w:r w:rsidR="00F97CCF">
        <w:rPr>
          <w:szCs w:val="22"/>
        </w:rPr>
        <w:t xml:space="preserve">assignment and </w:t>
      </w:r>
      <w:r w:rsidRPr="001A13EF" w:rsidR="00F97CCF">
        <w:rPr>
          <w:szCs w:val="22"/>
        </w:rPr>
        <w:t xml:space="preserve">transfer of control </w:t>
      </w:r>
      <w:r w:rsidR="00F97CCF">
        <w:rPr>
          <w:szCs w:val="22"/>
        </w:rPr>
        <w:t xml:space="preserve">of licenses and market access grants </w:t>
      </w:r>
      <w:r w:rsidRPr="001A13EF" w:rsidR="00F97CCF">
        <w:rPr>
          <w:szCs w:val="22"/>
        </w:rPr>
        <w:t xml:space="preserve">that </w:t>
      </w:r>
      <w:r w:rsidR="00F97CCF">
        <w:rPr>
          <w:szCs w:val="22"/>
        </w:rPr>
        <w:t>would</w:t>
      </w:r>
      <w:r w:rsidRPr="001A13EF" w:rsidR="00F97CCF">
        <w:rPr>
          <w:szCs w:val="22"/>
        </w:rPr>
        <w:t xml:space="preserve"> occur </w:t>
      </w:r>
      <w:r w:rsidR="00F97CCF">
        <w:rPr>
          <w:szCs w:val="22"/>
        </w:rPr>
        <w:t xml:space="preserve">under a </w:t>
      </w:r>
      <w:r w:rsidRPr="00B86A74" w:rsidR="00F97CCF">
        <w:rPr>
          <w:szCs w:val="22"/>
        </w:rPr>
        <w:t>plan</w:t>
      </w:r>
      <w:r w:rsidR="00F97CCF">
        <w:rPr>
          <w:szCs w:val="22"/>
        </w:rPr>
        <w:t>ned</w:t>
      </w:r>
      <w:r w:rsidRPr="00B86A74" w:rsidR="00F97CCF">
        <w:rPr>
          <w:szCs w:val="22"/>
        </w:rPr>
        <w:t xml:space="preserve"> reorganization </w:t>
      </w:r>
      <w:r w:rsidR="00F97CCF">
        <w:rPr>
          <w:szCs w:val="22"/>
        </w:rPr>
        <w:t xml:space="preserve">of </w:t>
      </w:r>
      <w:r w:rsidR="00F97CCF">
        <w:rPr>
          <w:szCs w:val="22"/>
        </w:rPr>
        <w:t>OneWeb</w:t>
      </w:r>
      <w:r w:rsidR="00F97CCF">
        <w:rPr>
          <w:szCs w:val="22"/>
        </w:rPr>
        <w:t xml:space="preserve"> DIP and its emergence from Chapter 11 bankruptcy.</w:t>
      </w:r>
      <w:r>
        <w:rPr>
          <w:rStyle w:val="FootnoteReference"/>
          <w:szCs w:val="22"/>
        </w:rPr>
        <w:footnoteReference w:id="3"/>
      </w:r>
    </w:p>
    <w:p w:rsidR="008B38F6" w:rsidRPr="006159D3" w:rsidP="00CD3F4F" w14:paraId="44DE5B5E" w14:textId="77777777">
      <w:pPr>
        <w:spacing w:after="120"/>
        <w:rPr>
          <w:szCs w:val="22"/>
        </w:rPr>
      </w:pPr>
      <w:r>
        <w:rPr>
          <w:szCs w:val="22"/>
        </w:rPr>
        <w:tab/>
      </w:r>
      <w:r w:rsidRPr="006159D3" w:rsidR="006159D3">
        <w:rPr>
          <w:szCs w:val="22"/>
        </w:rPr>
        <w:t>OneWeb</w:t>
      </w:r>
      <w:r w:rsidRPr="006159D3" w:rsidR="006159D3">
        <w:rPr>
          <w:szCs w:val="22"/>
        </w:rPr>
        <w:t xml:space="preserve"> </w:t>
      </w:r>
      <w:r w:rsidR="006159D3">
        <w:rPr>
          <w:szCs w:val="22"/>
        </w:rPr>
        <w:t xml:space="preserve">DIP </w:t>
      </w:r>
      <w:r w:rsidRPr="006159D3" w:rsidR="006159D3">
        <w:rPr>
          <w:szCs w:val="22"/>
        </w:rPr>
        <w:t xml:space="preserve">is a United Kingdom-based satellite </w:t>
      </w:r>
      <w:r w:rsidR="005978F5">
        <w:rPr>
          <w:szCs w:val="22"/>
        </w:rPr>
        <w:t>operator</w:t>
      </w:r>
      <w:r w:rsidR="00333F35">
        <w:rPr>
          <w:szCs w:val="22"/>
        </w:rPr>
        <w:t xml:space="preserve">.  It </w:t>
      </w:r>
      <w:r w:rsidR="005978F5">
        <w:rPr>
          <w:szCs w:val="22"/>
        </w:rPr>
        <w:t xml:space="preserve">has been granted U.S. market access for a low-Earth orbit, broadband satellite system, </w:t>
      </w:r>
      <w:r w:rsidR="000A5F66">
        <w:rPr>
          <w:szCs w:val="22"/>
        </w:rPr>
        <w:t xml:space="preserve">licenses for </w:t>
      </w:r>
      <w:r w:rsidR="005978F5">
        <w:rPr>
          <w:szCs w:val="22"/>
        </w:rPr>
        <w:t>associated earth station</w:t>
      </w:r>
      <w:r w:rsidR="0056337C">
        <w:rPr>
          <w:szCs w:val="22"/>
        </w:rPr>
        <w:t>s</w:t>
      </w:r>
      <w:r w:rsidR="00333F35">
        <w:rPr>
          <w:szCs w:val="22"/>
        </w:rPr>
        <w:t>, and</w:t>
      </w:r>
      <w:r w:rsidR="005978F5">
        <w:rPr>
          <w:szCs w:val="22"/>
        </w:rPr>
        <w:t xml:space="preserve"> certain experimental licenses</w:t>
      </w:r>
      <w:r>
        <w:rPr>
          <w:szCs w:val="22"/>
        </w:rPr>
        <w:t>.</w:t>
      </w:r>
      <w:r>
        <w:rPr>
          <w:rStyle w:val="FootnoteReference"/>
          <w:szCs w:val="22"/>
        </w:rPr>
        <w:footnoteReference w:id="4"/>
      </w:r>
      <w:r>
        <w:rPr>
          <w:szCs w:val="22"/>
        </w:rPr>
        <w:t xml:space="preserve">  </w:t>
      </w:r>
      <w:r>
        <w:rPr>
          <w:szCs w:val="22"/>
        </w:rPr>
        <w:t>OneWeb</w:t>
      </w:r>
      <w:r>
        <w:rPr>
          <w:szCs w:val="22"/>
        </w:rPr>
        <w:t xml:space="preserve"> DIP currently operates 74 satellites in orbit.</w:t>
      </w:r>
      <w:r>
        <w:rPr>
          <w:rStyle w:val="FootnoteReference"/>
          <w:szCs w:val="22"/>
        </w:rPr>
        <w:footnoteReference w:id="5"/>
      </w:r>
    </w:p>
    <w:p w:rsidR="005F45C8" w:rsidP="00CD3F4F" w14:paraId="2163ECC8" w14:textId="77777777">
      <w:pPr>
        <w:spacing w:after="120"/>
        <w:ind w:firstLine="720"/>
        <w:rPr>
          <w:szCs w:val="22"/>
        </w:rPr>
      </w:pPr>
      <w:r>
        <w:rPr>
          <w:szCs w:val="22"/>
        </w:rPr>
        <w:t>O</w:t>
      </w:r>
      <w:r w:rsidRPr="005F45C8">
        <w:rPr>
          <w:szCs w:val="22"/>
        </w:rPr>
        <w:t xml:space="preserve">n March 27, 2020, </w:t>
      </w:r>
      <w:r w:rsidRPr="005F45C8">
        <w:rPr>
          <w:szCs w:val="22"/>
        </w:rPr>
        <w:t>OneWeb</w:t>
      </w:r>
      <w:r>
        <w:rPr>
          <w:szCs w:val="22"/>
        </w:rPr>
        <w:t xml:space="preserve"> DIP</w:t>
      </w:r>
      <w:r w:rsidRPr="005F45C8">
        <w:rPr>
          <w:szCs w:val="22"/>
        </w:rPr>
        <w:t xml:space="preserve"> and certain of its</w:t>
      </w:r>
      <w:r>
        <w:rPr>
          <w:szCs w:val="22"/>
        </w:rPr>
        <w:t xml:space="preserve"> </w:t>
      </w:r>
      <w:r w:rsidRPr="005F45C8">
        <w:rPr>
          <w:szCs w:val="22"/>
        </w:rPr>
        <w:t>affiliates filed petitions for relief under Chapter 11 of Title 11 of the United States Code.</w:t>
      </w:r>
      <w:r>
        <w:rPr>
          <w:rStyle w:val="FootnoteReference"/>
          <w:szCs w:val="22"/>
        </w:rPr>
        <w:footnoteReference w:id="6"/>
      </w:r>
      <w:r>
        <w:rPr>
          <w:szCs w:val="22"/>
        </w:rPr>
        <w:t xml:space="preserve"> </w:t>
      </w:r>
      <w:r w:rsidRPr="005F45C8">
        <w:rPr>
          <w:szCs w:val="22"/>
        </w:rPr>
        <w:t xml:space="preserve"> Following a competitive sale process supervised by the </w:t>
      </w:r>
      <w:r w:rsidRPr="00571DD3" w:rsidR="00571DD3">
        <w:rPr>
          <w:szCs w:val="22"/>
        </w:rPr>
        <w:t>United States</w:t>
      </w:r>
      <w:r w:rsidR="00571DD3">
        <w:rPr>
          <w:szCs w:val="22"/>
        </w:rPr>
        <w:t xml:space="preserve"> </w:t>
      </w:r>
      <w:r w:rsidRPr="00571DD3" w:rsidR="00571DD3">
        <w:rPr>
          <w:szCs w:val="22"/>
        </w:rPr>
        <w:t>Bankruptcy Court for the Southern District of New York</w:t>
      </w:r>
      <w:r w:rsidRPr="005F45C8">
        <w:rPr>
          <w:szCs w:val="22"/>
        </w:rPr>
        <w:t xml:space="preserve">, </w:t>
      </w:r>
      <w:r w:rsidRPr="005F45C8">
        <w:rPr>
          <w:szCs w:val="22"/>
        </w:rPr>
        <w:t>BidCo</w:t>
      </w:r>
      <w:r w:rsidRPr="005F45C8">
        <w:rPr>
          <w:szCs w:val="22"/>
        </w:rPr>
        <w:t xml:space="preserve"> emerged as the</w:t>
      </w:r>
      <w:r>
        <w:rPr>
          <w:szCs w:val="22"/>
        </w:rPr>
        <w:t xml:space="preserve"> </w:t>
      </w:r>
      <w:r w:rsidRPr="005F45C8">
        <w:rPr>
          <w:szCs w:val="22"/>
        </w:rPr>
        <w:t xml:space="preserve">successful bidder to acquire all of the equity interests in </w:t>
      </w:r>
      <w:r w:rsidRPr="005F45C8">
        <w:rPr>
          <w:szCs w:val="22"/>
        </w:rPr>
        <w:t>OneWeb</w:t>
      </w:r>
      <w:r w:rsidRPr="005F45C8">
        <w:rPr>
          <w:szCs w:val="22"/>
        </w:rPr>
        <w:t xml:space="preserve"> </w:t>
      </w:r>
      <w:r w:rsidR="00571DD3">
        <w:rPr>
          <w:szCs w:val="22"/>
        </w:rPr>
        <w:t xml:space="preserve">DIP’s immediate parent company, </w:t>
      </w:r>
      <w:r w:rsidRPr="00571DD3" w:rsidR="00571DD3">
        <w:rPr>
          <w:szCs w:val="22"/>
        </w:rPr>
        <w:t>OneWeb</w:t>
      </w:r>
      <w:r w:rsidRPr="00571DD3" w:rsidR="00571DD3">
        <w:rPr>
          <w:szCs w:val="22"/>
        </w:rPr>
        <w:t xml:space="preserve"> Communications Limited</w:t>
      </w:r>
      <w:r w:rsidR="00333F35">
        <w:rPr>
          <w:szCs w:val="22"/>
        </w:rPr>
        <w:t>.</w:t>
      </w:r>
      <w:r>
        <w:rPr>
          <w:rStyle w:val="FootnoteReference"/>
          <w:szCs w:val="22"/>
        </w:rPr>
        <w:footnoteReference w:id="7"/>
      </w:r>
    </w:p>
    <w:p w:rsidR="00B21BD3" w:rsidRPr="00B21BD3" w:rsidP="00B21BD3" w14:paraId="117F8103" w14:textId="77777777">
      <w:pPr>
        <w:widowControl/>
        <w:spacing w:after="120"/>
        <w:ind w:firstLine="720"/>
        <w:rPr>
          <w:szCs w:val="22"/>
        </w:rPr>
      </w:pPr>
      <w:r>
        <w:rPr>
          <w:szCs w:val="22"/>
        </w:rPr>
        <w:t xml:space="preserve">Upon completion of the transaction, </w:t>
      </w:r>
      <w:r w:rsidR="002548B0">
        <w:rPr>
          <w:szCs w:val="22"/>
        </w:rPr>
        <w:t xml:space="preserve">and </w:t>
      </w:r>
      <w:r>
        <w:rPr>
          <w:szCs w:val="22"/>
        </w:rPr>
        <w:t>i</w:t>
      </w:r>
      <w:r w:rsidR="007702D7">
        <w:rPr>
          <w:szCs w:val="22"/>
        </w:rPr>
        <w:t xml:space="preserve">n exchange for approximately </w:t>
      </w:r>
      <w:r w:rsidRPr="00AC6196" w:rsidR="007702D7">
        <w:rPr>
          <w:szCs w:val="22"/>
        </w:rPr>
        <w:t>$1 billion of</w:t>
      </w:r>
      <w:r w:rsidR="007702D7">
        <w:rPr>
          <w:szCs w:val="22"/>
        </w:rPr>
        <w:t xml:space="preserve"> </w:t>
      </w:r>
      <w:r w:rsidRPr="00AC6196" w:rsidR="007702D7">
        <w:rPr>
          <w:szCs w:val="22"/>
        </w:rPr>
        <w:t xml:space="preserve">equity commitments to </w:t>
      </w:r>
      <w:r w:rsidRPr="00AC6196" w:rsidR="007702D7">
        <w:rPr>
          <w:szCs w:val="22"/>
        </w:rPr>
        <w:t>BidCo</w:t>
      </w:r>
      <w:r w:rsidR="007702D7">
        <w:rPr>
          <w:szCs w:val="22"/>
        </w:rPr>
        <w:t xml:space="preserve">, </w:t>
      </w:r>
      <w:r w:rsidRPr="00AC6196" w:rsidR="007702D7">
        <w:rPr>
          <w:szCs w:val="22"/>
        </w:rPr>
        <w:t>Bharti Global Limited (Bharti)</w:t>
      </w:r>
      <w:r>
        <w:rPr>
          <w:rStyle w:val="FootnoteReference"/>
          <w:szCs w:val="22"/>
        </w:rPr>
        <w:footnoteReference w:id="8"/>
      </w:r>
      <w:r w:rsidRPr="00AC6196" w:rsidR="007702D7">
        <w:rPr>
          <w:szCs w:val="22"/>
        </w:rPr>
        <w:t xml:space="preserve"> and the United Kingdom’s Secretary of State for Business,</w:t>
      </w:r>
      <w:r w:rsidR="007702D7">
        <w:rPr>
          <w:szCs w:val="22"/>
        </w:rPr>
        <w:t xml:space="preserve"> </w:t>
      </w:r>
      <w:r w:rsidRPr="00AC6196" w:rsidR="007702D7">
        <w:rPr>
          <w:szCs w:val="22"/>
        </w:rPr>
        <w:t>Energy and Industrial Strategy, representing Her Majesty</w:t>
      </w:r>
      <w:r w:rsidR="007702D7">
        <w:rPr>
          <w:szCs w:val="22"/>
        </w:rPr>
        <w:t>’</w:t>
      </w:r>
      <w:r w:rsidRPr="00AC6196" w:rsidR="007702D7">
        <w:rPr>
          <w:szCs w:val="22"/>
        </w:rPr>
        <w:t>s Government (</w:t>
      </w:r>
      <w:r w:rsidR="007702D7">
        <w:rPr>
          <w:szCs w:val="22"/>
        </w:rPr>
        <w:t xml:space="preserve">UK Government) </w:t>
      </w:r>
      <w:r>
        <w:rPr>
          <w:szCs w:val="22"/>
        </w:rPr>
        <w:t>would</w:t>
      </w:r>
      <w:r w:rsidR="000A5F66">
        <w:rPr>
          <w:szCs w:val="22"/>
        </w:rPr>
        <w:t xml:space="preserve"> each</w:t>
      </w:r>
      <w:r w:rsidR="007702D7">
        <w:rPr>
          <w:szCs w:val="22"/>
        </w:rPr>
        <w:t xml:space="preserve"> </w:t>
      </w:r>
      <w:r w:rsidRPr="00AC6196" w:rsidR="007702D7">
        <w:rPr>
          <w:szCs w:val="22"/>
        </w:rPr>
        <w:t xml:space="preserve">directly and individually hold approximately </w:t>
      </w:r>
      <w:r w:rsidRPr="00DE5C3C" w:rsidR="00DE5C3C">
        <w:rPr>
          <w:szCs w:val="22"/>
        </w:rPr>
        <w:t>42.2</w:t>
      </w:r>
      <w:r w:rsidR="00DE5C3C">
        <w:rPr>
          <w:szCs w:val="22"/>
        </w:rPr>
        <w:t xml:space="preserve"> </w:t>
      </w:r>
      <w:r w:rsidR="002548B0">
        <w:rPr>
          <w:szCs w:val="22"/>
        </w:rPr>
        <w:t>percent</w:t>
      </w:r>
      <w:r w:rsidRPr="00AC6196" w:rsidR="007702D7">
        <w:rPr>
          <w:szCs w:val="22"/>
        </w:rPr>
        <w:t xml:space="preserve"> of the</w:t>
      </w:r>
      <w:r w:rsidR="007702D7">
        <w:rPr>
          <w:szCs w:val="22"/>
        </w:rPr>
        <w:t xml:space="preserve"> </w:t>
      </w:r>
      <w:r w:rsidRPr="00AC6196" w:rsidR="007702D7">
        <w:rPr>
          <w:szCs w:val="22"/>
        </w:rPr>
        <w:t xml:space="preserve">voting equity of </w:t>
      </w:r>
      <w:r w:rsidRPr="00AC6196" w:rsidR="007702D7">
        <w:rPr>
          <w:szCs w:val="22"/>
        </w:rPr>
        <w:t>BidCo</w:t>
      </w:r>
      <w:r w:rsidRPr="00AC6196" w:rsidR="007702D7">
        <w:rPr>
          <w:szCs w:val="22"/>
        </w:rPr>
        <w:t xml:space="preserve">, and therefore indirectly and collectively hold approximately </w:t>
      </w:r>
      <w:r w:rsidRPr="00DE5C3C" w:rsidR="00DE5C3C">
        <w:rPr>
          <w:szCs w:val="22"/>
        </w:rPr>
        <w:t>85</w:t>
      </w:r>
      <w:r w:rsidR="00DE5C3C">
        <w:rPr>
          <w:szCs w:val="22"/>
        </w:rPr>
        <w:t xml:space="preserve"> </w:t>
      </w:r>
      <w:r w:rsidR="002548B0">
        <w:rPr>
          <w:szCs w:val="22"/>
        </w:rPr>
        <w:t>percent</w:t>
      </w:r>
      <w:r w:rsidRPr="00AC6196" w:rsidR="007702D7">
        <w:rPr>
          <w:szCs w:val="22"/>
        </w:rPr>
        <w:t xml:space="preserve"> of</w:t>
      </w:r>
      <w:r w:rsidR="007702D7">
        <w:rPr>
          <w:szCs w:val="22"/>
        </w:rPr>
        <w:t xml:space="preserve"> </w:t>
      </w:r>
      <w:r w:rsidRPr="00AC6196" w:rsidR="007702D7">
        <w:rPr>
          <w:szCs w:val="22"/>
        </w:rPr>
        <w:t xml:space="preserve">the voting equity of </w:t>
      </w:r>
      <w:r w:rsidRPr="00AC6196" w:rsidR="007702D7">
        <w:rPr>
          <w:szCs w:val="22"/>
        </w:rPr>
        <w:t>OneWeb</w:t>
      </w:r>
      <w:r w:rsidRPr="00AC6196" w:rsidR="007702D7">
        <w:rPr>
          <w:szCs w:val="22"/>
        </w:rPr>
        <w:t xml:space="preserve"> Communications</w:t>
      </w:r>
      <w:r w:rsidR="0017218F">
        <w:rPr>
          <w:szCs w:val="22"/>
        </w:rPr>
        <w:t xml:space="preserve"> Limited</w:t>
      </w:r>
      <w:r w:rsidRPr="00AC6196" w:rsidR="007702D7">
        <w:rPr>
          <w:szCs w:val="22"/>
        </w:rPr>
        <w:t xml:space="preserve"> and </w:t>
      </w:r>
      <w:r w:rsidR="0020739A">
        <w:rPr>
          <w:szCs w:val="22"/>
        </w:rPr>
        <w:t xml:space="preserve">its wholly owned subsidiary, </w:t>
      </w:r>
      <w:r w:rsidR="007702D7">
        <w:rPr>
          <w:szCs w:val="22"/>
        </w:rPr>
        <w:t>the reorganized</w:t>
      </w:r>
      <w:r w:rsidRPr="00AC6196" w:rsidR="007702D7">
        <w:rPr>
          <w:szCs w:val="22"/>
        </w:rPr>
        <w:t xml:space="preserve"> </w:t>
      </w:r>
      <w:r w:rsidRPr="00AC6196" w:rsidR="007702D7">
        <w:rPr>
          <w:szCs w:val="22"/>
        </w:rPr>
        <w:t>OneWeb</w:t>
      </w:r>
      <w:r w:rsidRPr="00AC6196" w:rsidR="007702D7">
        <w:rPr>
          <w:szCs w:val="22"/>
        </w:rPr>
        <w:t>.</w:t>
      </w:r>
      <w:r>
        <w:rPr>
          <w:rStyle w:val="FootnoteReference"/>
          <w:szCs w:val="22"/>
        </w:rPr>
        <w:footnoteReference w:id="9"/>
      </w:r>
      <w:r w:rsidR="00DE5C3C">
        <w:rPr>
          <w:szCs w:val="22"/>
        </w:rPr>
        <w:t xml:space="preserve">  </w:t>
      </w:r>
      <w:r w:rsidR="00A356C0">
        <w:rPr>
          <w:szCs w:val="22"/>
        </w:rPr>
        <w:t>A</w:t>
      </w:r>
      <w:r w:rsidR="00DE5C3C">
        <w:rPr>
          <w:szCs w:val="22"/>
        </w:rPr>
        <w:t>ddition</w:t>
      </w:r>
      <w:r w:rsidR="00A356C0">
        <w:rPr>
          <w:szCs w:val="22"/>
        </w:rPr>
        <w:t>ally</w:t>
      </w:r>
      <w:r w:rsidR="00DE5C3C">
        <w:rPr>
          <w:szCs w:val="22"/>
        </w:rPr>
        <w:t xml:space="preserve">, </w:t>
      </w:r>
      <w:r w:rsidRPr="00DE5C3C" w:rsidR="00DE5C3C">
        <w:rPr>
          <w:szCs w:val="22"/>
        </w:rPr>
        <w:t>SoftBank Group Corp.</w:t>
      </w:r>
      <w:r w:rsidR="00DE5C3C">
        <w:rPr>
          <w:szCs w:val="22"/>
        </w:rPr>
        <w:t xml:space="preserve"> (SoftBank), an existing secured creditor of </w:t>
      </w:r>
      <w:r w:rsidR="00DE5C3C">
        <w:rPr>
          <w:szCs w:val="22"/>
        </w:rPr>
        <w:t>OneWeb</w:t>
      </w:r>
      <w:r w:rsidR="00DE5C3C">
        <w:rPr>
          <w:szCs w:val="22"/>
        </w:rPr>
        <w:t xml:space="preserve"> DIP, would </w:t>
      </w:r>
      <w:r w:rsidRPr="00DE5C3C" w:rsidR="00DE5C3C">
        <w:rPr>
          <w:szCs w:val="22"/>
        </w:rPr>
        <w:t xml:space="preserve">convert the DIP financing it has provided to </w:t>
      </w:r>
      <w:r w:rsidRPr="00DE5C3C" w:rsidR="00DE5C3C">
        <w:rPr>
          <w:szCs w:val="22"/>
        </w:rPr>
        <w:t>OneWeb</w:t>
      </w:r>
      <w:r w:rsidRPr="00DE5C3C" w:rsidR="00DE5C3C">
        <w:rPr>
          <w:szCs w:val="22"/>
        </w:rPr>
        <w:t xml:space="preserve"> </w:t>
      </w:r>
      <w:r w:rsidR="00222050">
        <w:rPr>
          <w:szCs w:val="22"/>
        </w:rPr>
        <w:t xml:space="preserve">DIP </w:t>
      </w:r>
      <w:r w:rsidRPr="00DE5C3C" w:rsidR="00DE5C3C">
        <w:rPr>
          <w:szCs w:val="22"/>
        </w:rPr>
        <w:t>into</w:t>
      </w:r>
      <w:r w:rsidR="00DE5C3C">
        <w:rPr>
          <w:szCs w:val="22"/>
        </w:rPr>
        <w:t xml:space="preserve"> </w:t>
      </w:r>
      <w:r w:rsidRPr="00DE5C3C" w:rsidR="00DE5C3C">
        <w:rPr>
          <w:szCs w:val="22"/>
        </w:rPr>
        <w:t xml:space="preserve">additional </w:t>
      </w:r>
      <w:r w:rsidRPr="00DE5C3C" w:rsidR="00DE5C3C">
        <w:rPr>
          <w:szCs w:val="22"/>
        </w:rPr>
        <w:t>BidCo</w:t>
      </w:r>
      <w:r w:rsidRPr="00DE5C3C" w:rsidR="00DE5C3C">
        <w:rPr>
          <w:szCs w:val="22"/>
        </w:rPr>
        <w:t xml:space="preserve"> shares </w:t>
      </w:r>
      <w:r w:rsidRPr="00B21BD3">
        <w:rPr>
          <w:szCs w:val="22"/>
        </w:rPr>
        <w:t>in lieu of receiving a cash recovery of approximately $91 million</w:t>
      </w:r>
      <w:r>
        <w:rPr>
          <w:szCs w:val="22"/>
        </w:rPr>
        <w:t>.</w:t>
      </w:r>
      <w:r>
        <w:rPr>
          <w:rStyle w:val="FootnoteReference"/>
          <w:szCs w:val="22"/>
        </w:rPr>
        <w:footnoteReference w:id="10"/>
      </w:r>
      <w:r>
        <w:rPr>
          <w:szCs w:val="22"/>
        </w:rPr>
        <w:t xml:space="preserve">   </w:t>
      </w:r>
      <w:r w:rsidRPr="00B21BD3">
        <w:rPr>
          <w:szCs w:val="22"/>
        </w:rPr>
        <w:t>As a result of this conversion, together with what it would receive</w:t>
      </w:r>
      <w:r>
        <w:rPr>
          <w:szCs w:val="22"/>
        </w:rPr>
        <w:t xml:space="preserve"> </w:t>
      </w:r>
      <w:r w:rsidRPr="00B21BD3">
        <w:rPr>
          <w:szCs w:val="22"/>
        </w:rPr>
        <w:t xml:space="preserve">as a secured creditor, SoftBank </w:t>
      </w:r>
      <w:r w:rsidR="008F2BF5">
        <w:rPr>
          <w:szCs w:val="22"/>
        </w:rPr>
        <w:t xml:space="preserve">would hold </w:t>
      </w:r>
      <w:r w:rsidRPr="00DE5C3C" w:rsidR="008F2BF5">
        <w:rPr>
          <w:szCs w:val="22"/>
        </w:rPr>
        <w:t>an approximately 12.3</w:t>
      </w:r>
      <w:r>
        <w:rPr>
          <w:szCs w:val="22"/>
        </w:rPr>
        <w:t xml:space="preserve"> percent</w:t>
      </w:r>
      <w:r w:rsidRPr="00DE5C3C" w:rsidR="008F2BF5">
        <w:rPr>
          <w:szCs w:val="22"/>
        </w:rPr>
        <w:t xml:space="preserve"> voting interest in </w:t>
      </w:r>
      <w:r w:rsidRPr="00DE5C3C" w:rsidR="008F2BF5">
        <w:rPr>
          <w:szCs w:val="22"/>
        </w:rPr>
        <w:t>BidCo</w:t>
      </w:r>
      <w:r>
        <w:rPr>
          <w:szCs w:val="22"/>
        </w:rPr>
        <w:t xml:space="preserve"> and</w:t>
      </w:r>
      <w:r w:rsidR="00C540F3">
        <w:rPr>
          <w:szCs w:val="22"/>
        </w:rPr>
        <w:t>, indirectly,</w:t>
      </w:r>
      <w:r>
        <w:rPr>
          <w:szCs w:val="22"/>
        </w:rPr>
        <w:t xml:space="preserve"> the reorganized </w:t>
      </w:r>
      <w:r>
        <w:rPr>
          <w:szCs w:val="22"/>
        </w:rPr>
        <w:t>OneWeb</w:t>
      </w:r>
      <w:r w:rsidR="008F2BF5">
        <w:rPr>
          <w:szCs w:val="22"/>
        </w:rPr>
        <w:t>.</w:t>
      </w:r>
      <w:r>
        <w:rPr>
          <w:rStyle w:val="FootnoteReference"/>
          <w:szCs w:val="22"/>
        </w:rPr>
        <w:footnoteReference w:id="11"/>
      </w:r>
    </w:p>
    <w:p w:rsidR="004878A2" w:rsidP="00135759" w14:paraId="63850716" w14:textId="77777777">
      <w:pPr>
        <w:spacing w:after="120"/>
        <w:rPr>
          <w:szCs w:val="22"/>
        </w:rPr>
      </w:pPr>
      <w:r>
        <w:rPr>
          <w:szCs w:val="22"/>
        </w:rPr>
        <w:tab/>
      </w:r>
      <w:r w:rsidR="00906B2B">
        <w:rPr>
          <w:szCs w:val="22"/>
        </w:rPr>
        <w:t xml:space="preserve">The Applicants assert that </w:t>
      </w:r>
      <w:r w:rsidRPr="004878A2">
        <w:rPr>
          <w:szCs w:val="22"/>
        </w:rPr>
        <w:t xml:space="preserve">the </w:t>
      </w:r>
      <w:r w:rsidR="00906B2B">
        <w:rPr>
          <w:szCs w:val="22"/>
        </w:rPr>
        <w:t xml:space="preserve">transaction </w:t>
      </w:r>
      <w:r w:rsidR="00135759">
        <w:rPr>
          <w:szCs w:val="22"/>
        </w:rPr>
        <w:t>would</w:t>
      </w:r>
      <w:r w:rsidR="00906B2B">
        <w:rPr>
          <w:szCs w:val="22"/>
        </w:rPr>
        <w:t xml:space="preserve"> serve the public interest </w:t>
      </w:r>
      <w:r w:rsidR="00135759">
        <w:rPr>
          <w:szCs w:val="22"/>
        </w:rPr>
        <w:t xml:space="preserve">by permitting </w:t>
      </w:r>
      <w:r w:rsidRPr="004878A2">
        <w:rPr>
          <w:szCs w:val="22"/>
        </w:rPr>
        <w:t>OneWeb</w:t>
      </w:r>
      <w:r w:rsidRPr="004878A2">
        <w:rPr>
          <w:szCs w:val="22"/>
        </w:rPr>
        <w:t xml:space="preserve"> </w:t>
      </w:r>
      <w:r w:rsidR="0017218F">
        <w:rPr>
          <w:szCs w:val="22"/>
        </w:rPr>
        <w:t xml:space="preserve">DIP </w:t>
      </w:r>
      <w:r w:rsidRPr="004878A2">
        <w:rPr>
          <w:szCs w:val="22"/>
        </w:rPr>
        <w:t>to exit the Chapter 11 bankruptcy</w:t>
      </w:r>
      <w:r w:rsidR="00906B2B">
        <w:rPr>
          <w:szCs w:val="22"/>
        </w:rPr>
        <w:t xml:space="preserve"> </w:t>
      </w:r>
      <w:r w:rsidRPr="004878A2">
        <w:rPr>
          <w:szCs w:val="22"/>
        </w:rPr>
        <w:t>proceeding, facilitat</w:t>
      </w:r>
      <w:r w:rsidR="00135759">
        <w:rPr>
          <w:szCs w:val="22"/>
        </w:rPr>
        <w:t>ing</w:t>
      </w:r>
      <w:r w:rsidRPr="004878A2">
        <w:rPr>
          <w:szCs w:val="22"/>
        </w:rPr>
        <w:t xml:space="preserve"> access to new, secured financing, and strengthen</w:t>
      </w:r>
      <w:r w:rsidR="00135759">
        <w:rPr>
          <w:szCs w:val="22"/>
        </w:rPr>
        <w:t>ing</w:t>
      </w:r>
      <w:r w:rsidRPr="004878A2">
        <w:rPr>
          <w:szCs w:val="22"/>
        </w:rPr>
        <w:t xml:space="preserve"> its ability to compete in</w:t>
      </w:r>
      <w:r w:rsidR="00135759">
        <w:rPr>
          <w:szCs w:val="22"/>
        </w:rPr>
        <w:t xml:space="preserve"> </w:t>
      </w:r>
      <w:r w:rsidRPr="004878A2">
        <w:rPr>
          <w:szCs w:val="22"/>
        </w:rPr>
        <w:t xml:space="preserve">the marketplace for </w:t>
      </w:r>
      <w:r w:rsidR="00135759">
        <w:rPr>
          <w:szCs w:val="22"/>
        </w:rPr>
        <w:t xml:space="preserve">satellite </w:t>
      </w:r>
      <w:r w:rsidRPr="004878A2">
        <w:rPr>
          <w:szCs w:val="22"/>
        </w:rPr>
        <w:t>connectivity services</w:t>
      </w:r>
      <w:r w:rsidR="00135759">
        <w:rPr>
          <w:szCs w:val="22"/>
        </w:rPr>
        <w:t>.</w:t>
      </w:r>
      <w:r>
        <w:rPr>
          <w:rStyle w:val="FootnoteReference"/>
          <w:szCs w:val="22"/>
        </w:rPr>
        <w:footnoteReference w:id="12"/>
      </w:r>
      <w:r w:rsidR="00135759">
        <w:rPr>
          <w:szCs w:val="22"/>
        </w:rPr>
        <w:t xml:space="preserve">  </w:t>
      </w:r>
      <w:r w:rsidR="00B6048F">
        <w:rPr>
          <w:szCs w:val="22"/>
        </w:rPr>
        <w:t>In particular</w:t>
      </w:r>
      <w:r w:rsidR="0017218F">
        <w:rPr>
          <w:szCs w:val="22"/>
        </w:rPr>
        <w:t xml:space="preserve">, </w:t>
      </w:r>
      <w:r w:rsidR="00B6048F">
        <w:rPr>
          <w:szCs w:val="22"/>
        </w:rPr>
        <w:t xml:space="preserve">the Applicants </w:t>
      </w:r>
      <w:r w:rsidR="0017218F">
        <w:rPr>
          <w:szCs w:val="22"/>
        </w:rPr>
        <w:t xml:space="preserve">argue that the reorganized </w:t>
      </w:r>
      <w:r w:rsidR="0017218F">
        <w:rPr>
          <w:szCs w:val="22"/>
        </w:rPr>
        <w:t>O</w:t>
      </w:r>
      <w:r w:rsidRPr="00135759" w:rsidR="00135759">
        <w:rPr>
          <w:szCs w:val="22"/>
        </w:rPr>
        <w:t>neWeb</w:t>
      </w:r>
      <w:r w:rsidRPr="00135759" w:rsidR="00135759">
        <w:rPr>
          <w:szCs w:val="22"/>
        </w:rPr>
        <w:t xml:space="preserve"> </w:t>
      </w:r>
      <w:r w:rsidR="0017218F">
        <w:rPr>
          <w:szCs w:val="22"/>
        </w:rPr>
        <w:t xml:space="preserve">would </w:t>
      </w:r>
      <w:r w:rsidRPr="00135759" w:rsidR="00135759">
        <w:rPr>
          <w:szCs w:val="22"/>
        </w:rPr>
        <w:t>benefit the expanded commercial opportunities enabled by Bharti’s global</w:t>
      </w:r>
      <w:r w:rsidR="0017218F">
        <w:rPr>
          <w:szCs w:val="22"/>
        </w:rPr>
        <w:t xml:space="preserve"> </w:t>
      </w:r>
      <w:r w:rsidRPr="00135759" w:rsidR="00135759">
        <w:rPr>
          <w:szCs w:val="22"/>
        </w:rPr>
        <w:t>platform.</w:t>
      </w:r>
      <w:r>
        <w:rPr>
          <w:rStyle w:val="FootnoteReference"/>
          <w:szCs w:val="22"/>
        </w:rPr>
        <w:footnoteReference w:id="13"/>
      </w:r>
      <w:r w:rsidRPr="00135759" w:rsidR="00135759">
        <w:rPr>
          <w:szCs w:val="22"/>
        </w:rPr>
        <w:t xml:space="preserve"> </w:t>
      </w:r>
      <w:r w:rsidR="008C5BA0">
        <w:rPr>
          <w:szCs w:val="22"/>
        </w:rPr>
        <w:t xml:space="preserve"> </w:t>
      </w:r>
      <w:r w:rsidR="008B350F">
        <w:rPr>
          <w:szCs w:val="22"/>
        </w:rPr>
        <w:t xml:space="preserve">The </w:t>
      </w:r>
      <w:r w:rsidR="00B6048F">
        <w:rPr>
          <w:szCs w:val="22"/>
        </w:rPr>
        <w:t xml:space="preserve">Applicants also </w:t>
      </w:r>
      <w:r w:rsidR="00166C22">
        <w:rPr>
          <w:szCs w:val="22"/>
        </w:rPr>
        <w:t>contend</w:t>
      </w:r>
      <w:r w:rsidR="00B6048F">
        <w:rPr>
          <w:szCs w:val="22"/>
        </w:rPr>
        <w:t xml:space="preserve"> that </w:t>
      </w:r>
      <w:r w:rsidRPr="00135759" w:rsidR="00135759">
        <w:rPr>
          <w:szCs w:val="22"/>
        </w:rPr>
        <w:t>BidCo’s</w:t>
      </w:r>
      <w:r w:rsidRPr="00135759" w:rsidR="00135759">
        <w:rPr>
          <w:szCs w:val="22"/>
        </w:rPr>
        <w:t xml:space="preserve"> control of </w:t>
      </w:r>
      <w:r w:rsidR="00B6048F">
        <w:rPr>
          <w:szCs w:val="22"/>
        </w:rPr>
        <w:t>the reorganized</w:t>
      </w:r>
      <w:r w:rsidRPr="00135759" w:rsidR="00135759">
        <w:rPr>
          <w:szCs w:val="22"/>
        </w:rPr>
        <w:t xml:space="preserve"> </w:t>
      </w:r>
      <w:r w:rsidRPr="00135759" w:rsidR="00135759">
        <w:rPr>
          <w:szCs w:val="22"/>
        </w:rPr>
        <w:t>OneWeb</w:t>
      </w:r>
      <w:r w:rsidRPr="00135759" w:rsidR="00135759">
        <w:rPr>
          <w:szCs w:val="22"/>
        </w:rPr>
        <w:t xml:space="preserve"> presents no issues that would alter the</w:t>
      </w:r>
      <w:r w:rsidR="00B6048F">
        <w:rPr>
          <w:szCs w:val="22"/>
        </w:rPr>
        <w:t xml:space="preserve"> </w:t>
      </w:r>
      <w:r w:rsidRPr="00135759" w:rsidR="00135759">
        <w:rPr>
          <w:szCs w:val="22"/>
        </w:rPr>
        <w:t>Commission’s previous analysis that determined grant of market access to the</w:t>
      </w:r>
      <w:r w:rsidR="00B6048F">
        <w:rPr>
          <w:szCs w:val="22"/>
        </w:rPr>
        <w:t xml:space="preserve"> </w:t>
      </w:r>
      <w:r w:rsidRPr="00135759" w:rsidR="00135759">
        <w:rPr>
          <w:szCs w:val="22"/>
        </w:rPr>
        <w:t>OneWeb</w:t>
      </w:r>
      <w:r w:rsidRPr="00135759" w:rsidR="00135759">
        <w:rPr>
          <w:szCs w:val="22"/>
        </w:rPr>
        <w:t xml:space="preserve"> System would serve the public interest.</w:t>
      </w:r>
      <w:r>
        <w:rPr>
          <w:rStyle w:val="FootnoteReference"/>
          <w:szCs w:val="22"/>
        </w:rPr>
        <w:footnoteReference w:id="14"/>
      </w:r>
    </w:p>
    <w:p w:rsidR="00CD3F4F" w:rsidP="00CD3F4F" w14:paraId="016DBD46" w14:textId="77777777">
      <w:pPr>
        <w:spacing w:after="120"/>
        <w:rPr>
          <w:szCs w:val="22"/>
        </w:rPr>
      </w:pPr>
    </w:p>
    <w:p w:rsidR="00636E90" w:rsidP="00CD3F4F" w14:paraId="6A02D795" w14:textId="77777777">
      <w:pPr>
        <w:autoSpaceDE w:val="0"/>
        <w:autoSpaceDN w:val="0"/>
        <w:adjustRightInd w:val="0"/>
        <w:spacing w:after="120"/>
        <w:rPr>
          <w:szCs w:val="22"/>
        </w:rPr>
      </w:pPr>
      <w:r w:rsidRPr="00B713DE">
        <w:rPr>
          <w:b/>
          <w:szCs w:val="22"/>
          <w:u w:val="single"/>
        </w:rPr>
        <w:t>GENERAL INFORMATION</w:t>
      </w:r>
    </w:p>
    <w:p w:rsidR="00636E90" w:rsidRPr="00EC66CA" w:rsidP="00CD3F4F" w14:paraId="0A154EF8" w14:textId="77777777">
      <w:pPr>
        <w:autoSpaceDE w:val="0"/>
        <w:autoSpaceDN w:val="0"/>
        <w:adjustRightInd w:val="0"/>
        <w:spacing w:after="120"/>
        <w:ind w:firstLine="720"/>
        <w:rPr>
          <w:szCs w:val="22"/>
        </w:rPr>
      </w:pPr>
      <w:r w:rsidRPr="00EC66CA">
        <w:rPr>
          <w:szCs w:val="22"/>
        </w:rPr>
        <w:t>The application</w:t>
      </w:r>
      <w:r>
        <w:rPr>
          <w:szCs w:val="22"/>
        </w:rPr>
        <w:t>s</w:t>
      </w:r>
      <w:r w:rsidRPr="00EC66CA">
        <w:rPr>
          <w:szCs w:val="22"/>
        </w:rPr>
        <w:t xml:space="preserve"> </w:t>
      </w:r>
      <w:r w:rsidR="00571DD3">
        <w:rPr>
          <w:szCs w:val="22"/>
        </w:rPr>
        <w:t xml:space="preserve">and notice </w:t>
      </w:r>
      <w:r w:rsidRPr="00EC66CA">
        <w:rPr>
          <w:szCs w:val="22"/>
        </w:rPr>
        <w:t>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636E90" w:rsidRPr="00EC66CA" w:rsidP="00CD3F4F" w14:paraId="6E8324E2" w14:textId="77777777">
      <w:pPr>
        <w:autoSpaceDE w:val="0"/>
        <w:autoSpaceDN w:val="0"/>
        <w:adjustRightInd w:val="0"/>
        <w:spacing w:after="120"/>
        <w:ind w:firstLine="720"/>
        <w:rPr>
          <w:szCs w:val="22"/>
        </w:rPr>
      </w:pPr>
      <w:r w:rsidRPr="00EC66CA">
        <w:rPr>
          <w:szCs w:val="22"/>
        </w:rPr>
        <w:t xml:space="preserve">Interested parties may file comments </w:t>
      </w:r>
      <w:r>
        <w:rPr>
          <w:szCs w:val="22"/>
        </w:rPr>
        <w:t xml:space="preserve">and reply comments </w:t>
      </w:r>
      <w:r w:rsidRPr="00636E90">
        <w:rPr>
          <w:bCs/>
          <w:szCs w:val="22"/>
        </w:rPr>
        <w:t xml:space="preserve">on or before the dates indicated </w:t>
      </w:r>
      <w:r w:rsidR="00CC00DC">
        <w:rPr>
          <w:bCs/>
          <w:szCs w:val="22"/>
        </w:rPr>
        <w:t>on the first page</w:t>
      </w:r>
      <w:r w:rsidRPr="00636E90">
        <w:rPr>
          <w:bCs/>
          <w:szCs w:val="22"/>
        </w:rPr>
        <w:t xml:space="preserve"> of this notice</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636E90" w:rsidP="00CD3F4F" w14:paraId="382AD30F" w14:textId="77777777">
      <w:pPr>
        <w:widowControl/>
        <w:numPr>
          <w:ilvl w:val="0"/>
          <w:numId w:val="8"/>
        </w:numPr>
        <w:autoSpaceDE w:val="0"/>
        <w:autoSpaceDN w:val="0"/>
        <w:adjustRightInd w:val="0"/>
        <w:spacing w:after="120"/>
        <w:rPr>
          <w:szCs w:val="22"/>
        </w:rPr>
      </w:pPr>
      <w:r w:rsidRPr="00EC66CA">
        <w:rPr>
          <w:szCs w:val="22"/>
        </w:rPr>
        <w:t>Electronic Filers:  Comments may be filed electronically by accessing ECFS at </w:t>
      </w:r>
      <w:hyperlink r:id="rId5" w:history="1">
        <w:r w:rsidRPr="00EC66CA">
          <w:rPr>
            <w:rStyle w:val="Hyperlink"/>
            <w:szCs w:val="22"/>
          </w:rPr>
          <w:t>http://apps.fcc.gov/ecfs/</w:t>
        </w:r>
      </w:hyperlink>
      <w:r w:rsidRPr="00EC66CA">
        <w:rPr>
          <w:szCs w:val="22"/>
        </w:rPr>
        <w:t>.</w:t>
      </w:r>
    </w:p>
    <w:p w:rsidR="00636E90" w:rsidP="00CD3F4F" w14:paraId="5DEFC216" w14:textId="77777777">
      <w:pPr>
        <w:widowControl/>
        <w:numPr>
          <w:ilvl w:val="0"/>
          <w:numId w:val="9"/>
        </w:numPr>
        <w:tabs>
          <w:tab w:val="clear" w:pos="720"/>
        </w:tabs>
        <w:autoSpaceDE w:val="0"/>
        <w:autoSpaceDN w:val="0"/>
        <w:adjustRightInd w:val="0"/>
        <w:spacing w:after="120"/>
        <w:rPr>
          <w:szCs w:val="22"/>
        </w:rPr>
      </w:pPr>
      <w:r w:rsidRPr="004D7912">
        <w:rPr>
          <w:i/>
          <w:iCs/>
          <w:szCs w:val="22"/>
        </w:rPr>
        <w:t>Paper Filers</w:t>
      </w:r>
      <w:r w:rsidRPr="004D7912">
        <w:rPr>
          <w:szCs w:val="22"/>
        </w:rPr>
        <w:t xml:space="preserve">: </w:t>
      </w:r>
      <w:r w:rsidRPr="007F5BB8" w:rsidR="007F5BB8">
        <w:rPr>
          <w:szCs w:val="22"/>
        </w:rPr>
        <w:t xml:space="preserve">Parties who choose to file by paper must file an original and one copy of each filing. </w:t>
      </w:r>
      <w:r w:rsidR="007F5BB8">
        <w:rPr>
          <w:szCs w:val="22"/>
        </w:rPr>
        <w:t xml:space="preserve"> </w:t>
      </w:r>
      <w:r w:rsidRPr="007F5BB8" w:rsidR="007F5BB8">
        <w:rPr>
          <w:szCs w:val="22"/>
        </w:rPr>
        <w:t>If more than one docket or rulemaking number appears in the caption of this proceeding, filers must submit two additional copies for each additional docket or rulemaking number</w:t>
      </w:r>
      <w:r w:rsidRPr="004D7912">
        <w:rPr>
          <w:szCs w:val="22"/>
        </w:rPr>
        <w:t>.</w:t>
      </w:r>
    </w:p>
    <w:p w:rsidR="00636E90" w:rsidRPr="004D7912" w:rsidP="00CD3F4F" w14:paraId="51F5A573" w14:textId="77777777">
      <w:pPr>
        <w:widowControl/>
        <w:numPr>
          <w:ilvl w:val="1"/>
          <w:numId w:val="9"/>
        </w:numPr>
        <w:autoSpaceDE w:val="0"/>
        <w:autoSpaceDN w:val="0"/>
        <w:adjustRightInd w:val="0"/>
        <w:spacing w:after="120"/>
        <w:rPr>
          <w:szCs w:val="22"/>
        </w:rPr>
      </w:pPr>
      <w:r w:rsidRPr="004D7912">
        <w:rPr>
          <w:szCs w:val="22"/>
        </w:rPr>
        <w:t>Filings can be sent by commercial overnight courier or by first-class or overnight U.S. Postal Service mail.  All filings must be addressed to the Commission’s Secretary, Office of the Secretary, Federal Communications Commission.</w:t>
      </w:r>
    </w:p>
    <w:p w:rsidR="007F5BB8" w:rsidP="00CD3F4F" w14:paraId="57D9165A" w14:textId="77777777">
      <w:pPr>
        <w:widowControl/>
        <w:numPr>
          <w:ilvl w:val="1"/>
          <w:numId w:val="9"/>
        </w:numPr>
        <w:autoSpaceDE w:val="0"/>
        <w:autoSpaceDN w:val="0"/>
        <w:adjustRightInd w:val="0"/>
        <w:spacing w:after="120"/>
        <w:rPr>
          <w:szCs w:val="22"/>
        </w:rPr>
      </w:pPr>
      <w:r w:rsidRPr="007F5BB8">
        <w:rPr>
          <w:szCs w:val="22"/>
        </w:rPr>
        <w:t>Commercial overnight mail (other than U.S. Postal Service Express Mail and Priority Mail) must be sent to 9050 Junction Drive, Annapolis Junction, MD 20701.</w:t>
      </w:r>
    </w:p>
    <w:p w:rsidR="00636E90" w:rsidRPr="0075291B" w:rsidP="00CD3F4F" w14:paraId="3E3B51EA" w14:textId="77777777">
      <w:pPr>
        <w:widowControl/>
        <w:numPr>
          <w:ilvl w:val="1"/>
          <w:numId w:val="9"/>
        </w:numPr>
        <w:autoSpaceDE w:val="0"/>
        <w:autoSpaceDN w:val="0"/>
        <w:adjustRightInd w:val="0"/>
        <w:spacing w:after="120"/>
        <w:rPr>
          <w:szCs w:val="22"/>
        </w:rPr>
      </w:pPr>
      <w:r w:rsidRPr="007F5BB8">
        <w:rPr>
          <w:szCs w:val="22"/>
        </w:rPr>
        <w:t>U.S. Postal Service first-class, Express, and Priority mail must be addressed to 445 12th Street, SW, Washington DC  20554</w:t>
      </w:r>
      <w:r w:rsidRPr="0075291B">
        <w:rPr>
          <w:szCs w:val="22"/>
        </w:rPr>
        <w:t>.</w:t>
      </w:r>
    </w:p>
    <w:p w:rsidR="00636E90" w:rsidRPr="0075291B" w:rsidP="00CD3F4F" w14:paraId="04C241F9" w14:textId="77777777">
      <w:pPr>
        <w:widowControl/>
        <w:numPr>
          <w:ilvl w:val="1"/>
          <w:numId w:val="9"/>
        </w:numPr>
        <w:autoSpaceDE w:val="0"/>
        <w:autoSpaceDN w:val="0"/>
        <w:adjustRightInd w:val="0"/>
        <w:spacing w:after="120"/>
        <w:rPr>
          <w:szCs w:val="22"/>
        </w:rPr>
      </w:pPr>
      <w:r w:rsidRPr="007F5BB8">
        <w:rPr>
          <w:szCs w:val="22"/>
        </w:rPr>
        <w:t xml:space="preserve">Effective March 19, 2020, and until further notice, the Commission no longer accepts any hand or messenger delivered filings. </w:t>
      </w:r>
      <w:r w:rsidR="00716865">
        <w:rPr>
          <w:szCs w:val="22"/>
        </w:rPr>
        <w:t xml:space="preserve"> </w:t>
      </w:r>
      <w:r w:rsidRPr="007F5BB8">
        <w:rPr>
          <w:szCs w:val="22"/>
        </w:rPr>
        <w:t xml:space="preserve">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F21760">
          <w:rPr>
            <w:rStyle w:val="Hyperlink"/>
            <w:szCs w:val="22"/>
          </w:rPr>
          <w:t>https://www.fcc.gov/document/fcc-closes-headquarters-open-window-and-changes-hand-delivery-policy</w:t>
        </w:r>
      </w:hyperlink>
      <w:r w:rsidRPr="0075291B">
        <w:rPr>
          <w:szCs w:val="22"/>
        </w:rPr>
        <w:t>.</w:t>
      </w:r>
    </w:p>
    <w:p w:rsidR="00636E90" w:rsidRPr="007F43F2" w:rsidP="00CD3F4F" w14:paraId="2B699745" w14:textId="77777777">
      <w:pPr>
        <w:autoSpaceDE w:val="0"/>
        <w:autoSpaceDN w:val="0"/>
        <w:adjustRightInd w:val="0"/>
        <w:spacing w:after="120"/>
        <w:ind w:firstLine="720"/>
        <w:rPr>
          <w:szCs w:val="22"/>
        </w:rPr>
      </w:pPr>
      <w:r w:rsidRPr="00F30127">
        <w:rPr>
          <w:i/>
          <w:iCs/>
          <w:szCs w:val="22"/>
        </w:rPr>
        <w:t>People with Disabilities</w:t>
      </w:r>
      <w:r w:rsidRPr="00EC66CA">
        <w:rPr>
          <w:szCs w:val="22"/>
        </w:rPr>
        <w:t xml:space="preserve">:  To request materials in accessible formats for people with disabilities (braille, large print, electronic files, audio format), send an e-mail to </w:t>
      </w:r>
      <w:hyperlink r:id="rId7" w:history="1">
        <w:r w:rsidRPr="00F5331F" w:rsidR="00F30127">
          <w:rPr>
            <w:rStyle w:val="Hyperlink"/>
            <w:szCs w:val="22"/>
          </w:rPr>
          <w:t>fcc504@fcc.gov</w:t>
        </w:r>
      </w:hyperlink>
      <w:r w:rsidRPr="00EC66CA">
        <w:rPr>
          <w:szCs w:val="22"/>
        </w:rPr>
        <w:t xml:space="preserve"> or call the Consumer and Governmental Affairs Bureau at 202-418-0530 (voice), 1-888-835-5322 (</w:t>
      </w:r>
      <w:r w:rsidRPr="00EC66CA">
        <w:rPr>
          <w:szCs w:val="22"/>
        </w:rPr>
        <w:t>tty</w:t>
      </w:r>
      <w:r w:rsidRPr="00EC66CA">
        <w:rPr>
          <w:szCs w:val="22"/>
        </w:rPr>
        <w:t>).</w:t>
      </w:r>
      <w:r w:rsidRPr="007F43F2">
        <w:rPr>
          <w:szCs w:val="22"/>
        </w:rPr>
        <w:t xml:space="preserve"> </w:t>
      </w:r>
    </w:p>
    <w:p w:rsidR="00636E90" w:rsidRPr="00EC66CA" w:rsidP="00CD3F4F" w14:paraId="0CDCF32F"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 xml:space="preserve">ex </w:t>
      </w:r>
      <w:r w:rsidRPr="00EC66CA">
        <w:rPr>
          <w:i/>
          <w:szCs w:val="22"/>
        </w:rPr>
        <w:t>parte</w:t>
      </w:r>
      <w:r w:rsidRPr="00EC66CA">
        <w:rPr>
          <w:szCs w:val="22"/>
        </w:rPr>
        <w:t xml:space="preserve"> rules.  Persons making </w:t>
      </w:r>
      <w:r w:rsidRPr="00EC66CA">
        <w:rPr>
          <w:i/>
          <w:szCs w:val="22"/>
        </w:rPr>
        <w:t xml:space="preserve">ex </w:t>
      </w:r>
      <w:r w:rsidRPr="00EC66CA">
        <w:rPr>
          <w:i/>
          <w:szCs w:val="22"/>
        </w:rPr>
        <w:t>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 xml:space="preserve">ex </w:t>
      </w:r>
      <w:r w:rsidRPr="00EC66CA">
        <w:rPr>
          <w:i/>
          <w:szCs w:val="22"/>
        </w:rPr>
        <w:t>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 xml:space="preserve">ex </w:t>
      </w:r>
      <w:r w:rsidRPr="00EC66CA">
        <w:rPr>
          <w:i/>
          <w:szCs w:val="22"/>
        </w:rPr>
        <w:t>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 xml:space="preserve">ex </w:t>
      </w:r>
      <w:r w:rsidRPr="00EC66CA">
        <w:rPr>
          <w:i/>
          <w:szCs w:val="22"/>
        </w:rPr>
        <w:t>parte</w:t>
      </w:r>
      <w:r w:rsidRPr="00EC66CA">
        <w:rPr>
          <w:szCs w:val="22"/>
        </w:rPr>
        <w:t xml:space="preserve"> meetings are deemed to be written </w:t>
      </w:r>
      <w:r w:rsidRPr="00EC66CA">
        <w:rPr>
          <w:i/>
          <w:szCs w:val="22"/>
        </w:rPr>
        <w:t xml:space="preserve">ex </w:t>
      </w:r>
      <w:r w:rsidRPr="00EC66CA">
        <w:rPr>
          <w:i/>
          <w:szCs w:val="22"/>
        </w:rPr>
        <w:t>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 xml:space="preserve">ex </w:t>
      </w:r>
      <w:r w:rsidRPr="00EC66CA">
        <w:rPr>
          <w:i/>
          <w:szCs w:val="22"/>
        </w:rPr>
        <w:t>parte</w:t>
      </w:r>
      <w:r w:rsidRPr="00EC66CA">
        <w:rPr>
          <w:szCs w:val="22"/>
        </w:rPr>
        <w:t xml:space="preserve"> rules.</w:t>
      </w:r>
    </w:p>
    <w:p w:rsidR="003D4403" w:rsidP="00CD3F4F" w14:paraId="1369FFA2"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5"/>
      </w:r>
      <w:r w:rsidRPr="00EC66CA">
        <w:rPr>
          <w:szCs w:val="22"/>
        </w:rPr>
        <w:t xml:space="preserve">  A party or interested person seeking to raise a new issue after the pleading cycle has closed must show good cause why it was not </w:t>
      </w:r>
    </w:p>
    <w:p w:rsidR="00636E90" w:rsidRPr="00EC66CA" w:rsidP="003D4403" w14:paraId="6480AE1C" w14:textId="77777777">
      <w:pPr>
        <w:autoSpaceDE w:val="0"/>
        <w:autoSpaceDN w:val="0"/>
        <w:adjustRightInd w:val="0"/>
        <w:spacing w:after="120"/>
        <w:rPr>
          <w:szCs w:val="22"/>
        </w:rPr>
      </w:pPr>
      <w:r>
        <w:rPr>
          <w:szCs w:val="22"/>
        </w:rPr>
        <w:br w:type="page"/>
      </w:r>
      <w:r w:rsidRPr="00EC66CA">
        <w:rPr>
          <w:szCs w:val="22"/>
        </w:rPr>
        <w:t>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636E90" w:rsidP="00A018DC" w14:paraId="37A45438" w14:textId="77777777">
      <w:pPr>
        <w:autoSpaceDE w:val="0"/>
        <w:autoSpaceDN w:val="0"/>
        <w:adjustRightInd w:val="0"/>
        <w:spacing w:after="120"/>
        <w:rPr>
          <w:szCs w:val="22"/>
        </w:rPr>
      </w:pPr>
      <w:r>
        <w:rPr>
          <w:szCs w:val="22"/>
        </w:rPr>
        <w:tab/>
      </w:r>
      <w:r w:rsidRPr="00993C29">
        <w:rPr>
          <w:szCs w:val="22"/>
        </w:rPr>
        <w:t xml:space="preserve">For further information contact </w:t>
      </w:r>
      <w:r w:rsidR="00906B2B">
        <w:rPr>
          <w:szCs w:val="22"/>
        </w:rPr>
        <w:t>Clay DeCell</w:t>
      </w:r>
      <w:r>
        <w:rPr>
          <w:szCs w:val="22"/>
        </w:rPr>
        <w:t xml:space="preserve">, </w:t>
      </w:r>
      <w:r w:rsidR="00906B2B">
        <w:rPr>
          <w:szCs w:val="22"/>
        </w:rPr>
        <w:t>Satellite Division, International Bureau, at (202) 418-0803.</w:t>
      </w:r>
    </w:p>
    <w:p w:rsidR="00906B2B" w:rsidP="00906B2B" w14:paraId="363FBF56" w14:textId="77777777">
      <w:pPr>
        <w:rPr>
          <w:b/>
          <w:szCs w:val="22"/>
        </w:rPr>
      </w:pPr>
    </w:p>
    <w:p w:rsidR="00636E90" w:rsidRPr="00906B2B" w:rsidP="00906B2B" w14:paraId="469C1BA9" w14:textId="77777777">
      <w:pPr>
        <w:jc w:val="center"/>
        <w:rPr>
          <w:b/>
          <w:szCs w:val="22"/>
        </w:rPr>
      </w:pPr>
      <w:r w:rsidRPr="00906B2B">
        <w:rPr>
          <w:b/>
          <w:szCs w:val="22"/>
        </w:rPr>
        <w:t>– FCC –</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8689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A4945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04D347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BC861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7EB7" w14:paraId="6DDDFEEE" w14:textId="77777777">
      <w:r>
        <w:separator/>
      </w:r>
    </w:p>
  </w:footnote>
  <w:footnote w:type="continuationSeparator" w:id="1">
    <w:p w:rsidR="00557EB7" w14:paraId="5B02C832" w14:textId="77777777">
      <w:pPr>
        <w:rPr>
          <w:sz w:val="20"/>
        </w:rPr>
      </w:pPr>
      <w:r>
        <w:rPr>
          <w:sz w:val="20"/>
        </w:rPr>
        <w:t xml:space="preserve">(Continued from previous page)  </w:t>
      </w:r>
      <w:r>
        <w:rPr>
          <w:sz w:val="20"/>
        </w:rPr>
        <w:separator/>
      </w:r>
    </w:p>
  </w:footnote>
  <w:footnote w:type="continuationNotice" w:id="2">
    <w:p w:rsidR="00557EB7" w:rsidP="00910F12" w14:paraId="33B95C9E" w14:textId="77777777">
      <w:pPr>
        <w:jc w:val="right"/>
        <w:rPr>
          <w:sz w:val="20"/>
        </w:rPr>
      </w:pPr>
      <w:r>
        <w:rPr>
          <w:sz w:val="20"/>
        </w:rPr>
        <w:t>(continued….)</w:t>
      </w:r>
    </w:p>
  </w:footnote>
  <w:footnote w:id="3">
    <w:p w:rsidR="004454A8" w:rsidP="004454A8" w14:paraId="1C667406" w14:textId="77777777">
      <w:pPr>
        <w:pStyle w:val="FootnoteText"/>
      </w:pPr>
      <w:r>
        <w:rPr>
          <w:rStyle w:val="FootnoteReference"/>
        </w:rPr>
        <w:footnoteRef/>
      </w:r>
      <w:r>
        <w:t xml:space="preserve"> </w:t>
      </w:r>
      <w:r w:rsidRPr="001A13EF">
        <w:rPr>
          <w:i/>
          <w:iCs/>
        </w:rPr>
        <w:t>See</w:t>
      </w:r>
      <w:r>
        <w:t xml:space="preserve"> </w:t>
      </w:r>
      <w:r w:rsidRPr="001A13EF">
        <w:rPr>
          <w:i/>
          <w:iCs/>
        </w:rPr>
        <w:t xml:space="preserve">Proposed Change of Ownership of the </w:t>
      </w:r>
      <w:r w:rsidRPr="001A13EF">
        <w:rPr>
          <w:i/>
          <w:iCs/>
        </w:rPr>
        <w:t>OneWeb</w:t>
      </w:r>
      <w:r w:rsidRPr="001A13EF">
        <w:rPr>
          <w:i/>
          <w:iCs/>
        </w:rPr>
        <w:t xml:space="preserve"> System</w:t>
      </w:r>
      <w:r>
        <w:t xml:space="preserve">, IBFS File No. </w:t>
      </w:r>
      <w:r w:rsidRPr="00FD3EB7">
        <w:t>SES-ASG-20200818-00891</w:t>
      </w:r>
      <w:r w:rsidR="00DC0747">
        <w:t>,</w:t>
      </w:r>
      <w:r>
        <w:t xml:space="preserve"> </w:t>
      </w:r>
      <w:r w:rsidR="00DC0747">
        <w:t xml:space="preserve">IBFS File No. </w:t>
      </w:r>
      <w:r w:rsidRPr="00636E90">
        <w:t>SAT-MPL-20200818-00099</w:t>
      </w:r>
      <w:r>
        <w:t xml:space="preserve">, </w:t>
      </w:r>
      <w:r w:rsidR="00DC0747">
        <w:t xml:space="preserve">IBFS File No. </w:t>
      </w:r>
      <w:r w:rsidRPr="00DE5C3C" w:rsidR="00DE5C3C">
        <w:t>SAT-M</w:t>
      </w:r>
      <w:r w:rsidR="00EF10CE">
        <w:t>PL</w:t>
      </w:r>
      <w:r w:rsidRPr="00DE5C3C" w:rsidR="00DE5C3C">
        <w:t>-20200831-00101</w:t>
      </w:r>
      <w:r w:rsidR="00DC0747">
        <w:t xml:space="preserve">, and </w:t>
      </w:r>
      <w:r>
        <w:t xml:space="preserve">ELS File No. </w:t>
      </w:r>
      <w:r w:rsidRPr="00636E90">
        <w:t>0028-EX-AU-2020</w:t>
      </w:r>
      <w:r w:rsidRPr="00FD3EB7">
        <w:t xml:space="preserve"> </w:t>
      </w:r>
      <w:r>
        <w:t xml:space="preserve">(filed Aug. 19, 2020) (Application); </w:t>
      </w:r>
      <w:r w:rsidRPr="004F6886">
        <w:rPr>
          <w:rFonts w:eastAsia="Calibri"/>
        </w:rPr>
        <w:t>47 U.S.C. §</w:t>
      </w:r>
      <w:r>
        <w:rPr>
          <w:rFonts w:eastAsia="Calibri"/>
        </w:rPr>
        <w:t xml:space="preserve"> </w:t>
      </w:r>
      <w:r w:rsidRPr="004F6886">
        <w:rPr>
          <w:rFonts w:eastAsia="Calibri"/>
        </w:rPr>
        <w:t>310</w:t>
      </w:r>
      <w:r>
        <w:rPr>
          <w:rFonts w:eastAsia="Calibri"/>
        </w:rPr>
        <w:t xml:space="preserve">(d); </w:t>
      </w:r>
      <w:r w:rsidRPr="00021F2D">
        <w:t>47 CFR §§</w:t>
      </w:r>
      <w:r w:rsidR="00F56EA4">
        <w:t> </w:t>
      </w:r>
      <w:r w:rsidRPr="004E0FC0">
        <w:rPr>
          <w:szCs w:val="22"/>
        </w:rPr>
        <w:t>5.79</w:t>
      </w:r>
      <w:r>
        <w:rPr>
          <w:szCs w:val="22"/>
        </w:rPr>
        <w:t xml:space="preserve">, </w:t>
      </w:r>
      <w:r>
        <w:t>25.119, 25.137(g).</w:t>
      </w:r>
    </w:p>
  </w:footnote>
  <w:footnote w:id="4">
    <w:p w:rsidR="005978F5" w:rsidP="00135759" w14:paraId="217DCAEC" w14:textId="77777777">
      <w:pPr>
        <w:pStyle w:val="FootnoteText"/>
      </w:pPr>
      <w:r>
        <w:rPr>
          <w:rStyle w:val="FootnoteReference"/>
        </w:rPr>
        <w:footnoteRef/>
      </w:r>
      <w:r>
        <w:t xml:space="preserve"> Application</w:t>
      </w:r>
      <w:r w:rsidR="00F56EA4">
        <w:t xml:space="preserve"> </w:t>
      </w:r>
      <w:r w:rsidR="00F56EA4">
        <w:t>Exh</w:t>
      </w:r>
      <w:r w:rsidR="00F56EA4">
        <w:t>. A (Aug. 31 Update)</w:t>
      </w:r>
      <w:r>
        <w:t>, Attach. A.</w:t>
      </w:r>
      <w:r w:rsidR="00135759">
        <w:t xml:space="preserve">  The Applicants request that any disposition of the Application include authority for </w:t>
      </w:r>
      <w:r w:rsidR="00135759">
        <w:t>BidCo</w:t>
      </w:r>
      <w:r w:rsidR="00135759">
        <w:t xml:space="preserve"> to acquire control of any authorizations issued to </w:t>
      </w:r>
      <w:r w:rsidR="00135759">
        <w:t>OneWeb</w:t>
      </w:r>
      <w:r w:rsidR="00135759">
        <w:t xml:space="preserve"> </w:t>
      </w:r>
      <w:r w:rsidR="000D2723">
        <w:t xml:space="preserve">DIP </w:t>
      </w:r>
      <w:r w:rsidR="00135759">
        <w:t xml:space="preserve">while the transaction is pending before the Commission.  </w:t>
      </w:r>
      <w:r w:rsidRPr="00135759" w:rsidR="00135759">
        <w:rPr>
          <w:i/>
          <w:iCs/>
        </w:rPr>
        <w:t>Id.</w:t>
      </w:r>
    </w:p>
  </w:footnote>
  <w:footnote w:id="5">
    <w:p w:rsidR="008B38F6" w14:paraId="71DE70CF" w14:textId="77777777">
      <w:pPr>
        <w:pStyle w:val="FootnoteText"/>
      </w:pPr>
      <w:r>
        <w:rPr>
          <w:rStyle w:val="FootnoteReference"/>
        </w:rPr>
        <w:footnoteRef/>
      </w:r>
      <w:r>
        <w:t xml:space="preserve"> </w:t>
      </w:r>
      <w:r w:rsidRPr="0056337C" w:rsidR="0056337C">
        <w:rPr>
          <w:i/>
          <w:iCs/>
        </w:rPr>
        <w:t>Id.</w:t>
      </w:r>
      <w:r>
        <w:t xml:space="preserve"> at 1.</w:t>
      </w:r>
    </w:p>
  </w:footnote>
  <w:footnote w:id="6">
    <w:p w:rsidR="005F45C8" w:rsidP="005F45C8" w14:paraId="7D9AB46D" w14:textId="77777777">
      <w:pPr>
        <w:pStyle w:val="FootnoteText"/>
      </w:pPr>
      <w:r>
        <w:rPr>
          <w:rStyle w:val="FootnoteReference"/>
        </w:rPr>
        <w:footnoteRef/>
      </w:r>
      <w:r>
        <w:t xml:space="preserve"> </w:t>
      </w:r>
      <w:r w:rsidRPr="00F21E80" w:rsidR="00F21E80">
        <w:rPr>
          <w:i/>
          <w:iCs/>
        </w:rPr>
        <w:t>Id</w:t>
      </w:r>
      <w:r w:rsidRPr="00F21E80">
        <w:rPr>
          <w:i/>
          <w:iCs/>
        </w:rPr>
        <w:t>.</w:t>
      </w:r>
      <w:r>
        <w:t xml:space="preserve">  </w:t>
      </w:r>
      <w:r w:rsidR="00333F35">
        <w:t xml:space="preserve">Commission approval was granted for the assignment of licenses to </w:t>
      </w:r>
      <w:r w:rsidR="00333F35">
        <w:t>OneWeb</w:t>
      </w:r>
      <w:r w:rsidR="00333F35">
        <w:t xml:space="preserve"> DIP in bankruptcy. </w:t>
      </w:r>
      <w:r>
        <w:t xml:space="preserve"> </w:t>
      </w:r>
      <w:r w:rsidRPr="005F45C8">
        <w:rPr>
          <w:i/>
          <w:iCs/>
        </w:rPr>
        <w:t>See, e.g., Satellite Communications Services Information: Actions Taken</w:t>
      </w:r>
      <w:r>
        <w:t>, Public Notice, Report No. SES-02258 at 1 (rel. Apr. 15, 2020).</w:t>
      </w:r>
    </w:p>
  </w:footnote>
  <w:footnote w:id="7">
    <w:p w:rsidR="005F45C8" w14:paraId="3308A3EC" w14:textId="77777777">
      <w:pPr>
        <w:pStyle w:val="FootnoteText"/>
      </w:pPr>
      <w:r>
        <w:rPr>
          <w:rStyle w:val="FootnoteReference"/>
        </w:rPr>
        <w:footnoteRef/>
      </w:r>
      <w:r>
        <w:t xml:space="preserve"> Application at 2.</w:t>
      </w:r>
    </w:p>
  </w:footnote>
  <w:footnote w:id="8">
    <w:p w:rsidR="007702D7" w:rsidP="007702D7" w14:paraId="6D8564FB" w14:textId="77777777">
      <w:pPr>
        <w:pStyle w:val="FootnoteText"/>
      </w:pPr>
      <w:r>
        <w:rPr>
          <w:rStyle w:val="FootnoteReference"/>
        </w:rPr>
        <w:footnoteRef/>
      </w:r>
      <w:r>
        <w:t xml:space="preserve"> Bharti is an Indian conglomerate with diversified interests in the telecommunications, insurance, real estate, hospitality, and technology sectors.  It is an existing indirect investor in </w:t>
      </w:r>
      <w:r>
        <w:t>OneWeb</w:t>
      </w:r>
      <w:r>
        <w:t xml:space="preserve"> with a 5.1</w:t>
      </w:r>
      <w:r w:rsidR="002548B0">
        <w:t xml:space="preserve"> percent</w:t>
      </w:r>
      <w:r>
        <w:t xml:space="preserve"> voting interest.  Bharti Airtel Limited, which shares common Bharti Mittal family shareholders with Bharti, is the third largest mobile operator in the world, with over 425 million customers.  </w:t>
      </w:r>
      <w:r w:rsidRPr="0056337C" w:rsidR="0056337C">
        <w:rPr>
          <w:i/>
          <w:iCs/>
        </w:rPr>
        <w:t>Id.</w:t>
      </w:r>
      <w:r>
        <w:t xml:space="preserve"> at 3.</w:t>
      </w:r>
    </w:p>
  </w:footnote>
  <w:footnote w:id="9">
    <w:p w:rsidR="003321CE" w:rsidP="003321CE" w14:paraId="317FDFA1" w14:textId="77777777">
      <w:pPr>
        <w:pStyle w:val="FootnoteText"/>
      </w:pPr>
      <w:r>
        <w:rPr>
          <w:rStyle w:val="FootnoteReference"/>
        </w:rPr>
        <w:footnoteRef/>
      </w:r>
      <w:r>
        <w:t xml:space="preserve"> On July 27, 2020</w:t>
      </w:r>
      <w:r w:rsidR="002548B0">
        <w:t>,</w:t>
      </w:r>
      <w:r>
        <w:t xml:space="preserve"> Hughes Network Systems, LLC, an existing investor in </w:t>
      </w:r>
      <w:r>
        <w:t>OneWeb</w:t>
      </w:r>
      <w:r>
        <w:t xml:space="preserve"> with a 2.6</w:t>
      </w:r>
      <w:r w:rsidR="002548B0">
        <w:t xml:space="preserve"> percent</w:t>
      </w:r>
      <w:r>
        <w:t xml:space="preserve"> voting interest, announced an agreement in principle to invest $50 million in </w:t>
      </w:r>
      <w:r>
        <w:t>BidCo</w:t>
      </w:r>
      <w:r>
        <w:t>.</w:t>
      </w:r>
      <w:r w:rsidR="00135759">
        <w:t xml:space="preserve"> </w:t>
      </w:r>
      <w:r>
        <w:t xml:space="preserve"> The terms of Hughes’ investment </w:t>
      </w:r>
      <w:r w:rsidR="00135759">
        <w:t>have</w:t>
      </w:r>
      <w:r>
        <w:t xml:space="preserve"> not been finalized. </w:t>
      </w:r>
      <w:r w:rsidR="002548B0">
        <w:t xml:space="preserve"> The Applicants state that </w:t>
      </w:r>
      <w:r>
        <w:t xml:space="preserve">Hughes’ investment, </w:t>
      </w:r>
      <w:r w:rsidR="006D03CD">
        <w:t>if</w:t>
      </w:r>
      <w:r>
        <w:t xml:space="preserve"> consummated, </w:t>
      </w:r>
      <w:r w:rsidR="00135759">
        <w:t>would</w:t>
      </w:r>
      <w:r>
        <w:t xml:space="preserve"> not have a meaningful impact on Bharti and </w:t>
      </w:r>
      <w:r w:rsidR="002548B0">
        <w:t>the UK Government’s</w:t>
      </w:r>
      <w:r>
        <w:t xml:space="preserve"> beneficial interests and voting percentages. </w:t>
      </w:r>
      <w:r w:rsidR="002548B0">
        <w:t xml:space="preserve"> </w:t>
      </w:r>
      <w:r w:rsidRPr="0056337C" w:rsidR="0056337C">
        <w:rPr>
          <w:i/>
          <w:iCs/>
        </w:rPr>
        <w:t>Id.</w:t>
      </w:r>
      <w:r w:rsidR="002548B0">
        <w:t xml:space="preserve"> at 2, n.9.</w:t>
      </w:r>
    </w:p>
  </w:footnote>
  <w:footnote w:id="10">
    <w:p w:rsidR="000B5ED4" w14:paraId="11B2F371" w14:textId="77777777">
      <w:pPr>
        <w:pStyle w:val="FootnoteText"/>
      </w:pPr>
      <w:r>
        <w:rPr>
          <w:rStyle w:val="FootnoteReference"/>
        </w:rPr>
        <w:footnoteRef/>
      </w:r>
      <w:r>
        <w:t xml:space="preserve"> </w:t>
      </w:r>
      <w:r w:rsidRPr="00AD293C">
        <w:rPr>
          <w:i/>
          <w:iCs/>
        </w:rPr>
        <w:t>Id.</w:t>
      </w:r>
      <w:r>
        <w:t xml:space="preserve"> at 4-5.  SoftBank currently holds </w:t>
      </w:r>
      <w:r w:rsidRPr="00FC2E17">
        <w:t>37.41</w:t>
      </w:r>
      <w:r>
        <w:t xml:space="preserve"> percent</w:t>
      </w:r>
      <w:r w:rsidRPr="00FC2E17">
        <w:t xml:space="preserve"> of the equity in </w:t>
      </w:r>
      <w:r w:rsidRPr="00FC2E17">
        <w:t>OneWeb</w:t>
      </w:r>
      <w:r>
        <w:t xml:space="preserve"> DIP.  </w:t>
      </w:r>
      <w:r w:rsidRPr="0079631B">
        <w:rPr>
          <w:i/>
          <w:iCs/>
        </w:rPr>
        <w:t>Id.</w:t>
      </w:r>
      <w:r>
        <w:t xml:space="preserve"> at 4.  </w:t>
      </w:r>
    </w:p>
  </w:footnote>
  <w:footnote w:id="11">
    <w:p w:rsidR="008F2BF5" w:rsidP="008F2BF5" w14:paraId="1931E243" w14:textId="77777777">
      <w:pPr>
        <w:pStyle w:val="FootnoteText"/>
      </w:pPr>
      <w:r>
        <w:rPr>
          <w:rStyle w:val="FootnoteReference"/>
        </w:rPr>
        <w:footnoteRef/>
      </w:r>
      <w:r>
        <w:t xml:space="preserve"> </w:t>
      </w:r>
      <w:r w:rsidRPr="004219A3">
        <w:rPr>
          <w:i/>
          <w:iCs/>
        </w:rPr>
        <w:t>Id.</w:t>
      </w:r>
      <w:r>
        <w:t xml:space="preserve"> at 5.  </w:t>
      </w:r>
      <w:r w:rsidR="00222050">
        <w:t xml:space="preserve">The Applicants state that SoftBank would not obtain governance rights, consent rights, or any other rights (including a board or board observer seat) other than the right to vote </w:t>
      </w:r>
      <w:r w:rsidR="00B21BD3">
        <w:t>its</w:t>
      </w:r>
      <w:r w:rsidR="00222050">
        <w:t xml:space="preserve"> shares in </w:t>
      </w:r>
      <w:r w:rsidR="00222050">
        <w:t>BidCo</w:t>
      </w:r>
      <w:r w:rsidR="00222050">
        <w:t xml:space="preserve">.  </w:t>
      </w:r>
      <w:r>
        <w:t xml:space="preserve">The remaining senior secured creditors of </w:t>
      </w:r>
      <w:r>
        <w:t>OneWeb</w:t>
      </w:r>
      <w:r>
        <w:t xml:space="preserve"> DIP would receive a </w:t>
      </w:r>
      <w:r w:rsidRPr="004219A3">
        <w:rPr>
          <w:i/>
          <w:iCs/>
        </w:rPr>
        <w:t>pro rata</w:t>
      </w:r>
      <w:r>
        <w:t xml:space="preserve"> share of the remaining approximately 3.3</w:t>
      </w:r>
      <w:r w:rsidR="00B21BD3">
        <w:t xml:space="preserve"> percent</w:t>
      </w:r>
      <w:r>
        <w:t xml:space="preserve"> of the voting interest.  </w:t>
      </w:r>
      <w:r w:rsidRPr="004219A3" w:rsidR="00222050">
        <w:rPr>
          <w:i/>
          <w:iCs/>
        </w:rPr>
        <w:t>Id.</w:t>
      </w:r>
    </w:p>
  </w:footnote>
  <w:footnote w:id="12">
    <w:p w:rsidR="00B6048F" w14:paraId="29C1DE43" w14:textId="77777777">
      <w:pPr>
        <w:pStyle w:val="FootnoteText"/>
      </w:pPr>
      <w:r>
        <w:rPr>
          <w:rStyle w:val="FootnoteReference"/>
        </w:rPr>
        <w:footnoteRef/>
      </w:r>
      <w:r>
        <w:t xml:space="preserve"> </w:t>
      </w:r>
      <w:r w:rsidRPr="0056337C" w:rsidR="0056337C">
        <w:rPr>
          <w:i/>
          <w:iCs/>
        </w:rPr>
        <w:t>Id.</w:t>
      </w:r>
      <w:r>
        <w:t xml:space="preserve"> at 3, 7-8.</w:t>
      </w:r>
    </w:p>
  </w:footnote>
  <w:footnote w:id="13">
    <w:p w:rsidR="0017218F" w14:paraId="0D78737B" w14:textId="77777777">
      <w:pPr>
        <w:pStyle w:val="FootnoteText"/>
      </w:pPr>
      <w:r>
        <w:rPr>
          <w:rStyle w:val="FootnoteReference"/>
        </w:rPr>
        <w:footnoteRef/>
      </w:r>
      <w:r>
        <w:t xml:space="preserve"> </w:t>
      </w:r>
      <w:r w:rsidRPr="0056337C" w:rsidR="0056337C">
        <w:rPr>
          <w:i/>
          <w:iCs/>
        </w:rPr>
        <w:t>Id.</w:t>
      </w:r>
      <w:r>
        <w:t xml:space="preserve"> at 8</w:t>
      </w:r>
      <w:r w:rsidR="00660F88">
        <w:t>-9</w:t>
      </w:r>
      <w:r>
        <w:t>.</w:t>
      </w:r>
    </w:p>
  </w:footnote>
  <w:footnote w:id="14">
    <w:p w:rsidR="00B6048F" w14:paraId="60F2DF91" w14:textId="77777777">
      <w:pPr>
        <w:pStyle w:val="FootnoteText"/>
      </w:pPr>
      <w:r>
        <w:rPr>
          <w:rStyle w:val="FootnoteReference"/>
        </w:rPr>
        <w:footnoteRef/>
      </w:r>
      <w:r>
        <w:t xml:space="preserve"> </w:t>
      </w:r>
      <w:r w:rsidRPr="0056337C" w:rsidR="0056337C">
        <w:rPr>
          <w:i/>
          <w:iCs/>
        </w:rPr>
        <w:t>Id.</w:t>
      </w:r>
      <w:r>
        <w:t xml:space="preserve"> at 9-10.</w:t>
      </w:r>
    </w:p>
  </w:footnote>
  <w:footnote w:id="15">
    <w:p w:rsidR="00636E90" w:rsidRPr="00D77BE4" w:rsidP="00636E90" w14:paraId="6077AC1E" w14:textId="77777777">
      <w:pPr>
        <w:pStyle w:val="FootnoteText"/>
      </w:pPr>
      <w:r w:rsidRPr="00202C10">
        <w:rPr>
          <w:rStyle w:val="FootnoteReference"/>
        </w:rPr>
        <w:footnoteRef/>
      </w:r>
      <w:r w:rsidRPr="00202C10">
        <w:t xml:space="preserve"> </w:t>
      </w:r>
      <w:r w:rsidRPr="00202C10">
        <w:rPr>
          <w:i/>
        </w:rPr>
        <w:t>See</w:t>
      </w:r>
      <w:r w:rsidRPr="00202C10">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A47ED1A" w14:textId="77777777">
    <w:pPr>
      <w:tabs>
        <w:tab w:val="center" w:pos="4680"/>
        <w:tab w:val="right" w:pos="9360"/>
      </w:tabs>
    </w:pPr>
    <w:r w:rsidRPr="009838BC">
      <w:rPr>
        <w:b/>
      </w:rPr>
      <w:tab/>
      <w:t>Federal Communications Commission</w:t>
    </w:r>
    <w:r w:rsidRPr="009838BC">
      <w:rPr>
        <w:b/>
      </w:rPr>
      <w:tab/>
    </w:r>
    <w:r w:rsidR="008B350F">
      <w:rPr>
        <w:b/>
      </w:rPr>
      <w:t xml:space="preserve">DA </w:t>
    </w:r>
    <w:r w:rsidRPr="004219A3" w:rsidR="004219A3">
      <w:rPr>
        <w:b/>
      </w:rPr>
      <w:t>20-1015</w:t>
    </w:r>
  </w:p>
  <w:p w:rsidR="009838BC" w:rsidRPr="009838BC" w:rsidP="009838BC" w14:paraId="445FD6D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BC29CA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4B542E"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3B6B772" w14:textId="77777777">
                          <w:pPr>
                            <w:rPr>
                              <w:rFonts w:ascii="Arial" w:hAnsi="Arial"/>
                              <w:b/>
                            </w:rPr>
                          </w:pPr>
                          <w:r>
                            <w:rPr>
                              <w:rFonts w:ascii="Arial" w:hAnsi="Arial"/>
                              <w:b/>
                            </w:rPr>
                            <w:t>Federal Communications Commission</w:t>
                          </w:r>
                        </w:p>
                        <w:p w:rsidR="009838BC" w:rsidP="009838BC" w14:paraId="43A878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1347803"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24638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2E91B4A"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4FC0E880" w14:textId="77777777">
                          <w:pPr>
                            <w:spacing w:before="40"/>
                            <w:jc w:val="right"/>
                            <w:rPr>
                              <w:rFonts w:ascii="Arial" w:hAnsi="Arial"/>
                              <w:b/>
                              <w:sz w:val="16"/>
                            </w:rPr>
                          </w:pPr>
                          <w:r>
                            <w:rPr>
                              <w:rFonts w:ascii="Arial" w:hAnsi="Arial"/>
                              <w:b/>
                              <w:sz w:val="16"/>
                            </w:rPr>
                            <w:t>News Media Information 202 / 418-0500</w:t>
                          </w:r>
                        </w:p>
                        <w:p w:rsidR="009838BC" w:rsidP="009838BC" w14:paraId="36A4694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682036"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14:paraId="13C8B0A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73CCD07E"/>
    <w:lvl w:ilvl="0">
      <w:start w:val="1"/>
      <w:numFmt w:val="bullet"/>
      <w:lvlText w:val=""/>
      <w:lvlJc w:val="left"/>
      <w:pPr>
        <w:tabs>
          <w:tab w:val="num" w:pos="720"/>
        </w:tabs>
        <w:ind w:left="720" w:hanging="360"/>
      </w:pPr>
      <w:rPr>
        <w:rFonts w:ascii="Wingdings" w:hAnsi="Wingdings" w:hint="default"/>
        <w:sz w:val="20"/>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11"/>
    <w:rsid w:val="000072CE"/>
    <w:rsid w:val="00013A8B"/>
    <w:rsid w:val="00021445"/>
    <w:rsid w:val="00021F2D"/>
    <w:rsid w:val="00036039"/>
    <w:rsid w:val="00037F90"/>
    <w:rsid w:val="000875BF"/>
    <w:rsid w:val="00096D8C"/>
    <w:rsid w:val="00096FFA"/>
    <w:rsid w:val="000A5F66"/>
    <w:rsid w:val="000B5ED4"/>
    <w:rsid w:val="000C0B65"/>
    <w:rsid w:val="000D2723"/>
    <w:rsid w:val="000E3D42"/>
    <w:rsid w:val="000E5884"/>
    <w:rsid w:val="001063E0"/>
    <w:rsid w:val="00122BD5"/>
    <w:rsid w:val="00135759"/>
    <w:rsid w:val="00163815"/>
    <w:rsid w:val="00166C22"/>
    <w:rsid w:val="0017218F"/>
    <w:rsid w:val="001979D9"/>
    <w:rsid w:val="001A13EF"/>
    <w:rsid w:val="001D6BCF"/>
    <w:rsid w:val="001E01CA"/>
    <w:rsid w:val="00202C10"/>
    <w:rsid w:val="002060D9"/>
    <w:rsid w:val="0020739A"/>
    <w:rsid w:val="00222050"/>
    <w:rsid w:val="00226822"/>
    <w:rsid w:val="002548B0"/>
    <w:rsid w:val="00260594"/>
    <w:rsid w:val="00285017"/>
    <w:rsid w:val="002A2D2E"/>
    <w:rsid w:val="002E5D85"/>
    <w:rsid w:val="003321CE"/>
    <w:rsid w:val="00333F35"/>
    <w:rsid w:val="00343749"/>
    <w:rsid w:val="00357D50"/>
    <w:rsid w:val="003751FE"/>
    <w:rsid w:val="003925DC"/>
    <w:rsid w:val="003B0550"/>
    <w:rsid w:val="003B694F"/>
    <w:rsid w:val="003D4403"/>
    <w:rsid w:val="003E5468"/>
    <w:rsid w:val="003F171C"/>
    <w:rsid w:val="00407862"/>
    <w:rsid w:val="00412FC5"/>
    <w:rsid w:val="004149FA"/>
    <w:rsid w:val="004219A3"/>
    <w:rsid w:val="00421B71"/>
    <w:rsid w:val="00422276"/>
    <w:rsid w:val="004242F1"/>
    <w:rsid w:val="00444740"/>
    <w:rsid w:val="004454A8"/>
    <w:rsid w:val="00445A00"/>
    <w:rsid w:val="00451B0F"/>
    <w:rsid w:val="0046125F"/>
    <w:rsid w:val="00471580"/>
    <w:rsid w:val="00487524"/>
    <w:rsid w:val="004878A2"/>
    <w:rsid w:val="00496106"/>
    <w:rsid w:val="004A3625"/>
    <w:rsid w:val="004B070B"/>
    <w:rsid w:val="004C12D0"/>
    <w:rsid w:val="004C2EE3"/>
    <w:rsid w:val="004D64F6"/>
    <w:rsid w:val="004D7912"/>
    <w:rsid w:val="004E0FC0"/>
    <w:rsid w:val="004E4A22"/>
    <w:rsid w:val="004E7E40"/>
    <w:rsid w:val="004F6886"/>
    <w:rsid w:val="00511968"/>
    <w:rsid w:val="0055614C"/>
    <w:rsid w:val="00557EB7"/>
    <w:rsid w:val="0056337C"/>
    <w:rsid w:val="00571DD3"/>
    <w:rsid w:val="005978F5"/>
    <w:rsid w:val="005C362F"/>
    <w:rsid w:val="005F45C8"/>
    <w:rsid w:val="005F5BF2"/>
    <w:rsid w:val="00607BA5"/>
    <w:rsid w:val="006159D3"/>
    <w:rsid w:val="00626EB6"/>
    <w:rsid w:val="00630C76"/>
    <w:rsid w:val="006353A3"/>
    <w:rsid w:val="00636E90"/>
    <w:rsid w:val="00650418"/>
    <w:rsid w:val="00655D03"/>
    <w:rsid w:val="00660F88"/>
    <w:rsid w:val="00662409"/>
    <w:rsid w:val="00683F84"/>
    <w:rsid w:val="006906C6"/>
    <w:rsid w:val="0069555B"/>
    <w:rsid w:val="006A6A81"/>
    <w:rsid w:val="006D03CD"/>
    <w:rsid w:val="006E26AF"/>
    <w:rsid w:val="006F7393"/>
    <w:rsid w:val="0070224F"/>
    <w:rsid w:val="007115F7"/>
    <w:rsid w:val="00716865"/>
    <w:rsid w:val="0075291B"/>
    <w:rsid w:val="0075380E"/>
    <w:rsid w:val="007702D7"/>
    <w:rsid w:val="00785689"/>
    <w:rsid w:val="0079631B"/>
    <w:rsid w:val="0079754B"/>
    <w:rsid w:val="007A1E6D"/>
    <w:rsid w:val="007C2C36"/>
    <w:rsid w:val="007F424E"/>
    <w:rsid w:val="007F43F2"/>
    <w:rsid w:val="007F5BB8"/>
    <w:rsid w:val="007F7DEF"/>
    <w:rsid w:val="00822CE0"/>
    <w:rsid w:val="00837C62"/>
    <w:rsid w:val="00841AB1"/>
    <w:rsid w:val="00853B4B"/>
    <w:rsid w:val="00893063"/>
    <w:rsid w:val="008B350F"/>
    <w:rsid w:val="008B38F6"/>
    <w:rsid w:val="008C22FD"/>
    <w:rsid w:val="008C5BA0"/>
    <w:rsid w:val="008F2BF5"/>
    <w:rsid w:val="008F6FB5"/>
    <w:rsid w:val="00906B2B"/>
    <w:rsid w:val="00910F12"/>
    <w:rsid w:val="00926503"/>
    <w:rsid w:val="00930ECF"/>
    <w:rsid w:val="00936DE5"/>
    <w:rsid w:val="009838BC"/>
    <w:rsid w:val="00993C29"/>
    <w:rsid w:val="00A018DC"/>
    <w:rsid w:val="00A356C0"/>
    <w:rsid w:val="00A45F4F"/>
    <w:rsid w:val="00A600A9"/>
    <w:rsid w:val="00A866AC"/>
    <w:rsid w:val="00A94A6F"/>
    <w:rsid w:val="00AA55B7"/>
    <w:rsid w:val="00AA5B9E"/>
    <w:rsid w:val="00AB2407"/>
    <w:rsid w:val="00AB53DF"/>
    <w:rsid w:val="00AC6196"/>
    <w:rsid w:val="00AD293C"/>
    <w:rsid w:val="00AD7AA2"/>
    <w:rsid w:val="00AE7A1F"/>
    <w:rsid w:val="00B07E5C"/>
    <w:rsid w:val="00B20363"/>
    <w:rsid w:val="00B219B8"/>
    <w:rsid w:val="00B21BD3"/>
    <w:rsid w:val="00B326E3"/>
    <w:rsid w:val="00B6048F"/>
    <w:rsid w:val="00B713DE"/>
    <w:rsid w:val="00B811F7"/>
    <w:rsid w:val="00B86A74"/>
    <w:rsid w:val="00BA036D"/>
    <w:rsid w:val="00BA5DC6"/>
    <w:rsid w:val="00BA6196"/>
    <w:rsid w:val="00BC6D8C"/>
    <w:rsid w:val="00C16AF2"/>
    <w:rsid w:val="00C34006"/>
    <w:rsid w:val="00C426B1"/>
    <w:rsid w:val="00C540F3"/>
    <w:rsid w:val="00C82B6B"/>
    <w:rsid w:val="00C90D6A"/>
    <w:rsid w:val="00C929B6"/>
    <w:rsid w:val="00CC00DC"/>
    <w:rsid w:val="00CC72B6"/>
    <w:rsid w:val="00CD3F4F"/>
    <w:rsid w:val="00CE42B4"/>
    <w:rsid w:val="00D0218D"/>
    <w:rsid w:val="00D216CD"/>
    <w:rsid w:val="00D4317D"/>
    <w:rsid w:val="00D77BE4"/>
    <w:rsid w:val="00DA2529"/>
    <w:rsid w:val="00DB130A"/>
    <w:rsid w:val="00DC0747"/>
    <w:rsid w:val="00DC10A1"/>
    <w:rsid w:val="00DC655F"/>
    <w:rsid w:val="00DD7EBD"/>
    <w:rsid w:val="00DE5C3C"/>
    <w:rsid w:val="00DF62B6"/>
    <w:rsid w:val="00E07225"/>
    <w:rsid w:val="00E155B7"/>
    <w:rsid w:val="00E5409F"/>
    <w:rsid w:val="00E750DA"/>
    <w:rsid w:val="00E83111"/>
    <w:rsid w:val="00E92C92"/>
    <w:rsid w:val="00E95F73"/>
    <w:rsid w:val="00EC0185"/>
    <w:rsid w:val="00EC66CA"/>
    <w:rsid w:val="00EE1F3F"/>
    <w:rsid w:val="00EE5061"/>
    <w:rsid w:val="00EF10CE"/>
    <w:rsid w:val="00F021FA"/>
    <w:rsid w:val="00F21760"/>
    <w:rsid w:val="00F21E80"/>
    <w:rsid w:val="00F30127"/>
    <w:rsid w:val="00F5331F"/>
    <w:rsid w:val="00F56EA4"/>
    <w:rsid w:val="00F57ACA"/>
    <w:rsid w:val="00F62E97"/>
    <w:rsid w:val="00F64209"/>
    <w:rsid w:val="00F93BF5"/>
    <w:rsid w:val="00F96F63"/>
    <w:rsid w:val="00F97CCF"/>
    <w:rsid w:val="00FC2E17"/>
    <w:rsid w:val="00FD3E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F055E3-A1BB-49ED-BBF4-5A891971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uiPriority w:val="99"/>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NoSpacing">
    <w:name w:val="No Spacing"/>
    <w:uiPriority w:val="1"/>
    <w:qFormat/>
    <w:rsid w:val="005C362F"/>
    <w:rPr>
      <w:sz w:val="22"/>
    </w:rPr>
  </w:style>
  <w:style w:type="paragraph" w:styleId="BalloonText">
    <w:name w:val="Balloon Text"/>
    <w:basedOn w:val="Normal"/>
    <w:link w:val="BalloonTextChar"/>
    <w:uiPriority w:val="99"/>
    <w:semiHidden/>
    <w:unhideWhenUsed/>
    <w:rsid w:val="00630C76"/>
    <w:rPr>
      <w:rFonts w:ascii="Segoe UI" w:hAnsi="Segoe UI" w:cs="Segoe UI"/>
      <w:sz w:val="18"/>
      <w:szCs w:val="18"/>
    </w:rPr>
  </w:style>
  <w:style w:type="character" w:customStyle="1" w:styleId="BalloonTextChar">
    <w:name w:val="Balloon Text Char"/>
    <w:link w:val="BalloonText"/>
    <w:uiPriority w:val="99"/>
    <w:semiHidden/>
    <w:rsid w:val="00630C76"/>
    <w:rPr>
      <w:rFonts w:ascii="Segoe UI" w:hAnsi="Segoe UI" w:cs="Segoe UI"/>
      <w:snapToGrid w:val="0"/>
      <w:kern w:val="28"/>
      <w:sz w:val="18"/>
      <w:szCs w:val="18"/>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uiPriority w:val="99"/>
    <w:rsid w:val="00636E90"/>
  </w:style>
  <w:style w:type="paragraph" w:styleId="ListParagraph">
    <w:name w:val="List Paragraph"/>
    <w:basedOn w:val="Normal"/>
    <w:uiPriority w:val="34"/>
    <w:qFormat/>
    <w:rsid w:val="00636E90"/>
    <w:pPr>
      <w:widowControl/>
      <w:ind w:left="720"/>
    </w:pPr>
    <w:rPr>
      <w:snapToGrid/>
      <w:kern w:val="0"/>
    </w:rPr>
  </w:style>
  <w:style w:type="character" w:styleId="CommentReference">
    <w:name w:val="annotation reference"/>
    <w:uiPriority w:val="99"/>
    <w:semiHidden/>
    <w:unhideWhenUsed/>
    <w:rsid w:val="000A5F66"/>
    <w:rPr>
      <w:sz w:val="16"/>
      <w:szCs w:val="16"/>
    </w:rPr>
  </w:style>
  <w:style w:type="paragraph" w:styleId="CommentText">
    <w:name w:val="annotation text"/>
    <w:basedOn w:val="Normal"/>
    <w:link w:val="CommentTextChar"/>
    <w:uiPriority w:val="99"/>
    <w:semiHidden/>
    <w:unhideWhenUsed/>
    <w:rsid w:val="000A5F66"/>
    <w:rPr>
      <w:sz w:val="20"/>
    </w:rPr>
  </w:style>
  <w:style w:type="character" w:customStyle="1" w:styleId="CommentTextChar">
    <w:name w:val="Comment Text Char"/>
    <w:link w:val="CommentText"/>
    <w:uiPriority w:val="99"/>
    <w:semiHidden/>
    <w:rsid w:val="000A5F66"/>
    <w:rPr>
      <w:snapToGrid w:val="0"/>
      <w:kern w:val="28"/>
    </w:rPr>
  </w:style>
  <w:style w:type="paragraph" w:styleId="CommentSubject">
    <w:name w:val="annotation subject"/>
    <w:basedOn w:val="CommentText"/>
    <w:next w:val="CommentText"/>
    <w:link w:val="CommentSubjectChar"/>
    <w:uiPriority w:val="99"/>
    <w:semiHidden/>
    <w:unhideWhenUsed/>
    <w:rsid w:val="000A5F66"/>
    <w:rPr>
      <w:b/>
      <w:bCs/>
    </w:rPr>
  </w:style>
  <w:style w:type="character" w:customStyle="1" w:styleId="CommentSubjectChar">
    <w:name w:val="Comment Subject Char"/>
    <w:link w:val="CommentSubject"/>
    <w:uiPriority w:val="99"/>
    <w:semiHidden/>
    <w:rsid w:val="000A5F66"/>
    <w:rPr>
      <w:b/>
      <w:bCs/>
      <w:snapToGrid w:val="0"/>
      <w:kern w:val="28"/>
    </w:rPr>
  </w:style>
  <w:style w:type="character" w:customStyle="1" w:styleId="UnresolvedMention">
    <w:name w:val="Unresolved Mention"/>
    <w:uiPriority w:val="99"/>
    <w:semiHidden/>
    <w:unhideWhenUsed/>
    <w:rsid w:val="00F3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