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47505" w:rsidRPr="00B20363" w:rsidP="00D47505" w14:paraId="3B0C0406" w14:textId="0D8A4186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3826D9">
        <w:rPr>
          <w:b/>
          <w:sz w:val="24"/>
        </w:rPr>
        <w:t>20</w:t>
      </w:r>
      <w:r>
        <w:rPr>
          <w:b/>
          <w:sz w:val="24"/>
        </w:rPr>
        <w:t>-</w:t>
      </w:r>
      <w:r w:rsidR="003D79FE">
        <w:rPr>
          <w:b/>
          <w:sz w:val="24"/>
        </w:rPr>
        <w:t>1024</w:t>
      </w:r>
      <w:bookmarkStart w:id="0" w:name="_GoBack"/>
      <w:bookmarkEnd w:id="0"/>
    </w:p>
    <w:p w:rsidR="00D47505" w:rsidRPr="00B20363" w:rsidP="00D47505" w14:paraId="57032C13" w14:textId="66420D7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D70F7">
        <w:rPr>
          <w:b/>
          <w:sz w:val="24"/>
        </w:rPr>
        <w:t xml:space="preserve">September </w:t>
      </w:r>
      <w:r w:rsidR="00FD7B3A">
        <w:rPr>
          <w:b/>
          <w:sz w:val="24"/>
        </w:rPr>
        <w:t>3</w:t>
      </w:r>
      <w:r w:rsidR="003826D9">
        <w:rPr>
          <w:b/>
          <w:sz w:val="24"/>
        </w:rPr>
        <w:t>, 2020</w:t>
      </w:r>
    </w:p>
    <w:p w:rsidR="00D47505" w:rsidP="00D47505" w14:paraId="2FBEC333" w14:textId="77777777">
      <w:pPr>
        <w:jc w:val="right"/>
        <w:rPr>
          <w:sz w:val="24"/>
        </w:rPr>
      </w:pPr>
    </w:p>
    <w:p w:rsidR="005B4C09" w:rsidP="00117EED" w14:paraId="4866F234" w14:textId="48D76167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>NOTICE OF PROHIBITED PRESENTATION</w:t>
      </w:r>
      <w:r w:rsidR="00240A47">
        <w:rPr>
          <w:b/>
          <w:sz w:val="24"/>
          <w:szCs w:val="24"/>
        </w:rPr>
        <w:t>S</w:t>
      </w:r>
      <w:r w:rsidRPr="00427DA9">
        <w:rPr>
          <w:b/>
          <w:sz w:val="24"/>
          <w:szCs w:val="24"/>
        </w:rPr>
        <w:t xml:space="preserve"> IN THE MATTER OF</w:t>
      </w:r>
      <w:r w:rsidR="003826D9">
        <w:rPr>
          <w:b/>
          <w:sz w:val="24"/>
          <w:szCs w:val="24"/>
        </w:rPr>
        <w:t xml:space="preserve"> </w:t>
      </w:r>
      <w:r w:rsidR="00117EED">
        <w:rPr>
          <w:b/>
          <w:sz w:val="24"/>
          <w:szCs w:val="24"/>
        </w:rPr>
        <w:t xml:space="preserve">RATES FOR INTERSTATE INMATE CALLING SERVICES (WC DOCKET NO. 12-375) </w:t>
      </w:r>
    </w:p>
    <w:p w:rsidR="00117EED" w:rsidRPr="00427DA9" w:rsidP="00117EED" w14:paraId="09C09998" w14:textId="77777777">
      <w:pPr>
        <w:widowControl/>
        <w:suppressAutoHyphens/>
        <w:spacing w:before="90" w:after="54"/>
        <w:jc w:val="center"/>
        <w:rPr>
          <w:sz w:val="24"/>
          <w:szCs w:val="24"/>
        </w:rPr>
      </w:pPr>
    </w:p>
    <w:p w:rsidR="00145C8B" w:rsidRPr="00FB3F63" w:rsidP="00145C8B" w14:paraId="30669CAB" w14:textId="0D74BBF2">
      <w:pPr>
        <w:rPr>
          <w:szCs w:val="22"/>
        </w:rPr>
      </w:pPr>
      <w:r w:rsidRPr="00FB3F63">
        <w:rPr>
          <w:szCs w:val="22"/>
        </w:rPr>
        <w:t xml:space="preserve">Notice is hereby given that </w:t>
      </w:r>
      <w:r w:rsidRPr="00FB3F63" w:rsidR="00C458CD">
        <w:rPr>
          <w:szCs w:val="22"/>
        </w:rPr>
        <w:t xml:space="preserve">the Commission received </w:t>
      </w:r>
      <w:r w:rsidR="00B20043">
        <w:rPr>
          <w:szCs w:val="22"/>
        </w:rPr>
        <w:t xml:space="preserve">during the Sunshine Agenda Period </w:t>
      </w:r>
      <w:r w:rsidRPr="00FB3F63" w:rsidR="001D12E7">
        <w:rPr>
          <w:szCs w:val="22"/>
        </w:rPr>
        <w:t>p</w:t>
      </w:r>
      <w:r w:rsidRPr="00FB3F63" w:rsidR="00C458CD">
        <w:rPr>
          <w:szCs w:val="22"/>
        </w:rPr>
        <w:t>rohibited written presentation</w:t>
      </w:r>
      <w:r w:rsidR="00240A47">
        <w:rPr>
          <w:szCs w:val="22"/>
        </w:rPr>
        <w:t>s listed in the attached Appendix</w:t>
      </w:r>
      <w:r w:rsidRPr="00FB3F63" w:rsidR="00991362">
        <w:rPr>
          <w:szCs w:val="22"/>
        </w:rPr>
        <w:t xml:space="preserve">.     </w:t>
      </w:r>
      <w:r w:rsidRPr="00FB3F63" w:rsidR="00432B5E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6B95158C" w14:textId="77777777">
      <w:pPr>
        <w:rPr>
          <w:szCs w:val="22"/>
        </w:rPr>
      </w:pPr>
    </w:p>
    <w:p w:rsidR="00145C8B" w:rsidRPr="00FB3F63" w:rsidP="00145C8B" w14:paraId="51689C5C" w14:textId="2EA071F1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 w:rsidR="000D1C79">
        <w:rPr>
          <w:szCs w:val="22"/>
        </w:rPr>
        <w:t xml:space="preserve"> </w:t>
      </w:r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>ex 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>making personnel concerning any matter listed on the Commission's Sunshine Agenda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from the day after the Sunshine Agenda is released until the Commission releases the text of a decision or order relating to that matter or removes the item from the </w:t>
      </w:r>
      <w:r w:rsidRPr="00FB3F63" w:rsidR="00847087">
        <w:rPr>
          <w:szCs w:val="22"/>
        </w:rPr>
        <w:t>S</w:t>
      </w:r>
      <w:r w:rsidRPr="00FB3F63">
        <w:rPr>
          <w:szCs w:val="22"/>
        </w:rPr>
        <w:t xml:space="preserve">unshine </w:t>
      </w:r>
      <w:r w:rsidRPr="00FB3F63" w:rsidR="00847087">
        <w:rPr>
          <w:szCs w:val="22"/>
        </w:rPr>
        <w:t>A</w:t>
      </w:r>
      <w:r w:rsidRPr="00FB3F63">
        <w:rPr>
          <w:szCs w:val="22"/>
        </w:rPr>
        <w:t xml:space="preserve">genda.  The instant presentations addressed the merits of the above-referenced proceeding, which </w:t>
      </w:r>
      <w:r w:rsidRPr="00FB3F63" w:rsidR="00276036">
        <w:rPr>
          <w:szCs w:val="22"/>
        </w:rPr>
        <w:t>was</w:t>
      </w:r>
      <w:r w:rsidRPr="00FB3F63" w:rsidR="00432B5E">
        <w:rPr>
          <w:szCs w:val="22"/>
        </w:rPr>
        <w:t xml:space="preserve"> </w:t>
      </w:r>
      <w:r w:rsidRPr="00FB3F63">
        <w:rPr>
          <w:szCs w:val="22"/>
        </w:rPr>
        <w:t xml:space="preserve">included </w:t>
      </w:r>
      <w:r w:rsidRPr="00FB3F63" w:rsidR="008E08FA">
        <w:rPr>
          <w:szCs w:val="22"/>
        </w:rPr>
        <w:t>o</w:t>
      </w:r>
      <w:r w:rsidRPr="00FB3F63">
        <w:rPr>
          <w:szCs w:val="22"/>
        </w:rPr>
        <w:t xml:space="preserve">n the Commission's Sunshine Agenda by Public Notice released </w:t>
      </w:r>
      <w:r w:rsidR="003826D9">
        <w:rPr>
          <w:szCs w:val="22"/>
        </w:rPr>
        <w:t>J</w:t>
      </w:r>
      <w:r w:rsidR="00386425">
        <w:rPr>
          <w:szCs w:val="22"/>
        </w:rPr>
        <w:t xml:space="preserve">uly 30, 2020 </w:t>
      </w:r>
      <w:r w:rsidRPr="00FB3F63" w:rsidR="007425A5">
        <w:rPr>
          <w:szCs w:val="22"/>
        </w:rPr>
        <w:t>f</w:t>
      </w:r>
      <w:r w:rsidRPr="00FB3F63">
        <w:rPr>
          <w:szCs w:val="22"/>
        </w:rPr>
        <w:t xml:space="preserve">or consideration at the </w:t>
      </w:r>
      <w:r w:rsidR="00386425">
        <w:rPr>
          <w:szCs w:val="22"/>
        </w:rPr>
        <w:t>August 6</w:t>
      </w:r>
      <w:r w:rsidR="00072898">
        <w:rPr>
          <w:szCs w:val="22"/>
        </w:rPr>
        <w:t xml:space="preserve"> o</w:t>
      </w:r>
      <w:r w:rsidRPr="00FB3F63">
        <w:rPr>
          <w:szCs w:val="22"/>
        </w:rPr>
        <w:t xml:space="preserve">pen Commission meeting.  The Commission released </w:t>
      </w:r>
      <w:r w:rsidRPr="00FB3F63" w:rsidR="00BB0717">
        <w:rPr>
          <w:szCs w:val="22"/>
        </w:rPr>
        <w:t xml:space="preserve">a </w:t>
      </w:r>
      <w:r w:rsidR="00386425">
        <w:rPr>
          <w:szCs w:val="22"/>
        </w:rPr>
        <w:t xml:space="preserve">Report and Order on Remand and Fourth Further Notice of Proposed Rulemaking </w:t>
      </w:r>
      <w:r w:rsidRPr="00FB3F63" w:rsidR="00BB0717">
        <w:rPr>
          <w:szCs w:val="22"/>
        </w:rPr>
        <w:t xml:space="preserve">on </w:t>
      </w:r>
      <w:r w:rsidR="00386425">
        <w:rPr>
          <w:szCs w:val="22"/>
        </w:rPr>
        <w:t xml:space="preserve">August </w:t>
      </w:r>
      <w:r w:rsidR="009932BC">
        <w:rPr>
          <w:szCs w:val="22"/>
        </w:rPr>
        <w:t>7</w:t>
      </w:r>
      <w:r w:rsidR="00386425">
        <w:rPr>
          <w:szCs w:val="22"/>
        </w:rPr>
        <w:t xml:space="preserve">, </w:t>
      </w:r>
      <w:r w:rsidR="003826D9">
        <w:rPr>
          <w:szCs w:val="22"/>
        </w:rPr>
        <w:t>2020</w:t>
      </w:r>
      <w:r w:rsidRPr="00FB3F63" w:rsidR="00BB0717">
        <w:rPr>
          <w:szCs w:val="22"/>
        </w:rPr>
        <w:t xml:space="preserve">.  </w:t>
      </w:r>
      <w:r w:rsidR="003E62F9">
        <w:rPr>
          <w:i/>
          <w:iCs/>
          <w:szCs w:val="22"/>
        </w:rPr>
        <w:t>Rates</w:t>
      </w:r>
      <w:r w:rsidR="00386425">
        <w:rPr>
          <w:i/>
          <w:iCs/>
          <w:szCs w:val="22"/>
        </w:rPr>
        <w:t xml:space="preserve"> for Interstate Inmate Calling Services,</w:t>
      </w:r>
      <w:r w:rsidR="00240A47">
        <w:rPr>
          <w:i/>
          <w:szCs w:val="22"/>
        </w:rPr>
        <w:t xml:space="preserve"> </w:t>
      </w:r>
      <w:r w:rsidRPr="00FB3F63" w:rsidR="00BB0717">
        <w:rPr>
          <w:szCs w:val="22"/>
        </w:rPr>
        <w:t xml:space="preserve">FCC </w:t>
      </w:r>
      <w:r w:rsidR="003826D9">
        <w:rPr>
          <w:szCs w:val="22"/>
        </w:rPr>
        <w:t>20-</w:t>
      </w:r>
      <w:r w:rsidR="00F17819">
        <w:rPr>
          <w:szCs w:val="22"/>
        </w:rPr>
        <w:t xml:space="preserve">111 </w:t>
      </w:r>
      <w:r w:rsidRPr="00FB3F63" w:rsidR="00BB0717">
        <w:rPr>
          <w:szCs w:val="22"/>
        </w:rPr>
        <w:t>(</w:t>
      </w:r>
      <w:r w:rsidR="00386425">
        <w:rPr>
          <w:szCs w:val="22"/>
        </w:rPr>
        <w:t xml:space="preserve">Aug. </w:t>
      </w:r>
      <w:r w:rsidR="009932BC">
        <w:rPr>
          <w:szCs w:val="22"/>
        </w:rPr>
        <w:t>7</w:t>
      </w:r>
      <w:r w:rsidR="00386425">
        <w:rPr>
          <w:szCs w:val="22"/>
        </w:rPr>
        <w:t xml:space="preserve">, </w:t>
      </w:r>
      <w:r w:rsidR="003826D9">
        <w:rPr>
          <w:szCs w:val="22"/>
        </w:rPr>
        <w:t>2020</w:t>
      </w:r>
      <w:r w:rsidRPr="00FB3F63" w:rsidR="00365F79">
        <w:rPr>
          <w:szCs w:val="22"/>
        </w:rPr>
        <w:t>).</w:t>
      </w:r>
      <w:r w:rsidRPr="00FB3F63" w:rsidR="00364A65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3543630B" w14:textId="77777777">
      <w:pPr>
        <w:rPr>
          <w:szCs w:val="22"/>
        </w:rPr>
      </w:pPr>
    </w:p>
    <w:p w:rsidR="00145C8B" w:rsidRPr="00FB3F63" w:rsidP="00145C8B" w14:paraId="03CC729E" w14:textId="1BF004CB">
      <w:pPr>
        <w:rPr>
          <w:szCs w:val="22"/>
        </w:rPr>
      </w:pPr>
      <w:r w:rsidRPr="00FB3F63">
        <w:rPr>
          <w:szCs w:val="22"/>
        </w:rPr>
        <w:t xml:space="preserve">Under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</w:t>
      </w:r>
      <w:r w:rsidR="003E62F9">
        <w:rPr>
          <w:szCs w:val="22"/>
        </w:rPr>
        <w:t>neither</w:t>
      </w:r>
      <w:r w:rsidRPr="00FB3F63">
        <w:rPr>
          <w:szCs w:val="22"/>
        </w:rPr>
        <w:t xml:space="preserve"> meet an exception provided by </w:t>
      </w:r>
      <w:r w:rsidR="000D1C79">
        <w:rPr>
          <w:szCs w:val="22"/>
        </w:rPr>
        <w:t>s</w:t>
      </w:r>
      <w:r w:rsidR="00947D3F">
        <w:rPr>
          <w:szCs w:val="22"/>
        </w:rPr>
        <w:t>ection</w:t>
      </w:r>
      <w:r w:rsidRPr="00FB3F63">
        <w:rPr>
          <w:szCs w:val="22"/>
        </w:rPr>
        <w:t xml:space="preserve"> 1.1204(a)</w:t>
      </w:r>
      <w:r w:rsidR="000D1C79"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</w:t>
      </w:r>
      <w:r w:rsidR="00A4020B">
        <w:rPr>
          <w:szCs w:val="22"/>
        </w:rPr>
        <w:t>nor are covered by</w:t>
      </w:r>
      <w:r w:rsidRPr="00FB3F63">
        <w:rPr>
          <w:szCs w:val="22"/>
        </w:rPr>
        <w:t xml:space="preserve"> a Commission waiver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shall be associated with, but not made a part of, the record in the relevant proceedings.  In accordance with the rule, the presentation</w:t>
      </w:r>
      <w:r w:rsidR="00240A47">
        <w:rPr>
          <w:szCs w:val="22"/>
        </w:rPr>
        <w:t>s</w:t>
      </w:r>
      <w:r w:rsidRPr="00FB3F63">
        <w:rPr>
          <w:szCs w:val="22"/>
        </w:rPr>
        <w:t xml:space="preserve"> here will be associated with, but not made part of</w:t>
      </w:r>
      <w:r w:rsidRPr="00FB3F63" w:rsidR="001C03FA">
        <w:rPr>
          <w:szCs w:val="22"/>
        </w:rPr>
        <w:t>,</w:t>
      </w:r>
      <w:r w:rsidRPr="00FB3F63">
        <w:rPr>
          <w:szCs w:val="22"/>
        </w:rPr>
        <w:t xml:space="preserve"> the record in the above-referenced proceeding.    </w:t>
      </w:r>
    </w:p>
    <w:p w:rsidR="00145C8B" w:rsidRPr="00FB3F63" w:rsidP="00145C8B" w14:paraId="5555D583" w14:textId="77777777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320F13" w:rsidRPr="00FB3F63" w:rsidP="00145C8B" w14:paraId="58ECF2AE" w14:textId="35D43287">
      <w:pPr>
        <w:rPr>
          <w:szCs w:val="22"/>
        </w:rPr>
      </w:pPr>
      <w:r>
        <w:rPr>
          <w:szCs w:val="22"/>
        </w:rPr>
        <w:t xml:space="preserve">Commission headquarters remains closed due to the COVID-19 </w:t>
      </w:r>
      <w:r w:rsidR="008B502E">
        <w:rPr>
          <w:szCs w:val="22"/>
        </w:rPr>
        <w:t>pandemic</w:t>
      </w:r>
      <w:r>
        <w:rPr>
          <w:szCs w:val="22"/>
        </w:rPr>
        <w:t xml:space="preserve">.  </w:t>
      </w:r>
      <w:r>
        <w:rPr>
          <w:i/>
          <w:iCs/>
          <w:szCs w:val="22"/>
        </w:rPr>
        <w:t xml:space="preserve">See FCC Announces </w:t>
      </w:r>
      <w:r w:rsidR="003328E1">
        <w:rPr>
          <w:i/>
          <w:iCs/>
          <w:szCs w:val="22"/>
        </w:rPr>
        <w:t xml:space="preserve">Updated Restrictions on Visitors to its Facilities, </w:t>
      </w:r>
      <w:r>
        <w:rPr>
          <w:szCs w:val="22"/>
        </w:rPr>
        <w:t>Public Notice</w:t>
      </w:r>
      <w:r w:rsidR="003328E1">
        <w:rPr>
          <w:szCs w:val="22"/>
        </w:rPr>
        <w:t xml:space="preserve"> </w:t>
      </w:r>
      <w:r>
        <w:rPr>
          <w:szCs w:val="22"/>
        </w:rPr>
        <w:t>(Mar. 1</w:t>
      </w:r>
      <w:r w:rsidR="003328E1">
        <w:rPr>
          <w:szCs w:val="22"/>
        </w:rPr>
        <w:t>2</w:t>
      </w:r>
      <w:r>
        <w:rPr>
          <w:szCs w:val="22"/>
        </w:rPr>
        <w:t xml:space="preserve">, 2020).  When it </w:t>
      </w:r>
      <w:r w:rsidR="0088009D">
        <w:rPr>
          <w:szCs w:val="22"/>
        </w:rPr>
        <w:t>is open to the public,</w:t>
      </w:r>
      <w:r>
        <w:rPr>
          <w:szCs w:val="22"/>
        </w:rPr>
        <w:t xml:space="preserve"> t</w:t>
      </w:r>
      <w:r w:rsidRPr="00653DC6" w:rsidR="00145C8B">
        <w:rPr>
          <w:szCs w:val="22"/>
        </w:rPr>
        <w:t>he</w:t>
      </w:r>
      <w:r w:rsidRPr="00FB3F63" w:rsidR="00145C8B">
        <w:rPr>
          <w:szCs w:val="22"/>
        </w:rPr>
        <w:t xml:space="preserve"> full text</w:t>
      </w:r>
      <w:r w:rsidR="00AA3362">
        <w:rPr>
          <w:szCs w:val="22"/>
        </w:rPr>
        <w:t>s</w:t>
      </w:r>
      <w:r w:rsidRPr="00FB3F63" w:rsidR="00145C8B">
        <w:rPr>
          <w:szCs w:val="22"/>
        </w:rPr>
        <w:t xml:space="preserve"> of th</w:t>
      </w:r>
      <w:r w:rsidR="00AA3362">
        <w:rPr>
          <w:szCs w:val="22"/>
        </w:rPr>
        <w:t>ese</w:t>
      </w:r>
      <w:r w:rsidRPr="00FB3F63" w:rsidR="00145C8B">
        <w:rPr>
          <w:szCs w:val="22"/>
        </w:rPr>
        <w:t xml:space="preserve"> presentation</w:t>
      </w:r>
      <w:r w:rsidR="00240A47">
        <w:rPr>
          <w:szCs w:val="22"/>
        </w:rPr>
        <w:t xml:space="preserve">s </w:t>
      </w:r>
      <w:r>
        <w:rPr>
          <w:szCs w:val="22"/>
        </w:rPr>
        <w:t xml:space="preserve">will be </w:t>
      </w:r>
      <w:r w:rsidRPr="00FB3F63" w:rsidR="00145C8B">
        <w:rPr>
          <w:szCs w:val="22"/>
        </w:rPr>
        <w:t xml:space="preserve">available for public inspection and copying during regular business hours at the FCC Reference Information Center, </w:t>
      </w:r>
      <w:r w:rsidR="00A767D3">
        <w:rPr>
          <w:szCs w:val="22"/>
        </w:rPr>
        <w:t xml:space="preserve">45 L Street, NE, </w:t>
      </w:r>
      <w:r w:rsidRPr="00FB3F63" w:rsidR="00145C8B">
        <w:rPr>
          <w:szCs w:val="22"/>
        </w:rPr>
        <w:t>Washington, DC 20554.  Th</w:t>
      </w:r>
      <w:r w:rsidR="00AA3362">
        <w:rPr>
          <w:szCs w:val="22"/>
        </w:rPr>
        <w:t>ese</w:t>
      </w:r>
      <w:r w:rsidRPr="00FB3F63" w:rsidR="00276036">
        <w:rPr>
          <w:szCs w:val="22"/>
        </w:rPr>
        <w:t xml:space="preserve"> </w:t>
      </w:r>
      <w:r w:rsidRPr="00FB3F63" w:rsidR="00145C8B">
        <w:rPr>
          <w:szCs w:val="22"/>
        </w:rPr>
        <w:t>filing</w:t>
      </w:r>
      <w:r w:rsidR="00AA3362">
        <w:rPr>
          <w:szCs w:val="22"/>
        </w:rPr>
        <w:t>s</w:t>
      </w:r>
      <w:r w:rsidRPr="00FB3F63" w:rsidR="00145C8B">
        <w:rPr>
          <w:szCs w:val="22"/>
        </w:rPr>
        <w:t xml:space="preserve"> may also be viewed in the Commission’s Electronic Comment Filing System (ECFS) at </w:t>
      </w:r>
      <w:hyperlink r:id="rId4" w:history="1">
        <w:r w:rsidR="00B05D83">
          <w:rPr>
            <w:rStyle w:val="Hyperlink"/>
          </w:rPr>
          <w:t>https://www.fcc.gov/ecfs/</w:t>
        </w:r>
      </w:hyperlink>
      <w:hyperlink r:id="rId5" w:history="1"/>
      <w:r w:rsidRPr="00FB3F63" w:rsidR="00145C8B">
        <w:rPr>
          <w:szCs w:val="22"/>
        </w:rPr>
        <w:t xml:space="preserve">.  </w:t>
      </w:r>
    </w:p>
    <w:p w:rsidR="00320F13" w:rsidRPr="00FB3F63" w:rsidP="00145C8B" w14:paraId="1526F33A" w14:textId="77777777">
      <w:pPr>
        <w:rPr>
          <w:szCs w:val="22"/>
        </w:rPr>
      </w:pPr>
    </w:p>
    <w:p w:rsidR="00795331" w:rsidP="00145C8B" w14:paraId="124DAEC5" w14:textId="2F03481E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795331" w14:paraId="2BF27ECA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C31C2F" w:rsidP="00795331" w14:paraId="300AF26F" w14:textId="3B56FB21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795331" w:rsidP="00795331" w14:paraId="12ECF822" w14:textId="27F7ED58">
      <w:pPr>
        <w:jc w:val="center"/>
        <w:rPr>
          <w:b/>
          <w:szCs w:val="22"/>
        </w:rPr>
      </w:pPr>
    </w:p>
    <w:p w:rsidR="00795331" w:rsidP="00795331" w14:paraId="6D591D43" w14:textId="5856024E">
      <w:pPr>
        <w:rPr>
          <w:b/>
          <w:szCs w:val="22"/>
        </w:rPr>
      </w:pPr>
      <w:r>
        <w:rPr>
          <w:b/>
          <w:szCs w:val="22"/>
        </w:rPr>
        <w:t>Filer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Date Received</w:t>
      </w:r>
    </w:p>
    <w:p w:rsidR="00795331" w:rsidP="00795331" w14:paraId="76A34C90" w14:textId="71BD3588">
      <w:pPr>
        <w:rPr>
          <w:b/>
          <w:szCs w:val="22"/>
        </w:rPr>
      </w:pPr>
    </w:p>
    <w:p w:rsidR="007937F4" w:rsidP="00795331" w14:paraId="263BD578" w14:textId="791279E6">
      <w:pPr>
        <w:rPr>
          <w:szCs w:val="22"/>
        </w:rPr>
      </w:pPr>
      <w:r>
        <w:rPr>
          <w:szCs w:val="22"/>
        </w:rPr>
        <w:t xml:space="preserve">Secured Perimeters International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August 5, 2020</w:t>
      </w:r>
    </w:p>
    <w:p w:rsidR="005B32C5" w:rsidP="00795331" w14:paraId="54DB7779" w14:textId="02832DCF">
      <w:pPr>
        <w:rPr>
          <w:szCs w:val="22"/>
        </w:rPr>
      </w:pPr>
    </w:p>
    <w:p w:rsidR="005B32C5" w:rsidP="00795331" w14:paraId="7D81114C" w14:textId="50C3CED0">
      <w:pPr>
        <w:rPr>
          <w:szCs w:val="22"/>
        </w:rPr>
      </w:pPr>
      <w:r>
        <w:rPr>
          <w:szCs w:val="22"/>
        </w:rPr>
        <w:t>Human Rights Defense Center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July 31, 2020</w:t>
      </w:r>
    </w:p>
    <w:p w:rsidR="007937F4" w:rsidP="00795331" w14:paraId="21D45868" w14:textId="77777777">
      <w:pPr>
        <w:rPr>
          <w:szCs w:val="22"/>
        </w:rPr>
      </w:pPr>
    </w:p>
    <w:sectPr w:rsidSect="00DF0810"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37DF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4EACA7" w14:textId="77777777">
    <w:pPr>
      <w:pStyle w:val="Footer"/>
    </w:pPr>
  </w:p>
  <w:p w:rsidR="003660ED" w14:paraId="7F425C6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F2BF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P="000E05FE" w14:paraId="7E9B29C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20ACCB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6FD1EBB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941D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EF30E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7F0F2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03002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790A80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E50A7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744FD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6CC3381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118D6"/>
    <w:rsid w:val="00022FA8"/>
    <w:rsid w:val="00036039"/>
    <w:rsid w:val="00037F90"/>
    <w:rsid w:val="000552D3"/>
    <w:rsid w:val="00072898"/>
    <w:rsid w:val="000875BF"/>
    <w:rsid w:val="00092A84"/>
    <w:rsid w:val="00096D8C"/>
    <w:rsid w:val="000A7924"/>
    <w:rsid w:val="000C0B65"/>
    <w:rsid w:val="000C13DE"/>
    <w:rsid w:val="000D1C79"/>
    <w:rsid w:val="000D7622"/>
    <w:rsid w:val="000E05FE"/>
    <w:rsid w:val="000E3D42"/>
    <w:rsid w:val="000F6049"/>
    <w:rsid w:val="00117EED"/>
    <w:rsid w:val="00122BD5"/>
    <w:rsid w:val="00133F79"/>
    <w:rsid w:val="00145C8B"/>
    <w:rsid w:val="00194A66"/>
    <w:rsid w:val="001A301D"/>
    <w:rsid w:val="001C03FA"/>
    <w:rsid w:val="001D12E7"/>
    <w:rsid w:val="001D3408"/>
    <w:rsid w:val="001D508E"/>
    <w:rsid w:val="001D6BCF"/>
    <w:rsid w:val="001E01CA"/>
    <w:rsid w:val="00201CC7"/>
    <w:rsid w:val="002062D2"/>
    <w:rsid w:val="00240A47"/>
    <w:rsid w:val="00245454"/>
    <w:rsid w:val="00275CF5"/>
    <w:rsid w:val="00276036"/>
    <w:rsid w:val="0028301F"/>
    <w:rsid w:val="00285017"/>
    <w:rsid w:val="0029763F"/>
    <w:rsid w:val="002A2D2E"/>
    <w:rsid w:val="002B0098"/>
    <w:rsid w:val="002B7F6C"/>
    <w:rsid w:val="002C00E8"/>
    <w:rsid w:val="002D58C9"/>
    <w:rsid w:val="002E6010"/>
    <w:rsid w:val="002F3049"/>
    <w:rsid w:val="003049A1"/>
    <w:rsid w:val="00312960"/>
    <w:rsid w:val="003134B4"/>
    <w:rsid w:val="00314041"/>
    <w:rsid w:val="003209E6"/>
    <w:rsid w:val="00320F13"/>
    <w:rsid w:val="0032351F"/>
    <w:rsid w:val="00332100"/>
    <w:rsid w:val="003328E1"/>
    <w:rsid w:val="00343749"/>
    <w:rsid w:val="00355621"/>
    <w:rsid w:val="00364A65"/>
    <w:rsid w:val="00365F79"/>
    <w:rsid w:val="003660ED"/>
    <w:rsid w:val="003826D9"/>
    <w:rsid w:val="00386425"/>
    <w:rsid w:val="003B0550"/>
    <w:rsid w:val="003B1D50"/>
    <w:rsid w:val="003B694F"/>
    <w:rsid w:val="003C79E6"/>
    <w:rsid w:val="003D79FE"/>
    <w:rsid w:val="003E62F9"/>
    <w:rsid w:val="003F171C"/>
    <w:rsid w:val="003F4C72"/>
    <w:rsid w:val="00412FC5"/>
    <w:rsid w:val="00421CCD"/>
    <w:rsid w:val="00422276"/>
    <w:rsid w:val="004242F1"/>
    <w:rsid w:val="00427DA9"/>
    <w:rsid w:val="00432B5E"/>
    <w:rsid w:val="00433E60"/>
    <w:rsid w:val="00445A00"/>
    <w:rsid w:val="00447ACE"/>
    <w:rsid w:val="00451B0F"/>
    <w:rsid w:val="0045713B"/>
    <w:rsid w:val="00476D3A"/>
    <w:rsid w:val="00480903"/>
    <w:rsid w:val="00483E9E"/>
    <w:rsid w:val="00495C26"/>
    <w:rsid w:val="004B2ED9"/>
    <w:rsid w:val="004C2EE3"/>
    <w:rsid w:val="004D720F"/>
    <w:rsid w:val="004E0419"/>
    <w:rsid w:val="004E3A01"/>
    <w:rsid w:val="004E4A22"/>
    <w:rsid w:val="00507EFF"/>
    <w:rsid w:val="00511968"/>
    <w:rsid w:val="00533770"/>
    <w:rsid w:val="0053585C"/>
    <w:rsid w:val="0055614C"/>
    <w:rsid w:val="00574620"/>
    <w:rsid w:val="005B32C5"/>
    <w:rsid w:val="005B4C09"/>
    <w:rsid w:val="005D70F7"/>
    <w:rsid w:val="005E14C2"/>
    <w:rsid w:val="005F2F4E"/>
    <w:rsid w:val="00607BA5"/>
    <w:rsid w:val="0061180A"/>
    <w:rsid w:val="00626EB6"/>
    <w:rsid w:val="00640422"/>
    <w:rsid w:val="006517B4"/>
    <w:rsid w:val="00653DC6"/>
    <w:rsid w:val="00655D03"/>
    <w:rsid w:val="00683388"/>
    <w:rsid w:val="00683F84"/>
    <w:rsid w:val="00696A93"/>
    <w:rsid w:val="006A1F49"/>
    <w:rsid w:val="006A6A81"/>
    <w:rsid w:val="006B1456"/>
    <w:rsid w:val="006D0C05"/>
    <w:rsid w:val="006E4705"/>
    <w:rsid w:val="006F6F8A"/>
    <w:rsid w:val="006F7393"/>
    <w:rsid w:val="0070224F"/>
    <w:rsid w:val="007115F7"/>
    <w:rsid w:val="0071492A"/>
    <w:rsid w:val="007331E4"/>
    <w:rsid w:val="00735797"/>
    <w:rsid w:val="007425A5"/>
    <w:rsid w:val="00755290"/>
    <w:rsid w:val="00785689"/>
    <w:rsid w:val="0078720F"/>
    <w:rsid w:val="007937F4"/>
    <w:rsid w:val="00795331"/>
    <w:rsid w:val="0079754B"/>
    <w:rsid w:val="007A1E6D"/>
    <w:rsid w:val="007B0EB2"/>
    <w:rsid w:val="007B1F65"/>
    <w:rsid w:val="007D0C1F"/>
    <w:rsid w:val="007D3239"/>
    <w:rsid w:val="007F413A"/>
    <w:rsid w:val="00810B6F"/>
    <w:rsid w:val="00822CE0"/>
    <w:rsid w:val="00841AB1"/>
    <w:rsid w:val="00845A87"/>
    <w:rsid w:val="00847087"/>
    <w:rsid w:val="0087238C"/>
    <w:rsid w:val="00876523"/>
    <w:rsid w:val="0088009D"/>
    <w:rsid w:val="008B3ECC"/>
    <w:rsid w:val="008B502E"/>
    <w:rsid w:val="008C3F34"/>
    <w:rsid w:val="008C68F1"/>
    <w:rsid w:val="008E08FA"/>
    <w:rsid w:val="008F556E"/>
    <w:rsid w:val="00921803"/>
    <w:rsid w:val="00926503"/>
    <w:rsid w:val="00947D3F"/>
    <w:rsid w:val="00957962"/>
    <w:rsid w:val="009726D8"/>
    <w:rsid w:val="00981F24"/>
    <w:rsid w:val="009843BE"/>
    <w:rsid w:val="009853FC"/>
    <w:rsid w:val="009870FC"/>
    <w:rsid w:val="00990854"/>
    <w:rsid w:val="00991362"/>
    <w:rsid w:val="009932BC"/>
    <w:rsid w:val="009A3295"/>
    <w:rsid w:val="009E0D45"/>
    <w:rsid w:val="009E374D"/>
    <w:rsid w:val="009F76DB"/>
    <w:rsid w:val="00A32C3B"/>
    <w:rsid w:val="00A4020B"/>
    <w:rsid w:val="00A45F4F"/>
    <w:rsid w:val="00A557F3"/>
    <w:rsid w:val="00A600A9"/>
    <w:rsid w:val="00A767D3"/>
    <w:rsid w:val="00A876E2"/>
    <w:rsid w:val="00AA3362"/>
    <w:rsid w:val="00AA55B5"/>
    <w:rsid w:val="00AA55B7"/>
    <w:rsid w:val="00AA5B9E"/>
    <w:rsid w:val="00AB2407"/>
    <w:rsid w:val="00AB53DF"/>
    <w:rsid w:val="00AB749F"/>
    <w:rsid w:val="00AC424B"/>
    <w:rsid w:val="00AD6AA9"/>
    <w:rsid w:val="00AD7412"/>
    <w:rsid w:val="00AF46DC"/>
    <w:rsid w:val="00B00919"/>
    <w:rsid w:val="00B05D83"/>
    <w:rsid w:val="00B07E5C"/>
    <w:rsid w:val="00B20043"/>
    <w:rsid w:val="00B20363"/>
    <w:rsid w:val="00B338A9"/>
    <w:rsid w:val="00B4254E"/>
    <w:rsid w:val="00B679AB"/>
    <w:rsid w:val="00B76DB8"/>
    <w:rsid w:val="00B811F7"/>
    <w:rsid w:val="00B93418"/>
    <w:rsid w:val="00BA2788"/>
    <w:rsid w:val="00BA3508"/>
    <w:rsid w:val="00BA5DC6"/>
    <w:rsid w:val="00BA6196"/>
    <w:rsid w:val="00BB0717"/>
    <w:rsid w:val="00BC34FC"/>
    <w:rsid w:val="00BC6D8C"/>
    <w:rsid w:val="00BD098A"/>
    <w:rsid w:val="00BD75C5"/>
    <w:rsid w:val="00BE0C6E"/>
    <w:rsid w:val="00BF079B"/>
    <w:rsid w:val="00C14D19"/>
    <w:rsid w:val="00C31C2F"/>
    <w:rsid w:val="00C34006"/>
    <w:rsid w:val="00C426B1"/>
    <w:rsid w:val="00C458CD"/>
    <w:rsid w:val="00C514C3"/>
    <w:rsid w:val="00C565F2"/>
    <w:rsid w:val="00C6385E"/>
    <w:rsid w:val="00C66160"/>
    <w:rsid w:val="00C721AC"/>
    <w:rsid w:val="00C81C2F"/>
    <w:rsid w:val="00C90D6A"/>
    <w:rsid w:val="00CA247E"/>
    <w:rsid w:val="00CA2BA2"/>
    <w:rsid w:val="00CB588C"/>
    <w:rsid w:val="00CC72B6"/>
    <w:rsid w:val="00CC776F"/>
    <w:rsid w:val="00CD5F9D"/>
    <w:rsid w:val="00CE3A55"/>
    <w:rsid w:val="00D0218D"/>
    <w:rsid w:val="00D13D0E"/>
    <w:rsid w:val="00D216CD"/>
    <w:rsid w:val="00D25FB5"/>
    <w:rsid w:val="00D267D3"/>
    <w:rsid w:val="00D44223"/>
    <w:rsid w:val="00D47505"/>
    <w:rsid w:val="00DA2529"/>
    <w:rsid w:val="00DA3B17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11833"/>
    <w:rsid w:val="00E304A6"/>
    <w:rsid w:val="00E5409F"/>
    <w:rsid w:val="00E5415C"/>
    <w:rsid w:val="00E73FB7"/>
    <w:rsid w:val="00E74E97"/>
    <w:rsid w:val="00EB4ACC"/>
    <w:rsid w:val="00EE6488"/>
    <w:rsid w:val="00F021FA"/>
    <w:rsid w:val="00F1725B"/>
    <w:rsid w:val="00F17819"/>
    <w:rsid w:val="00F2200C"/>
    <w:rsid w:val="00F62E97"/>
    <w:rsid w:val="00F64209"/>
    <w:rsid w:val="00F8591E"/>
    <w:rsid w:val="00F93BF5"/>
    <w:rsid w:val="00FB3F63"/>
    <w:rsid w:val="00FD7B3A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yperlink" Target="http://fjallfoss.fcc.gov/ecfs2/comment_search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