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6F43E2" w14:paraId="76F3D8E4" w14:textId="77777777">
      <w:pPr>
        <w:jc w:val="center"/>
        <w:rPr>
          <w:b/>
          <w:szCs w:val="22"/>
        </w:rPr>
      </w:pPr>
      <w:r w:rsidRPr="006F43E2">
        <w:rPr>
          <w:b/>
          <w:kern w:val="0"/>
          <w:szCs w:val="22"/>
        </w:rPr>
        <w:t>Before</w:t>
      </w:r>
      <w:r w:rsidRPr="006F43E2">
        <w:rPr>
          <w:b/>
          <w:szCs w:val="22"/>
        </w:rPr>
        <w:t xml:space="preserve"> the</w:t>
      </w:r>
    </w:p>
    <w:p w:rsidR="00921803" w:rsidRPr="006F43E2" w:rsidP="00921803" w14:paraId="03D48A3C" w14:textId="77777777">
      <w:pPr>
        <w:pStyle w:val="StyleBoldCentered"/>
        <w:rPr>
          <w:rFonts w:ascii="Times New Roman" w:hAnsi="Times New Roman"/>
        </w:rPr>
      </w:pPr>
      <w:r w:rsidRPr="006F43E2">
        <w:rPr>
          <w:rFonts w:ascii="Times New Roman" w:hAnsi="Times New Roman"/>
        </w:rPr>
        <w:t>F</w:t>
      </w:r>
      <w:r w:rsidRPr="006F43E2">
        <w:rPr>
          <w:rFonts w:ascii="Times New Roman" w:hAnsi="Times New Roman"/>
          <w:caps w:val="0"/>
        </w:rPr>
        <w:t>ederal Communications Commission</w:t>
      </w:r>
    </w:p>
    <w:p w:rsidR="004C2EE3" w:rsidRPr="006F43E2" w:rsidP="00096D8C" w14:paraId="0BC7C663" w14:textId="77777777">
      <w:pPr>
        <w:pStyle w:val="StyleBoldCentered"/>
        <w:rPr>
          <w:rFonts w:ascii="Times New Roman" w:hAnsi="Times New Roman"/>
        </w:rPr>
      </w:pPr>
      <w:r w:rsidRPr="006F43E2">
        <w:rPr>
          <w:rFonts w:ascii="Times New Roman" w:hAnsi="Times New Roman"/>
          <w:caps w:val="0"/>
        </w:rPr>
        <w:t>Washington, D.C. 20554</w:t>
      </w:r>
    </w:p>
    <w:p w:rsidR="004C2EE3" w:rsidRPr="006F43E2" w:rsidP="0070224F" w14:paraId="0A128C59" w14:textId="77777777">
      <w:pPr>
        <w:rPr>
          <w:szCs w:val="22"/>
        </w:rPr>
      </w:pPr>
    </w:p>
    <w:p w:rsidR="004C2EE3" w:rsidRPr="006F43E2" w:rsidP="0070224F" w14:paraId="049EF7A5" w14:textId="77777777">
      <w:pPr>
        <w:rPr>
          <w:szCs w:val="22"/>
        </w:rPr>
      </w:pPr>
    </w:p>
    <w:tbl>
      <w:tblPr>
        <w:tblW w:w="0" w:type="auto"/>
        <w:tblLayout w:type="fixed"/>
        <w:tblLook w:val="0000"/>
      </w:tblPr>
      <w:tblGrid>
        <w:gridCol w:w="4698"/>
        <w:gridCol w:w="630"/>
        <w:gridCol w:w="4248"/>
      </w:tblGrid>
      <w:tr w14:paraId="6CFF1785" w14:textId="77777777">
        <w:tblPrEx>
          <w:tblW w:w="0" w:type="auto"/>
          <w:tblLayout w:type="fixed"/>
          <w:tblLook w:val="0000"/>
        </w:tblPrEx>
        <w:tc>
          <w:tcPr>
            <w:tcW w:w="4698" w:type="dxa"/>
          </w:tcPr>
          <w:p w:rsidR="004C2EE3" w:rsidRPr="006F43E2" w14:paraId="618F2917" w14:textId="77777777">
            <w:pPr>
              <w:tabs>
                <w:tab w:val="center" w:pos="4680"/>
              </w:tabs>
              <w:suppressAutoHyphens/>
              <w:rPr>
                <w:spacing w:val="-2"/>
                <w:szCs w:val="22"/>
              </w:rPr>
            </w:pPr>
            <w:r w:rsidRPr="006F43E2">
              <w:rPr>
                <w:spacing w:val="-2"/>
                <w:szCs w:val="22"/>
              </w:rPr>
              <w:t>In the Matter of</w:t>
            </w:r>
          </w:p>
          <w:p w:rsidR="004C2EE3" w:rsidRPr="006F43E2" w14:paraId="4C284161" w14:textId="77777777">
            <w:pPr>
              <w:tabs>
                <w:tab w:val="center" w:pos="4680"/>
              </w:tabs>
              <w:suppressAutoHyphens/>
              <w:rPr>
                <w:spacing w:val="-2"/>
                <w:szCs w:val="22"/>
              </w:rPr>
            </w:pPr>
          </w:p>
          <w:p w:rsidR="004C2EE3" w:rsidRPr="006F43E2" w:rsidP="00974C60" w14:paraId="3F6100E7" w14:textId="1365D090">
            <w:pPr>
              <w:tabs>
                <w:tab w:val="left" w:pos="4075"/>
                <w:tab w:val="center" w:pos="4680"/>
              </w:tabs>
              <w:suppressAutoHyphens/>
              <w:rPr>
                <w:szCs w:val="22"/>
              </w:rPr>
            </w:pPr>
            <w:r w:rsidRPr="006F43E2">
              <w:rPr>
                <w:szCs w:val="22"/>
              </w:rPr>
              <w:t>Rohde &amp; Schwarz</w:t>
            </w:r>
            <w:r w:rsidR="000D6575">
              <w:rPr>
                <w:szCs w:val="22"/>
              </w:rPr>
              <w:t xml:space="preserve"> USA, Inc.</w:t>
            </w:r>
          </w:p>
          <w:p w:rsidR="00E20326" w:rsidRPr="006F43E2" w:rsidP="007115F7" w14:paraId="076C6F85" w14:textId="77777777">
            <w:pPr>
              <w:tabs>
                <w:tab w:val="center" w:pos="4680"/>
              </w:tabs>
              <w:suppressAutoHyphens/>
              <w:rPr>
                <w:szCs w:val="22"/>
              </w:rPr>
            </w:pPr>
          </w:p>
          <w:p w:rsidR="00E20326" w:rsidRPr="006F43E2" w:rsidP="00E20326" w14:paraId="65FEED5F" w14:textId="1EE46F77">
            <w:pPr>
              <w:tabs>
                <w:tab w:val="center" w:pos="4680"/>
              </w:tabs>
              <w:suppressAutoHyphens/>
              <w:rPr>
                <w:spacing w:val="-2"/>
                <w:szCs w:val="22"/>
              </w:rPr>
            </w:pPr>
            <w:r w:rsidRPr="006F43E2">
              <w:rPr>
                <w:spacing w:val="-2"/>
                <w:szCs w:val="22"/>
              </w:rPr>
              <w:t xml:space="preserve">Request for Waiver of Sections </w:t>
            </w:r>
            <w:r w:rsidRPr="006F43E2" w:rsidR="008C0E99">
              <w:rPr>
                <w:spacing w:val="-2"/>
                <w:szCs w:val="22"/>
              </w:rPr>
              <w:t>15.</w:t>
            </w:r>
            <w:r w:rsidR="006F43E2">
              <w:rPr>
                <w:spacing w:val="-2"/>
                <w:szCs w:val="22"/>
              </w:rPr>
              <w:t>205</w:t>
            </w:r>
            <w:r w:rsidRPr="006F43E2" w:rsidR="008C0E99">
              <w:rPr>
                <w:spacing w:val="-2"/>
                <w:szCs w:val="22"/>
              </w:rPr>
              <w:t>(</w:t>
            </w:r>
            <w:r w:rsidR="006F43E2">
              <w:rPr>
                <w:spacing w:val="-2"/>
                <w:szCs w:val="22"/>
              </w:rPr>
              <w:t>a</w:t>
            </w:r>
            <w:r w:rsidRPr="006F43E2" w:rsidR="008C0E99">
              <w:rPr>
                <w:spacing w:val="-2"/>
                <w:szCs w:val="22"/>
              </w:rPr>
              <w:t xml:space="preserve">) and </w:t>
            </w:r>
            <w:r w:rsidRPr="006F43E2">
              <w:rPr>
                <w:spacing w:val="-2"/>
                <w:szCs w:val="22"/>
              </w:rPr>
              <w:t>15.</w:t>
            </w:r>
            <w:r w:rsidR="006F43E2">
              <w:rPr>
                <w:spacing w:val="-2"/>
                <w:szCs w:val="22"/>
              </w:rPr>
              <w:t>2</w:t>
            </w:r>
            <w:r w:rsidR="00BB2300">
              <w:rPr>
                <w:spacing w:val="-2"/>
                <w:szCs w:val="22"/>
              </w:rPr>
              <w:t>09</w:t>
            </w:r>
            <w:r w:rsidRPr="006F43E2">
              <w:rPr>
                <w:spacing w:val="-2"/>
                <w:szCs w:val="22"/>
              </w:rPr>
              <w:t>(</w:t>
            </w:r>
            <w:r w:rsidR="00BB2300">
              <w:rPr>
                <w:spacing w:val="-2"/>
                <w:szCs w:val="22"/>
              </w:rPr>
              <w:t>a</w:t>
            </w:r>
            <w:r w:rsidRPr="006F43E2">
              <w:rPr>
                <w:spacing w:val="-2"/>
                <w:szCs w:val="22"/>
              </w:rPr>
              <w:t xml:space="preserve">) of the Commission’s Rules to Permit the Deployment of Security Screening Portal Devices that Operate in the </w:t>
            </w:r>
            <w:r w:rsidR="006F43E2">
              <w:rPr>
                <w:spacing w:val="-2"/>
                <w:szCs w:val="22"/>
              </w:rPr>
              <w:t>70</w:t>
            </w:r>
            <w:r w:rsidR="006F43E2">
              <w:rPr>
                <w:spacing w:val="-2"/>
                <w:szCs w:val="22"/>
              </w:rPr>
              <w:noBreakHyphen/>
              <w:t>80 </w:t>
            </w:r>
            <w:r w:rsidRPr="006F43E2">
              <w:rPr>
                <w:spacing w:val="-2"/>
                <w:szCs w:val="22"/>
              </w:rPr>
              <w:t xml:space="preserve">GHz </w:t>
            </w:r>
            <w:r w:rsidR="006F43E2">
              <w:rPr>
                <w:spacing w:val="-2"/>
                <w:szCs w:val="22"/>
              </w:rPr>
              <w:t xml:space="preserve">Frequency </w:t>
            </w:r>
            <w:r w:rsidRPr="006F43E2">
              <w:rPr>
                <w:spacing w:val="-2"/>
                <w:szCs w:val="22"/>
              </w:rPr>
              <w:t>Range</w:t>
            </w:r>
          </w:p>
          <w:p w:rsidR="00E20326" w:rsidRPr="006F43E2" w:rsidP="007115F7" w14:paraId="7FE54E38" w14:textId="77777777">
            <w:pPr>
              <w:tabs>
                <w:tab w:val="center" w:pos="4680"/>
              </w:tabs>
              <w:suppressAutoHyphens/>
              <w:rPr>
                <w:spacing w:val="-2"/>
                <w:szCs w:val="22"/>
              </w:rPr>
            </w:pPr>
          </w:p>
        </w:tc>
        <w:tc>
          <w:tcPr>
            <w:tcW w:w="630" w:type="dxa"/>
          </w:tcPr>
          <w:p w:rsidR="004C2EE3" w:rsidRPr="006F43E2" w14:paraId="1AF6AC16" w14:textId="77777777">
            <w:pPr>
              <w:tabs>
                <w:tab w:val="center" w:pos="4680"/>
              </w:tabs>
              <w:suppressAutoHyphens/>
              <w:rPr>
                <w:b/>
                <w:spacing w:val="-2"/>
                <w:szCs w:val="22"/>
              </w:rPr>
            </w:pPr>
            <w:r w:rsidRPr="006F43E2">
              <w:rPr>
                <w:b/>
                <w:spacing w:val="-2"/>
                <w:szCs w:val="22"/>
              </w:rPr>
              <w:t>)</w:t>
            </w:r>
          </w:p>
          <w:p w:rsidR="004C2EE3" w:rsidRPr="006F43E2" w14:paraId="043497A5" w14:textId="77777777">
            <w:pPr>
              <w:tabs>
                <w:tab w:val="center" w:pos="4680"/>
              </w:tabs>
              <w:suppressAutoHyphens/>
              <w:rPr>
                <w:b/>
                <w:spacing w:val="-2"/>
                <w:szCs w:val="22"/>
              </w:rPr>
            </w:pPr>
            <w:r w:rsidRPr="006F43E2">
              <w:rPr>
                <w:b/>
                <w:spacing w:val="-2"/>
                <w:szCs w:val="22"/>
              </w:rPr>
              <w:t>)</w:t>
            </w:r>
          </w:p>
          <w:p w:rsidR="004C2EE3" w:rsidRPr="006F43E2" w14:paraId="70AA4BA3" w14:textId="77777777">
            <w:pPr>
              <w:tabs>
                <w:tab w:val="center" w:pos="4680"/>
              </w:tabs>
              <w:suppressAutoHyphens/>
              <w:rPr>
                <w:b/>
                <w:spacing w:val="-2"/>
                <w:szCs w:val="22"/>
              </w:rPr>
            </w:pPr>
            <w:r w:rsidRPr="006F43E2">
              <w:rPr>
                <w:b/>
                <w:spacing w:val="-2"/>
                <w:szCs w:val="22"/>
              </w:rPr>
              <w:t>)</w:t>
            </w:r>
          </w:p>
          <w:p w:rsidR="004C2EE3" w:rsidRPr="006F43E2" w14:paraId="50249CFB" w14:textId="77777777">
            <w:pPr>
              <w:tabs>
                <w:tab w:val="center" w:pos="4680"/>
              </w:tabs>
              <w:suppressAutoHyphens/>
              <w:rPr>
                <w:b/>
                <w:spacing w:val="-2"/>
                <w:szCs w:val="22"/>
              </w:rPr>
            </w:pPr>
            <w:r w:rsidRPr="006F43E2">
              <w:rPr>
                <w:b/>
                <w:spacing w:val="-2"/>
                <w:szCs w:val="22"/>
              </w:rPr>
              <w:t>)</w:t>
            </w:r>
          </w:p>
          <w:p w:rsidR="004C2EE3" w:rsidRPr="006F43E2" w14:paraId="27A73143" w14:textId="77777777">
            <w:pPr>
              <w:tabs>
                <w:tab w:val="center" w:pos="4680"/>
              </w:tabs>
              <w:suppressAutoHyphens/>
              <w:rPr>
                <w:b/>
                <w:spacing w:val="-2"/>
                <w:szCs w:val="22"/>
              </w:rPr>
            </w:pPr>
            <w:r w:rsidRPr="006F43E2">
              <w:rPr>
                <w:b/>
                <w:spacing w:val="-2"/>
                <w:szCs w:val="22"/>
              </w:rPr>
              <w:t>)</w:t>
            </w:r>
          </w:p>
          <w:p w:rsidR="004C2EE3" w:rsidRPr="006F43E2" w14:paraId="54199647" w14:textId="77777777">
            <w:pPr>
              <w:tabs>
                <w:tab w:val="center" w:pos="4680"/>
              </w:tabs>
              <w:suppressAutoHyphens/>
              <w:rPr>
                <w:b/>
                <w:spacing w:val="-2"/>
                <w:szCs w:val="22"/>
              </w:rPr>
            </w:pPr>
            <w:r w:rsidRPr="006F43E2">
              <w:rPr>
                <w:b/>
                <w:spacing w:val="-2"/>
                <w:szCs w:val="22"/>
              </w:rPr>
              <w:t>)</w:t>
            </w:r>
          </w:p>
          <w:p w:rsidR="004C2EE3" w:rsidRPr="006F43E2" w14:paraId="74A711CF" w14:textId="77777777">
            <w:pPr>
              <w:tabs>
                <w:tab w:val="center" w:pos="4680"/>
              </w:tabs>
              <w:suppressAutoHyphens/>
              <w:rPr>
                <w:b/>
                <w:spacing w:val="-2"/>
                <w:szCs w:val="22"/>
              </w:rPr>
            </w:pPr>
            <w:r w:rsidRPr="006F43E2">
              <w:rPr>
                <w:b/>
                <w:spacing w:val="-2"/>
                <w:szCs w:val="22"/>
              </w:rPr>
              <w:t>)</w:t>
            </w:r>
          </w:p>
          <w:p w:rsidR="004C2EE3" w:rsidRPr="006F43E2" w14:paraId="1DFF28DC" w14:textId="5EBCA353">
            <w:pPr>
              <w:tabs>
                <w:tab w:val="center" w:pos="4680"/>
              </w:tabs>
              <w:suppressAutoHyphens/>
              <w:rPr>
                <w:b/>
                <w:spacing w:val="-2"/>
                <w:szCs w:val="22"/>
              </w:rPr>
            </w:pPr>
            <w:r w:rsidRPr="006F43E2">
              <w:rPr>
                <w:b/>
                <w:spacing w:val="-2"/>
                <w:szCs w:val="22"/>
              </w:rPr>
              <w:t>)</w:t>
            </w:r>
          </w:p>
        </w:tc>
        <w:tc>
          <w:tcPr>
            <w:tcW w:w="4248" w:type="dxa"/>
          </w:tcPr>
          <w:p w:rsidR="004C2EE3" w:rsidRPr="006F43E2" w14:paraId="60CF3186" w14:textId="77777777">
            <w:pPr>
              <w:tabs>
                <w:tab w:val="center" w:pos="4680"/>
              </w:tabs>
              <w:suppressAutoHyphens/>
              <w:rPr>
                <w:spacing w:val="-2"/>
                <w:szCs w:val="22"/>
              </w:rPr>
            </w:pPr>
          </w:p>
          <w:p w:rsidR="004C2EE3" w:rsidRPr="006F43E2" w14:paraId="07ABC4F7" w14:textId="77777777">
            <w:pPr>
              <w:pStyle w:val="TOAHeading"/>
              <w:tabs>
                <w:tab w:val="center" w:pos="4680"/>
                <w:tab w:val="clear" w:pos="9360"/>
              </w:tabs>
              <w:rPr>
                <w:spacing w:val="-2"/>
                <w:szCs w:val="22"/>
              </w:rPr>
            </w:pPr>
          </w:p>
          <w:p w:rsidR="004C2EE3" w:rsidRPr="006F43E2" w14:paraId="63AFDEB1" w14:textId="7A250731">
            <w:pPr>
              <w:tabs>
                <w:tab w:val="center" w:pos="4680"/>
              </w:tabs>
              <w:suppressAutoHyphens/>
              <w:rPr>
                <w:spacing w:val="-2"/>
                <w:szCs w:val="22"/>
              </w:rPr>
            </w:pPr>
            <w:r w:rsidRPr="006F43E2">
              <w:rPr>
                <w:spacing w:val="-2"/>
                <w:szCs w:val="22"/>
              </w:rPr>
              <w:t>ET Docket No. 1</w:t>
            </w:r>
            <w:r w:rsidR="006F43E2">
              <w:rPr>
                <w:spacing w:val="-2"/>
                <w:szCs w:val="22"/>
              </w:rPr>
              <w:t>9</w:t>
            </w:r>
            <w:r w:rsidR="006F43E2">
              <w:rPr>
                <w:spacing w:val="-2"/>
                <w:szCs w:val="22"/>
              </w:rPr>
              <w:noBreakHyphen/>
            </w:r>
            <w:r w:rsidR="008D3FD8">
              <w:rPr>
                <w:spacing w:val="-2"/>
                <w:szCs w:val="22"/>
              </w:rPr>
              <w:t>88</w:t>
            </w:r>
          </w:p>
        </w:tc>
      </w:tr>
    </w:tbl>
    <w:p w:rsidR="004C2EE3" w:rsidRPr="006F43E2" w:rsidP="0070224F" w14:paraId="113646C0" w14:textId="77777777">
      <w:pPr>
        <w:rPr>
          <w:szCs w:val="22"/>
        </w:rPr>
      </w:pPr>
    </w:p>
    <w:p w:rsidR="00841AB1" w:rsidRPr="006F43E2" w:rsidP="00F021FA" w14:paraId="6A44E9EC" w14:textId="59C7EDC3">
      <w:pPr>
        <w:pStyle w:val="StyleBoldCentered"/>
        <w:rPr>
          <w:rFonts w:ascii="Times New Roman" w:hAnsi="Times New Roman"/>
        </w:rPr>
      </w:pPr>
      <w:r w:rsidRPr="006F43E2">
        <w:rPr>
          <w:rFonts w:ascii="Times New Roman" w:hAnsi="Times New Roman"/>
        </w:rPr>
        <w:t>ORDER</w:t>
      </w:r>
    </w:p>
    <w:p w:rsidR="004C2EE3" w14:paraId="70CEE915" w14:textId="28715E25">
      <w:pPr>
        <w:tabs>
          <w:tab w:val="left" w:pos="-720"/>
        </w:tabs>
        <w:suppressAutoHyphens/>
        <w:spacing w:line="227" w:lineRule="auto"/>
        <w:rPr>
          <w:spacing w:val="-2"/>
          <w:szCs w:val="22"/>
        </w:rPr>
      </w:pPr>
    </w:p>
    <w:p w:rsidR="0056414C" w:rsidRPr="006F43E2" w14:paraId="20358058" w14:textId="77777777">
      <w:pPr>
        <w:tabs>
          <w:tab w:val="left" w:pos="-720"/>
        </w:tabs>
        <w:suppressAutoHyphens/>
        <w:spacing w:line="227" w:lineRule="auto"/>
        <w:rPr>
          <w:spacing w:val="-2"/>
          <w:szCs w:val="22"/>
        </w:rPr>
      </w:pPr>
    </w:p>
    <w:p w:rsidR="00BA6761" w:rsidRPr="00BA6761" w:rsidP="00133F79" w14:paraId="50851D60" w14:textId="15850E9B">
      <w:pPr>
        <w:tabs>
          <w:tab w:val="left" w:pos="720"/>
          <w:tab w:val="right" w:pos="9360"/>
        </w:tabs>
        <w:suppressAutoHyphens/>
        <w:spacing w:line="227" w:lineRule="auto"/>
        <w:rPr>
          <w:b/>
          <w:spacing w:val="-2"/>
          <w:szCs w:val="22"/>
        </w:rPr>
      </w:pPr>
      <w:r w:rsidRPr="006F43E2">
        <w:rPr>
          <w:b/>
          <w:spacing w:val="-2"/>
          <w:szCs w:val="22"/>
        </w:rPr>
        <w:t>Adopted</w:t>
      </w:r>
      <w:r w:rsidRPr="006F43E2" w:rsidR="00E57D9D">
        <w:rPr>
          <w:b/>
          <w:spacing w:val="-2"/>
          <w:szCs w:val="22"/>
        </w:rPr>
        <w:t xml:space="preserve">: </w:t>
      </w:r>
      <w:r>
        <w:rPr>
          <w:b/>
          <w:spacing w:val="-2"/>
          <w:szCs w:val="22"/>
        </w:rPr>
        <w:t>September 3, 2020</w:t>
      </w:r>
      <w:r w:rsidRPr="006F43E2">
        <w:rPr>
          <w:b/>
          <w:spacing w:val="-2"/>
          <w:szCs w:val="22"/>
        </w:rPr>
        <w:tab/>
      </w:r>
      <w:r w:rsidRPr="006F43E2" w:rsidR="00822CE0">
        <w:rPr>
          <w:b/>
          <w:spacing w:val="-2"/>
          <w:szCs w:val="22"/>
        </w:rPr>
        <w:t>Released</w:t>
      </w:r>
      <w:r w:rsidRPr="006F43E2" w:rsidR="00E57D9D">
        <w:rPr>
          <w:b/>
          <w:spacing w:val="-2"/>
          <w:szCs w:val="22"/>
        </w:rPr>
        <w:t xml:space="preserve">: </w:t>
      </w:r>
      <w:r>
        <w:rPr>
          <w:b/>
          <w:spacing w:val="-2"/>
          <w:szCs w:val="22"/>
        </w:rPr>
        <w:t>September 3, 2020</w:t>
      </w:r>
    </w:p>
    <w:p w:rsidR="00822CE0" w:rsidRPr="006F43E2" w14:paraId="01B4571D" w14:textId="77777777">
      <w:pPr>
        <w:rPr>
          <w:szCs w:val="22"/>
        </w:rPr>
      </w:pPr>
    </w:p>
    <w:p w:rsidR="004C2EE3" w:rsidRPr="006F43E2" w14:paraId="7E7E9433" w14:textId="355DB384">
      <w:pPr>
        <w:rPr>
          <w:spacing w:val="-2"/>
          <w:szCs w:val="22"/>
        </w:rPr>
      </w:pPr>
      <w:r w:rsidRPr="006F43E2">
        <w:rPr>
          <w:szCs w:val="22"/>
        </w:rPr>
        <w:t xml:space="preserve">By </w:t>
      </w:r>
      <w:r w:rsidRPr="006F43E2" w:rsidR="004E4A22">
        <w:rPr>
          <w:szCs w:val="22"/>
        </w:rPr>
        <w:t>the</w:t>
      </w:r>
      <w:r w:rsidRPr="006F43E2" w:rsidR="00E20326">
        <w:rPr>
          <w:szCs w:val="22"/>
        </w:rPr>
        <w:t xml:space="preserve"> </w:t>
      </w:r>
      <w:r w:rsidR="008F0F22">
        <w:rPr>
          <w:szCs w:val="22"/>
        </w:rPr>
        <w:t xml:space="preserve">Acting </w:t>
      </w:r>
      <w:r w:rsidRPr="006F43E2" w:rsidR="00E20326">
        <w:rPr>
          <w:spacing w:val="-2"/>
          <w:szCs w:val="22"/>
        </w:rPr>
        <w:t>Chief, Office of Engineering and Technology:</w:t>
      </w:r>
    </w:p>
    <w:p w:rsidR="00AD567E" w:rsidRPr="006F43E2" w14:paraId="59087039" w14:textId="77777777">
      <w:pPr>
        <w:rPr>
          <w:spacing w:val="-2"/>
          <w:szCs w:val="22"/>
        </w:rPr>
      </w:pPr>
    </w:p>
    <w:p w:rsidR="00412FC5" w:rsidRPr="006F43E2" w:rsidP="00412FC5" w14:paraId="33C629AD" w14:textId="77777777">
      <w:pPr>
        <w:rPr>
          <w:szCs w:val="22"/>
        </w:rPr>
      </w:pPr>
    </w:p>
    <w:p w:rsidR="00AD567E" w:rsidRPr="006F43E2" w:rsidP="00BA6761" w14:paraId="5439AC0F" w14:textId="77777777">
      <w:pPr>
        <w:pStyle w:val="Heading1"/>
        <w:widowControl/>
        <w:rPr>
          <w:rFonts w:ascii="Times New Roman" w:hAnsi="Times New Roman"/>
          <w:szCs w:val="22"/>
        </w:rPr>
      </w:pPr>
      <w:r w:rsidRPr="006F43E2">
        <w:rPr>
          <w:rFonts w:ascii="Times New Roman" w:hAnsi="Times New Roman"/>
          <w:szCs w:val="22"/>
        </w:rPr>
        <w:t>introduction</w:t>
      </w:r>
    </w:p>
    <w:p w:rsidR="00AD567E" w:rsidRPr="009D4EC0" w:rsidP="00BA6761" w14:paraId="438AAFF6" w14:textId="2A22C41C">
      <w:pPr>
        <w:pStyle w:val="ParaNum"/>
        <w:widowControl/>
        <w:rPr>
          <w:szCs w:val="22"/>
        </w:rPr>
      </w:pPr>
      <w:r w:rsidRPr="009D4EC0">
        <w:rPr>
          <w:szCs w:val="22"/>
        </w:rPr>
        <w:t>By this Or</w:t>
      </w:r>
      <w:r w:rsidR="00BF55D6">
        <w:rPr>
          <w:szCs w:val="22"/>
        </w:rPr>
        <w:t>d</w:t>
      </w:r>
      <w:r w:rsidRPr="009D4EC0">
        <w:rPr>
          <w:szCs w:val="22"/>
        </w:rPr>
        <w:t xml:space="preserve">er, we grant </w:t>
      </w:r>
      <w:r w:rsidRPr="009D4EC0" w:rsidR="009F720E">
        <w:rPr>
          <w:szCs w:val="22"/>
        </w:rPr>
        <w:t xml:space="preserve">a </w:t>
      </w:r>
      <w:r w:rsidRPr="009D4EC0">
        <w:rPr>
          <w:szCs w:val="22"/>
        </w:rPr>
        <w:t xml:space="preserve">request for waiver filed by </w:t>
      </w:r>
      <w:r w:rsidRPr="009D4EC0" w:rsidR="000D6575">
        <w:rPr>
          <w:szCs w:val="22"/>
        </w:rPr>
        <w:t>Rohde &amp; Schwarz USA, Inc.</w:t>
      </w:r>
      <w:r w:rsidRPr="009D4EC0">
        <w:rPr>
          <w:szCs w:val="22"/>
        </w:rPr>
        <w:t xml:space="preserve"> (</w:t>
      </w:r>
      <w:r w:rsidRPr="009D4EC0" w:rsidR="000D6575">
        <w:rPr>
          <w:szCs w:val="22"/>
        </w:rPr>
        <w:t>Rohde &amp; Schwarz</w:t>
      </w:r>
      <w:r w:rsidRPr="009D4EC0">
        <w:rPr>
          <w:szCs w:val="22"/>
        </w:rPr>
        <w:t xml:space="preserve">) </w:t>
      </w:r>
      <w:r w:rsidR="006826BA">
        <w:rPr>
          <w:szCs w:val="22"/>
        </w:rPr>
        <w:t xml:space="preserve">to allow </w:t>
      </w:r>
      <w:r w:rsidRPr="009D4EC0" w:rsidR="009F720E">
        <w:rPr>
          <w:szCs w:val="22"/>
        </w:rPr>
        <w:t xml:space="preserve">for </w:t>
      </w:r>
      <w:r w:rsidRPr="009D4EC0">
        <w:rPr>
          <w:szCs w:val="22"/>
        </w:rPr>
        <w:t xml:space="preserve">FCC certification </w:t>
      </w:r>
      <w:r w:rsidR="006826BA">
        <w:rPr>
          <w:szCs w:val="22"/>
        </w:rPr>
        <w:t xml:space="preserve">of </w:t>
      </w:r>
      <w:r w:rsidRPr="009D4EC0">
        <w:rPr>
          <w:szCs w:val="22"/>
        </w:rPr>
        <w:t xml:space="preserve">its </w:t>
      </w:r>
      <w:r w:rsidRPr="009D4EC0" w:rsidR="0073622B">
        <w:rPr>
          <w:szCs w:val="22"/>
        </w:rPr>
        <w:t>QPS 201 Personnel Security Scanner (QPS 201)</w:t>
      </w:r>
      <w:r w:rsidR="006826BA">
        <w:rPr>
          <w:szCs w:val="22"/>
        </w:rPr>
        <w:t>.</w:t>
      </w:r>
      <w:r>
        <w:rPr>
          <w:rStyle w:val="FootnoteReference"/>
          <w:szCs w:val="22"/>
        </w:rPr>
        <w:footnoteReference w:id="3"/>
      </w:r>
      <w:r w:rsidR="006826BA">
        <w:rPr>
          <w:szCs w:val="22"/>
        </w:rPr>
        <w:t xml:space="preserve">  The QPS 201 </w:t>
      </w:r>
      <w:r w:rsidRPr="009D4EC0" w:rsidR="00D72F26">
        <w:rPr>
          <w:szCs w:val="22"/>
        </w:rPr>
        <w:t>is a walk-through security screening system intended for use at airports</w:t>
      </w:r>
      <w:r w:rsidRPr="009D4EC0" w:rsidR="008E689A">
        <w:rPr>
          <w:szCs w:val="22"/>
        </w:rPr>
        <w:t>, arenas, courthouses, federal buildings and other venues where security inspection is critical.</w:t>
      </w:r>
      <w:r w:rsidRPr="009D4EC0">
        <w:rPr>
          <w:szCs w:val="22"/>
        </w:rPr>
        <w:t xml:space="preserve">  </w:t>
      </w:r>
      <w:r w:rsidRPr="009D4EC0" w:rsidR="00D36B0D">
        <w:rPr>
          <w:szCs w:val="22"/>
        </w:rPr>
        <w:t xml:space="preserve">Specifically, we waive compliance with the requirements of </w:t>
      </w:r>
      <w:r w:rsidR="00C40240">
        <w:rPr>
          <w:szCs w:val="22"/>
        </w:rPr>
        <w:t>section</w:t>
      </w:r>
      <w:r w:rsidRPr="009D4EC0" w:rsidR="00D36B0D">
        <w:rPr>
          <w:szCs w:val="22"/>
        </w:rPr>
        <w:t>s 15.205(a) and 15.2</w:t>
      </w:r>
      <w:r w:rsidR="006A213A">
        <w:rPr>
          <w:szCs w:val="22"/>
        </w:rPr>
        <w:t>09</w:t>
      </w:r>
      <w:r w:rsidRPr="009D4EC0" w:rsidR="00D36B0D">
        <w:rPr>
          <w:szCs w:val="22"/>
        </w:rPr>
        <w:t>(</w:t>
      </w:r>
      <w:r w:rsidR="006A213A">
        <w:rPr>
          <w:szCs w:val="22"/>
        </w:rPr>
        <w:t>a</w:t>
      </w:r>
      <w:r w:rsidRPr="009D4EC0" w:rsidR="00D36B0D">
        <w:rPr>
          <w:szCs w:val="22"/>
        </w:rPr>
        <w:t xml:space="preserve">) of the </w:t>
      </w:r>
      <w:r w:rsidR="006826BA">
        <w:rPr>
          <w:szCs w:val="22"/>
        </w:rPr>
        <w:t xml:space="preserve">Commission’s </w:t>
      </w:r>
      <w:r w:rsidRPr="009D4EC0" w:rsidR="00D36B0D">
        <w:rPr>
          <w:szCs w:val="22"/>
        </w:rPr>
        <w:t xml:space="preserve">rules, to allow the QPS 201 </w:t>
      </w:r>
      <w:r w:rsidR="003A692B">
        <w:rPr>
          <w:szCs w:val="22"/>
        </w:rPr>
        <w:t xml:space="preserve">for indoor operations </w:t>
      </w:r>
      <w:r w:rsidRPr="009D4EC0" w:rsidR="00D36B0D">
        <w:rPr>
          <w:szCs w:val="22"/>
        </w:rPr>
        <w:t>in the 70</w:t>
      </w:r>
      <w:r w:rsidRPr="009D4EC0" w:rsidR="00D36B0D">
        <w:rPr>
          <w:szCs w:val="22"/>
        </w:rPr>
        <w:noBreakHyphen/>
        <w:t>80 GHz frequency band, at field strength levels higher than the permitted limits.</w:t>
      </w:r>
      <w:r>
        <w:rPr>
          <w:rStyle w:val="FootnoteReference"/>
          <w:szCs w:val="22"/>
        </w:rPr>
        <w:footnoteReference w:id="4"/>
      </w:r>
      <w:r w:rsidRPr="009D4EC0" w:rsidR="00D36B0D">
        <w:rPr>
          <w:szCs w:val="22"/>
        </w:rPr>
        <w:t xml:space="preserve"> </w:t>
      </w:r>
      <w:r w:rsidRPr="009D4EC0" w:rsidR="009D4EC0">
        <w:rPr>
          <w:szCs w:val="22"/>
        </w:rPr>
        <w:t xml:space="preserve"> </w:t>
      </w:r>
      <w:r w:rsidRPr="009D4EC0">
        <w:rPr>
          <w:szCs w:val="22"/>
        </w:rPr>
        <w:t xml:space="preserve">For the reasons discussed below, we find that there is good cause to grant </w:t>
      </w:r>
      <w:r w:rsidRPr="009D4EC0" w:rsidR="000D6575">
        <w:rPr>
          <w:szCs w:val="22"/>
        </w:rPr>
        <w:t>Rohde &amp; Schwarz</w:t>
      </w:r>
      <w:r w:rsidRPr="009D4EC0" w:rsidR="00D72F26">
        <w:rPr>
          <w:szCs w:val="22"/>
        </w:rPr>
        <w:t>’s</w:t>
      </w:r>
      <w:r w:rsidRPr="009D4EC0" w:rsidR="00CC4538">
        <w:rPr>
          <w:szCs w:val="22"/>
        </w:rPr>
        <w:t xml:space="preserve"> </w:t>
      </w:r>
      <w:r w:rsidRPr="009D4EC0">
        <w:rPr>
          <w:szCs w:val="22"/>
        </w:rPr>
        <w:t>request for waiver</w:t>
      </w:r>
      <w:r w:rsidR="003F20E8">
        <w:rPr>
          <w:szCs w:val="22"/>
        </w:rPr>
        <w:t xml:space="preserve"> with certain conditions</w:t>
      </w:r>
      <w:r w:rsidRPr="009D4EC0">
        <w:rPr>
          <w:szCs w:val="22"/>
        </w:rPr>
        <w:t>.</w:t>
      </w:r>
      <w:r w:rsidR="00514F3E">
        <w:rPr>
          <w:szCs w:val="22"/>
        </w:rPr>
        <w:t xml:space="preserve"> </w:t>
      </w:r>
    </w:p>
    <w:p w:rsidR="00AD567E" w:rsidRPr="006F43E2" w:rsidP="00BA6761" w14:paraId="3A8D5B84" w14:textId="77777777">
      <w:pPr>
        <w:pStyle w:val="Heading1"/>
        <w:widowControl/>
        <w:rPr>
          <w:rFonts w:ascii="Times New Roman" w:hAnsi="Times New Roman"/>
          <w:szCs w:val="22"/>
        </w:rPr>
      </w:pPr>
      <w:r w:rsidRPr="006F43E2">
        <w:rPr>
          <w:rFonts w:ascii="Times New Roman" w:hAnsi="Times New Roman"/>
          <w:szCs w:val="22"/>
        </w:rPr>
        <w:t>Background</w:t>
      </w:r>
    </w:p>
    <w:p w:rsidR="008E689A" w:rsidP="00BA6761" w14:paraId="77069583" w14:textId="0B6A29AB">
      <w:pPr>
        <w:pStyle w:val="ParaNum"/>
        <w:widowControl/>
        <w:rPr>
          <w:szCs w:val="22"/>
        </w:rPr>
      </w:pPr>
      <w:r w:rsidRPr="000C2B28">
        <w:rPr>
          <w:szCs w:val="22"/>
        </w:rPr>
        <w:t xml:space="preserve">The QPS 201 is designed to detect the presence of concealed metallic and non-metallic </w:t>
      </w:r>
      <w:r w:rsidRPr="00B5014D">
        <w:rPr>
          <w:szCs w:val="22"/>
        </w:rPr>
        <w:t>threats</w:t>
      </w:r>
      <w:r w:rsidRPr="00761711">
        <w:rPr>
          <w:szCs w:val="22"/>
        </w:rPr>
        <w:t xml:space="preserve"> that may be carried </w:t>
      </w:r>
      <w:r w:rsidRPr="000C2B28">
        <w:rPr>
          <w:szCs w:val="22"/>
        </w:rPr>
        <w:t>in or underneath the clothing of persons entering locations where the device has been deployed.</w:t>
      </w:r>
      <w:r>
        <w:rPr>
          <w:rStyle w:val="FootnoteReference"/>
          <w:szCs w:val="22"/>
        </w:rPr>
        <w:footnoteReference w:id="5"/>
      </w:r>
      <w:r w:rsidRPr="000C2B28">
        <w:rPr>
          <w:szCs w:val="22"/>
        </w:rPr>
        <w:t xml:space="preserve"> </w:t>
      </w:r>
      <w:r>
        <w:rPr>
          <w:szCs w:val="22"/>
        </w:rPr>
        <w:t xml:space="preserve"> </w:t>
      </w:r>
      <w:r w:rsidRPr="00FC026F" w:rsidR="006B3E69">
        <w:rPr>
          <w:szCs w:val="22"/>
        </w:rPr>
        <w:t xml:space="preserve">The QPS 201 consists of two </w:t>
      </w:r>
      <w:r w:rsidR="00973A7A">
        <w:rPr>
          <w:szCs w:val="22"/>
        </w:rPr>
        <w:t xml:space="preserve">vertical open </w:t>
      </w:r>
      <w:r w:rsidRPr="00FC026F" w:rsidR="006B3E69">
        <w:rPr>
          <w:szCs w:val="22"/>
        </w:rPr>
        <w:t>panels each with two microwave antenna arrays.</w:t>
      </w:r>
      <w:r>
        <w:rPr>
          <w:rStyle w:val="FootnoteReference"/>
          <w:szCs w:val="22"/>
        </w:rPr>
        <w:footnoteReference w:id="6"/>
      </w:r>
      <w:r w:rsidRPr="00FC026F" w:rsidR="006B3E69">
        <w:rPr>
          <w:szCs w:val="22"/>
        </w:rPr>
        <w:t xml:space="preserve"> </w:t>
      </w:r>
      <w:r w:rsidR="006B3E69">
        <w:rPr>
          <w:szCs w:val="22"/>
        </w:rPr>
        <w:t xml:space="preserve"> </w:t>
      </w:r>
      <w:r w:rsidRPr="00FC026F" w:rsidR="006B3E69">
        <w:rPr>
          <w:szCs w:val="22"/>
        </w:rPr>
        <w:t>The panels are arranged to face one another</w:t>
      </w:r>
      <w:r w:rsidR="00B616DE">
        <w:rPr>
          <w:szCs w:val="22"/>
        </w:rPr>
        <w:t xml:space="preserve">, with a walk-through space </w:t>
      </w:r>
      <w:r w:rsidR="004522FF">
        <w:rPr>
          <w:szCs w:val="22"/>
        </w:rPr>
        <w:t xml:space="preserve">of </w:t>
      </w:r>
      <w:r w:rsidR="00B616DE">
        <w:rPr>
          <w:szCs w:val="22"/>
        </w:rPr>
        <w:t>about 4</w:t>
      </w:r>
      <w:r w:rsidR="0021226A">
        <w:rPr>
          <w:szCs w:val="22"/>
        </w:rPr>
        <w:t> </w:t>
      </w:r>
      <w:r w:rsidR="00B616DE">
        <w:rPr>
          <w:szCs w:val="22"/>
        </w:rPr>
        <w:t>feet between them</w:t>
      </w:r>
      <w:r w:rsidRPr="00FC026F" w:rsidR="006B3E69">
        <w:rPr>
          <w:szCs w:val="22"/>
        </w:rPr>
        <w:t>.</w:t>
      </w:r>
      <w:r>
        <w:rPr>
          <w:rStyle w:val="FootnoteReference"/>
          <w:szCs w:val="22"/>
        </w:rPr>
        <w:footnoteReference w:id="7"/>
      </w:r>
      <w:r w:rsidRPr="00FC026F" w:rsidR="006B3E69">
        <w:rPr>
          <w:szCs w:val="22"/>
        </w:rPr>
        <w:t xml:space="preserve"> </w:t>
      </w:r>
      <w:r w:rsidR="006B3E69">
        <w:rPr>
          <w:szCs w:val="22"/>
        </w:rPr>
        <w:t xml:space="preserve"> </w:t>
      </w:r>
      <w:r w:rsidR="005532BE">
        <w:rPr>
          <w:szCs w:val="22"/>
        </w:rPr>
        <w:t xml:space="preserve">A person to be scanned would step into the space between the panels.  </w:t>
      </w:r>
      <w:r w:rsidRPr="00FC026F" w:rsidR="006B3E69">
        <w:rPr>
          <w:szCs w:val="22"/>
        </w:rPr>
        <w:t xml:space="preserve">Metallic or non-metallic objects can be detected by feeding the panels with a signal in the </w:t>
      </w:r>
      <w:r w:rsidRPr="00FC026F" w:rsidR="005532BE">
        <w:rPr>
          <w:szCs w:val="22"/>
        </w:rPr>
        <w:t>70</w:t>
      </w:r>
      <w:r w:rsidR="005532BE">
        <w:rPr>
          <w:szCs w:val="22"/>
        </w:rPr>
        <w:noBreakHyphen/>
      </w:r>
      <w:r w:rsidRPr="00FC026F" w:rsidR="005532BE">
        <w:rPr>
          <w:szCs w:val="22"/>
        </w:rPr>
        <w:t xml:space="preserve">80 GHz </w:t>
      </w:r>
      <w:r w:rsidRPr="00FC026F" w:rsidR="006B3E69">
        <w:rPr>
          <w:szCs w:val="22"/>
        </w:rPr>
        <w:t xml:space="preserve">frequency range and </w:t>
      </w:r>
      <w:r w:rsidRPr="00FC026F" w:rsidR="006B3E69">
        <w:rPr>
          <w:szCs w:val="22"/>
        </w:rPr>
        <w:t xml:space="preserve">evaluating the backscatter of the emitted signals. </w:t>
      </w:r>
      <w:r w:rsidR="006B3E69">
        <w:rPr>
          <w:szCs w:val="22"/>
        </w:rPr>
        <w:t xml:space="preserve"> </w:t>
      </w:r>
      <w:r w:rsidRPr="00FC026F" w:rsidR="006B3E69">
        <w:rPr>
          <w:szCs w:val="22"/>
        </w:rPr>
        <w:t>After having transmitted on all antennas on one panel, the procedure is repeated for the second panel.</w:t>
      </w:r>
      <w:r w:rsidR="006B3E69">
        <w:rPr>
          <w:szCs w:val="22"/>
        </w:rPr>
        <w:t xml:space="preserve">  </w:t>
      </w:r>
      <w:r w:rsidR="005532BE">
        <w:rPr>
          <w:szCs w:val="22"/>
        </w:rPr>
        <w:t>The complete scanning time takes 164 milliseconds</w:t>
      </w:r>
      <w:r w:rsidR="006826BA">
        <w:rPr>
          <w:szCs w:val="22"/>
        </w:rPr>
        <w:t>.</w:t>
      </w:r>
      <w:r w:rsidR="005532BE">
        <w:rPr>
          <w:szCs w:val="22"/>
        </w:rPr>
        <w:t xml:space="preserve"> </w:t>
      </w:r>
    </w:p>
    <w:p w:rsidR="008E689A" w:rsidRPr="008E689A" w:rsidP="00BA6761" w14:paraId="460CBA77" w14:textId="3F44407E">
      <w:pPr>
        <w:pStyle w:val="ParaNum"/>
        <w:widowControl/>
        <w:rPr>
          <w:szCs w:val="22"/>
        </w:rPr>
      </w:pPr>
      <w:r w:rsidRPr="000C2B28">
        <w:rPr>
          <w:szCs w:val="22"/>
        </w:rPr>
        <w:t>Rohde &amp; Schwarz</w:t>
      </w:r>
      <w:r w:rsidRPr="000C2B28">
        <w:rPr>
          <w:color w:val="010101"/>
          <w:szCs w:val="22"/>
        </w:rPr>
        <w:t xml:space="preserve"> seek</w:t>
      </w:r>
      <w:r w:rsidR="00AC285A">
        <w:rPr>
          <w:color w:val="010101"/>
          <w:szCs w:val="22"/>
        </w:rPr>
        <w:t>s</w:t>
      </w:r>
      <w:r w:rsidRPr="000C2B28">
        <w:rPr>
          <w:color w:val="010101"/>
          <w:szCs w:val="22"/>
        </w:rPr>
        <w:t xml:space="preserve"> a waiver of </w:t>
      </w:r>
      <w:r w:rsidR="00C40240">
        <w:rPr>
          <w:color w:val="010101"/>
          <w:szCs w:val="22"/>
        </w:rPr>
        <w:t>section</w:t>
      </w:r>
      <w:r w:rsidRPr="000C2B28">
        <w:rPr>
          <w:color w:val="010101"/>
          <w:szCs w:val="22"/>
        </w:rPr>
        <w:t xml:space="preserve"> 15.205(a) </w:t>
      </w:r>
      <w:r>
        <w:rPr>
          <w:color w:val="010101"/>
          <w:szCs w:val="22"/>
        </w:rPr>
        <w:t>of the Commission</w:t>
      </w:r>
      <w:r>
        <w:rPr>
          <w:szCs w:val="22"/>
        </w:rPr>
        <w:t xml:space="preserve">’s rules </w:t>
      </w:r>
      <w:r w:rsidRPr="008E689A">
        <w:rPr>
          <w:color w:val="010101"/>
          <w:szCs w:val="22"/>
        </w:rPr>
        <w:t>to permit the operation of the QPS 201 in the 70</w:t>
      </w:r>
      <w:r w:rsidRPr="008E689A">
        <w:rPr>
          <w:color w:val="010101"/>
          <w:szCs w:val="22"/>
        </w:rPr>
        <w:noBreakHyphen/>
        <w:t>80 GHz band.</w:t>
      </w:r>
      <w:r>
        <w:rPr>
          <w:rStyle w:val="FootnoteReference"/>
          <w:szCs w:val="22"/>
        </w:rPr>
        <w:footnoteReference w:id="8"/>
      </w:r>
      <w:r w:rsidRPr="008E689A">
        <w:rPr>
          <w:color w:val="010101"/>
          <w:szCs w:val="22"/>
        </w:rPr>
        <w:t xml:space="preserve">  </w:t>
      </w:r>
      <w:r w:rsidRPr="008E689A">
        <w:rPr>
          <w:szCs w:val="22"/>
        </w:rPr>
        <w:t xml:space="preserve">Section 15.205(a) identifies certain frequency bands, referred to as “restricted bands,” where unlicensed Part 15 devices are not allowed to intentionally radiate energy and </w:t>
      </w:r>
      <w:r w:rsidR="004522FF">
        <w:rPr>
          <w:szCs w:val="22"/>
        </w:rPr>
        <w:t xml:space="preserve">may </w:t>
      </w:r>
      <w:r w:rsidRPr="008E689A">
        <w:rPr>
          <w:szCs w:val="22"/>
        </w:rPr>
        <w:t xml:space="preserve">only </w:t>
      </w:r>
      <w:r w:rsidR="004522FF">
        <w:rPr>
          <w:szCs w:val="22"/>
        </w:rPr>
        <w:t xml:space="preserve">make </w:t>
      </w:r>
      <w:r w:rsidRPr="008E689A">
        <w:rPr>
          <w:szCs w:val="22"/>
        </w:rPr>
        <w:t>spurious emissions.</w:t>
      </w:r>
      <w:r>
        <w:rPr>
          <w:rStyle w:val="FootnoteReference"/>
          <w:szCs w:val="22"/>
        </w:rPr>
        <w:footnoteReference w:id="9"/>
      </w:r>
      <w:r w:rsidRPr="008E689A">
        <w:rPr>
          <w:szCs w:val="22"/>
        </w:rPr>
        <w:t xml:space="preserve">  All frequencies above 38.6 GHz are classified as “restricted,” except for a few bands where the Commission has permitted </w:t>
      </w:r>
      <w:r>
        <w:rPr>
          <w:szCs w:val="22"/>
        </w:rPr>
        <w:t xml:space="preserve">special types of </w:t>
      </w:r>
      <w:r w:rsidRPr="008E689A">
        <w:rPr>
          <w:szCs w:val="22"/>
        </w:rPr>
        <w:t>unlicensed operations, such as the 57</w:t>
      </w:r>
      <w:r w:rsidRPr="008E689A">
        <w:rPr>
          <w:szCs w:val="22"/>
        </w:rPr>
        <w:noBreakHyphen/>
        <w:t>71 GHz, 75</w:t>
      </w:r>
      <w:r w:rsidRPr="008E689A">
        <w:rPr>
          <w:szCs w:val="22"/>
        </w:rPr>
        <w:noBreakHyphen/>
        <w:t>85 GHz, and 92-95 GHz frequency bands.</w:t>
      </w:r>
      <w:r>
        <w:rPr>
          <w:rStyle w:val="FootnoteReference"/>
          <w:szCs w:val="22"/>
        </w:rPr>
        <w:footnoteReference w:id="10"/>
      </w:r>
    </w:p>
    <w:p w:rsidR="008E689A" w:rsidP="00BA6761" w14:paraId="76FC36A7" w14:textId="5C7136CB">
      <w:pPr>
        <w:pStyle w:val="ParaNum"/>
        <w:widowControl/>
        <w:rPr>
          <w:szCs w:val="22"/>
        </w:rPr>
      </w:pPr>
      <w:r w:rsidRPr="000C2B28">
        <w:rPr>
          <w:szCs w:val="22"/>
        </w:rPr>
        <w:t>Rohde &amp; Schwarz</w:t>
      </w:r>
      <w:r w:rsidRPr="000C2B28">
        <w:rPr>
          <w:color w:val="010101"/>
          <w:szCs w:val="22"/>
        </w:rPr>
        <w:t xml:space="preserve"> also seek</w:t>
      </w:r>
      <w:r w:rsidR="00AC285A">
        <w:rPr>
          <w:color w:val="010101"/>
          <w:szCs w:val="22"/>
        </w:rPr>
        <w:t>s</w:t>
      </w:r>
      <w:r w:rsidRPr="000C2B28">
        <w:rPr>
          <w:color w:val="010101"/>
          <w:szCs w:val="22"/>
        </w:rPr>
        <w:t xml:space="preserve"> a waiver of </w:t>
      </w:r>
      <w:r w:rsidR="00C40240">
        <w:rPr>
          <w:color w:val="010101"/>
          <w:szCs w:val="22"/>
        </w:rPr>
        <w:t>section</w:t>
      </w:r>
      <w:r w:rsidRPr="000C2B28">
        <w:rPr>
          <w:color w:val="010101"/>
          <w:szCs w:val="22"/>
        </w:rPr>
        <w:t xml:space="preserve"> 15.2</w:t>
      </w:r>
      <w:r w:rsidR="00305481">
        <w:rPr>
          <w:color w:val="010101"/>
          <w:szCs w:val="22"/>
        </w:rPr>
        <w:t>09</w:t>
      </w:r>
      <w:r w:rsidRPr="000C2B28">
        <w:rPr>
          <w:color w:val="010101"/>
          <w:szCs w:val="22"/>
        </w:rPr>
        <w:t>(</w:t>
      </w:r>
      <w:r w:rsidR="00305481">
        <w:rPr>
          <w:color w:val="010101"/>
          <w:szCs w:val="22"/>
        </w:rPr>
        <w:t>a</w:t>
      </w:r>
      <w:r w:rsidRPr="000C2B28">
        <w:rPr>
          <w:color w:val="010101"/>
          <w:szCs w:val="22"/>
        </w:rPr>
        <w:t xml:space="preserve">) of the Commission’s rules, which </w:t>
      </w:r>
      <w:r w:rsidRPr="000C2B28">
        <w:rPr>
          <w:szCs w:val="22"/>
        </w:rPr>
        <w:t>limits the field strength of emissions from unlicensed intentional radiators operating in frequencies above 470 MHz to 500 µV/m measured at a distance of 3 meters.</w:t>
      </w:r>
      <w:r>
        <w:rPr>
          <w:rStyle w:val="FootnoteReference"/>
          <w:rFonts w:eastAsia="Calibri"/>
          <w:szCs w:val="22"/>
        </w:rPr>
        <w:footnoteReference w:id="11"/>
      </w:r>
      <w:r w:rsidRPr="000C2B28">
        <w:rPr>
          <w:szCs w:val="22"/>
        </w:rPr>
        <w:t xml:space="preserve">  Rohde &amp; Schwarz</w:t>
      </w:r>
      <w:r w:rsidRPr="000C2B28">
        <w:rPr>
          <w:color w:val="010101"/>
          <w:szCs w:val="22"/>
        </w:rPr>
        <w:t xml:space="preserve"> request</w:t>
      </w:r>
      <w:r w:rsidR="005532BE">
        <w:rPr>
          <w:color w:val="010101"/>
          <w:szCs w:val="22"/>
        </w:rPr>
        <w:t>s</w:t>
      </w:r>
      <w:r w:rsidRPr="000C2B28">
        <w:rPr>
          <w:color w:val="010101"/>
          <w:szCs w:val="22"/>
        </w:rPr>
        <w:t xml:space="preserve"> to operate </w:t>
      </w:r>
      <w:r w:rsidR="00236C83">
        <w:rPr>
          <w:color w:val="010101"/>
          <w:szCs w:val="22"/>
        </w:rPr>
        <w:t xml:space="preserve">the QPS 201 </w:t>
      </w:r>
      <w:r w:rsidRPr="000C2B28">
        <w:rPr>
          <w:color w:val="010101"/>
          <w:szCs w:val="22"/>
        </w:rPr>
        <w:t xml:space="preserve">at </w:t>
      </w:r>
      <w:bookmarkStart w:id="0" w:name="_Hlk44332001"/>
      <w:r w:rsidRPr="000C2B28">
        <w:rPr>
          <w:szCs w:val="22"/>
        </w:rPr>
        <w:t>31,405 µV/m at 3 meters</w:t>
      </w:r>
      <w:bookmarkEnd w:id="0"/>
      <w:r w:rsidRPr="000C2B28">
        <w:rPr>
          <w:szCs w:val="22"/>
        </w:rPr>
        <w:t xml:space="preserve"> (</w:t>
      </w:r>
      <w:r w:rsidR="00305481">
        <w:rPr>
          <w:szCs w:val="22"/>
        </w:rPr>
        <w:t>36</w:t>
      </w:r>
      <w:r w:rsidRPr="000C2B28">
        <w:rPr>
          <w:szCs w:val="22"/>
        </w:rPr>
        <w:t xml:space="preserve"> dB higher than the </w:t>
      </w:r>
      <w:r w:rsidR="00305481">
        <w:rPr>
          <w:szCs w:val="22"/>
        </w:rPr>
        <w:t>l</w:t>
      </w:r>
      <w:r w:rsidRPr="000C2B28">
        <w:rPr>
          <w:szCs w:val="22"/>
        </w:rPr>
        <w:t xml:space="preserve">imit), </w:t>
      </w:r>
      <w:r w:rsidRPr="000C2B28">
        <w:rPr>
          <w:color w:val="010101"/>
          <w:szCs w:val="22"/>
        </w:rPr>
        <w:t xml:space="preserve">to allow the </w:t>
      </w:r>
      <w:r w:rsidR="00236C83">
        <w:rPr>
          <w:color w:val="010101"/>
          <w:szCs w:val="22"/>
        </w:rPr>
        <w:t>device</w:t>
      </w:r>
      <w:r w:rsidRPr="000C2B28">
        <w:rPr>
          <w:color w:val="010101"/>
          <w:szCs w:val="22"/>
        </w:rPr>
        <w:t xml:space="preserve"> to adequately perform its security scanning functions without increas</w:t>
      </w:r>
      <w:r w:rsidR="00AC285A">
        <w:rPr>
          <w:color w:val="010101"/>
          <w:szCs w:val="22"/>
        </w:rPr>
        <w:t>ing</w:t>
      </w:r>
      <w:r w:rsidRPr="000C2B28">
        <w:rPr>
          <w:color w:val="010101"/>
          <w:szCs w:val="22"/>
        </w:rPr>
        <w:t xml:space="preserve"> the potential for harmful interference to authorized users.</w:t>
      </w:r>
      <w:r>
        <w:rPr>
          <w:rStyle w:val="FootnoteReference"/>
          <w:szCs w:val="22"/>
        </w:rPr>
        <w:footnoteReference w:id="12"/>
      </w:r>
    </w:p>
    <w:p w:rsidR="00AD567E" w:rsidRPr="006F43E2" w:rsidP="00BA6761" w14:paraId="1ACB8D35" w14:textId="526FEDEE">
      <w:pPr>
        <w:pStyle w:val="ParaNum"/>
        <w:widowControl/>
        <w:rPr>
          <w:szCs w:val="22"/>
        </w:rPr>
      </w:pPr>
      <w:r w:rsidRPr="006F43E2">
        <w:rPr>
          <w:szCs w:val="22"/>
        </w:rPr>
        <w:t>In response to</w:t>
      </w:r>
      <w:r w:rsidRPr="006F43E2">
        <w:rPr>
          <w:szCs w:val="22"/>
        </w:rPr>
        <w:t xml:space="preserve"> </w:t>
      </w:r>
      <w:r w:rsidRPr="006F43E2">
        <w:rPr>
          <w:szCs w:val="22"/>
        </w:rPr>
        <w:t xml:space="preserve">the </w:t>
      </w:r>
      <w:r w:rsidRPr="006F43E2">
        <w:rPr>
          <w:spacing w:val="-2"/>
          <w:szCs w:val="22"/>
        </w:rPr>
        <w:t>Office of Engineering and Technology’s</w:t>
      </w:r>
      <w:r w:rsidRPr="006F43E2">
        <w:rPr>
          <w:szCs w:val="22"/>
        </w:rPr>
        <w:t xml:space="preserve"> </w:t>
      </w:r>
      <w:r w:rsidRPr="006F43E2">
        <w:rPr>
          <w:szCs w:val="22"/>
        </w:rPr>
        <w:t>public notice</w:t>
      </w:r>
      <w:r w:rsidRPr="006F43E2">
        <w:rPr>
          <w:szCs w:val="22"/>
        </w:rPr>
        <w:t>,</w:t>
      </w:r>
      <w:r>
        <w:rPr>
          <w:szCs w:val="22"/>
          <w:vertAlign w:val="superscript"/>
        </w:rPr>
        <w:footnoteReference w:id="13"/>
      </w:r>
      <w:r w:rsidRPr="006F43E2" w:rsidR="009B444B">
        <w:rPr>
          <w:szCs w:val="22"/>
        </w:rPr>
        <w:t xml:space="preserve"> </w:t>
      </w:r>
      <w:r w:rsidR="0074651A">
        <w:rPr>
          <w:szCs w:val="22"/>
        </w:rPr>
        <w:t xml:space="preserve">only two parties filed comments: </w:t>
      </w:r>
      <w:r w:rsidRPr="006F43E2" w:rsidR="00D360AE">
        <w:rPr>
          <w:szCs w:val="22"/>
        </w:rPr>
        <w:t>the</w:t>
      </w:r>
      <w:r w:rsidRPr="006F43E2" w:rsidR="00D360AE">
        <w:rPr>
          <w:szCs w:val="22"/>
        </w:rPr>
        <w:t xml:space="preserve"> </w:t>
      </w:r>
      <w:r w:rsidRPr="00291892" w:rsidR="0019393D">
        <w:rPr>
          <w:bCs/>
          <w:szCs w:val="22"/>
        </w:rPr>
        <w:t xml:space="preserve">National Academy </w:t>
      </w:r>
      <w:r w:rsidR="0019393D">
        <w:rPr>
          <w:bCs/>
          <w:szCs w:val="22"/>
        </w:rPr>
        <w:t>o</w:t>
      </w:r>
      <w:r w:rsidRPr="00291892" w:rsidR="0019393D">
        <w:rPr>
          <w:bCs/>
          <w:szCs w:val="22"/>
        </w:rPr>
        <w:t xml:space="preserve">f Sciences’ Committee </w:t>
      </w:r>
      <w:r w:rsidR="0019393D">
        <w:rPr>
          <w:bCs/>
          <w:szCs w:val="22"/>
        </w:rPr>
        <w:t>o</w:t>
      </w:r>
      <w:r w:rsidRPr="00291892" w:rsidR="0019393D">
        <w:rPr>
          <w:bCs/>
          <w:szCs w:val="22"/>
        </w:rPr>
        <w:t>n Radio Frequencies</w:t>
      </w:r>
      <w:r w:rsidR="0019393D">
        <w:rPr>
          <w:bCs/>
          <w:szCs w:val="22"/>
        </w:rPr>
        <w:t xml:space="preserve"> (CORF)</w:t>
      </w:r>
      <w:r w:rsidRPr="006F43E2" w:rsidR="00D360AE">
        <w:rPr>
          <w:szCs w:val="22"/>
        </w:rPr>
        <w:t xml:space="preserve">, and </w:t>
      </w:r>
      <w:r w:rsidR="0019393D">
        <w:rPr>
          <w:szCs w:val="22"/>
        </w:rPr>
        <w:t>James Edwin Whedbee</w:t>
      </w:r>
      <w:r w:rsidR="00292DC2">
        <w:rPr>
          <w:szCs w:val="22"/>
        </w:rPr>
        <w:t>.</w:t>
      </w:r>
      <w:r w:rsidR="00F8458B">
        <w:rPr>
          <w:szCs w:val="22"/>
        </w:rPr>
        <w:t xml:space="preserve"> </w:t>
      </w:r>
      <w:r w:rsidR="00661017">
        <w:rPr>
          <w:szCs w:val="22"/>
        </w:rPr>
        <w:t xml:space="preserve"> </w:t>
      </w:r>
      <w:r w:rsidR="00292DC2">
        <w:rPr>
          <w:szCs w:val="22"/>
        </w:rPr>
        <w:t xml:space="preserve">Both parties </w:t>
      </w:r>
      <w:r w:rsidR="00F8458B">
        <w:rPr>
          <w:szCs w:val="22"/>
        </w:rPr>
        <w:t>support</w:t>
      </w:r>
      <w:r w:rsidR="00292DC2">
        <w:rPr>
          <w:szCs w:val="22"/>
        </w:rPr>
        <w:t xml:space="preserve">ed </w:t>
      </w:r>
      <w:r w:rsidR="00F8458B">
        <w:rPr>
          <w:szCs w:val="22"/>
        </w:rPr>
        <w:t>the waiver request</w:t>
      </w:r>
      <w:r w:rsidR="004F6D1A">
        <w:rPr>
          <w:szCs w:val="22"/>
        </w:rPr>
        <w:t>, but</w:t>
      </w:r>
      <w:r w:rsidR="00F8458B">
        <w:rPr>
          <w:szCs w:val="22"/>
        </w:rPr>
        <w:t xml:space="preserve"> CORF recommend</w:t>
      </w:r>
      <w:r w:rsidR="00292DC2">
        <w:rPr>
          <w:szCs w:val="22"/>
        </w:rPr>
        <w:t xml:space="preserve">ed </w:t>
      </w:r>
      <w:r w:rsidR="00F8458B">
        <w:rPr>
          <w:szCs w:val="22"/>
        </w:rPr>
        <w:t xml:space="preserve">either restricting installations of the QPS 201 to indoors or </w:t>
      </w:r>
      <w:r w:rsidR="004522FF">
        <w:rPr>
          <w:szCs w:val="22"/>
        </w:rPr>
        <w:t>not permitting</w:t>
      </w:r>
      <w:r w:rsidR="00F8458B">
        <w:rPr>
          <w:szCs w:val="22"/>
        </w:rPr>
        <w:t xml:space="preserve"> outdoor installations </w:t>
      </w:r>
      <w:r w:rsidR="004522FF">
        <w:rPr>
          <w:szCs w:val="22"/>
        </w:rPr>
        <w:t>within</w:t>
      </w:r>
      <w:r w:rsidR="00F8458B">
        <w:rPr>
          <w:szCs w:val="22"/>
        </w:rPr>
        <w:t xml:space="preserve"> 70 kilometers </w:t>
      </w:r>
      <w:r w:rsidR="004522FF">
        <w:rPr>
          <w:szCs w:val="22"/>
        </w:rPr>
        <w:t>of</w:t>
      </w:r>
      <w:r w:rsidR="00F8458B">
        <w:rPr>
          <w:szCs w:val="22"/>
        </w:rPr>
        <w:t xml:space="preserve"> any radio astronomy facility operating in the 70</w:t>
      </w:r>
      <w:r w:rsidR="00F8458B">
        <w:rPr>
          <w:szCs w:val="22"/>
        </w:rPr>
        <w:noBreakHyphen/>
        <w:t>80 GHz band.</w:t>
      </w:r>
      <w:r>
        <w:rPr>
          <w:rStyle w:val="FootnoteReference"/>
          <w:szCs w:val="22"/>
        </w:rPr>
        <w:footnoteReference w:id="14"/>
      </w:r>
      <w:r w:rsidR="00F8458B">
        <w:rPr>
          <w:szCs w:val="22"/>
        </w:rPr>
        <w:t xml:space="preserve"> </w:t>
      </w:r>
      <w:r w:rsidR="0019393D">
        <w:rPr>
          <w:szCs w:val="22"/>
        </w:rPr>
        <w:t xml:space="preserve"> </w:t>
      </w:r>
    </w:p>
    <w:p w:rsidR="00AD567E" w:rsidRPr="006F43E2" w:rsidP="00BA6761" w14:paraId="0DF4F39D" w14:textId="77777777">
      <w:pPr>
        <w:pStyle w:val="Heading1"/>
        <w:widowControl/>
        <w:rPr>
          <w:rFonts w:ascii="Times New Roman" w:hAnsi="Times New Roman"/>
          <w:szCs w:val="22"/>
        </w:rPr>
      </w:pPr>
      <w:r w:rsidRPr="006F43E2">
        <w:rPr>
          <w:rFonts w:ascii="Times New Roman" w:hAnsi="Times New Roman"/>
          <w:szCs w:val="22"/>
        </w:rPr>
        <w:t>Discussion</w:t>
      </w:r>
    </w:p>
    <w:p w:rsidR="00AD567E" w:rsidRPr="006F43E2" w:rsidP="00BA6761" w14:paraId="09327AD9" w14:textId="394F0EB8">
      <w:pPr>
        <w:pStyle w:val="ParaNum"/>
        <w:widowControl/>
        <w:rPr>
          <w:szCs w:val="22"/>
        </w:rPr>
      </w:pPr>
      <w:r w:rsidRPr="006F43E2">
        <w:rPr>
          <w:szCs w:val="22"/>
        </w:rPr>
        <w:t xml:space="preserve">We are authorized to grant a waiver under </w:t>
      </w:r>
      <w:r w:rsidR="00C40240">
        <w:rPr>
          <w:szCs w:val="22"/>
        </w:rPr>
        <w:t>section</w:t>
      </w:r>
      <w:r w:rsidRPr="006F43E2">
        <w:rPr>
          <w:szCs w:val="22"/>
        </w:rPr>
        <w:t xml:space="preserve"> 1.3 of the Commission's rules if the petitioner demonstrates good cause for such action</w:t>
      </w:r>
      <w:r w:rsidRPr="00272175">
        <w:rPr>
          <w:szCs w:val="22"/>
        </w:rPr>
        <w:t>.</w:t>
      </w:r>
      <w:bookmarkStart w:id="1" w:name="FN[FN17]"/>
      <w:bookmarkEnd w:id="1"/>
      <w:r>
        <w:rPr>
          <w:szCs w:val="22"/>
          <w:vertAlign w:val="superscript"/>
        </w:rPr>
        <w:footnoteReference w:id="15"/>
      </w:r>
      <w:r w:rsidRPr="006F43E2">
        <w:rPr>
          <w:szCs w:val="22"/>
        </w:rPr>
        <w:t xml:space="preserve">  Good cause, in turn, may be found and a waiver </w:t>
      </w:r>
      <w:r w:rsidRPr="006F43E2">
        <w:rPr>
          <w:szCs w:val="22"/>
        </w:rPr>
        <w:t>granted “where particular facts would make strict compliance inconsistent with the public interest.”</w:t>
      </w:r>
      <w:bookmarkStart w:id="2" w:name="FN[FN18]"/>
      <w:bookmarkEnd w:id="2"/>
      <w:r>
        <w:rPr>
          <w:szCs w:val="22"/>
          <w:vertAlign w:val="superscript"/>
        </w:rPr>
        <w:footnoteReference w:id="16"/>
      </w:r>
      <w:r w:rsidRPr="006F43E2">
        <w:rPr>
          <w:szCs w:val="22"/>
        </w:rPr>
        <w:t xml:space="preserve">  To</w:t>
      </w:r>
      <w:r w:rsidR="007D1A71">
        <w:rPr>
          <w:szCs w:val="22"/>
        </w:rPr>
        <w:t xml:space="preserve"> </w:t>
      </w:r>
      <w:r w:rsidRPr="006F43E2">
        <w:rPr>
          <w:szCs w:val="22"/>
        </w:rPr>
        <w:t xml:space="preserve">make this public interest determination, the waiver cannot undermine the purposes of the rule, and there must be a stronger public interest benefit in </w:t>
      </w:r>
      <w:bookmarkStart w:id="3" w:name="sp_1511_4275"/>
      <w:bookmarkStart w:id="4" w:name="SDU_4275"/>
      <w:bookmarkStart w:id="5" w:name="citeas((Cite_as:_22_F.C.C.R._4272,_*4275"/>
      <w:bookmarkEnd w:id="3"/>
      <w:bookmarkEnd w:id="4"/>
      <w:bookmarkEnd w:id="5"/>
      <w:r w:rsidRPr="006F43E2">
        <w:rPr>
          <w:szCs w:val="22"/>
        </w:rPr>
        <w:t>granting the waiver than in applying the rule.</w:t>
      </w:r>
      <w:bookmarkStart w:id="6" w:name="FN[FN19]"/>
      <w:bookmarkEnd w:id="6"/>
      <w:r>
        <w:rPr>
          <w:szCs w:val="22"/>
          <w:vertAlign w:val="superscript"/>
        </w:rPr>
        <w:footnoteReference w:id="17"/>
      </w:r>
    </w:p>
    <w:p w:rsidR="008E712C" w:rsidP="00BA6761" w14:paraId="546D9568" w14:textId="165FA1C3">
      <w:pPr>
        <w:pStyle w:val="ParaNum"/>
        <w:widowControl/>
        <w:rPr>
          <w:szCs w:val="22"/>
        </w:rPr>
      </w:pPr>
      <w:r w:rsidRPr="00B466A7">
        <w:rPr>
          <w:szCs w:val="22"/>
        </w:rPr>
        <w:t xml:space="preserve">We find that </w:t>
      </w:r>
      <w:r w:rsidRPr="00B466A7" w:rsidR="005B6E32">
        <w:rPr>
          <w:szCs w:val="22"/>
        </w:rPr>
        <w:t>grant</w:t>
      </w:r>
      <w:r w:rsidR="00ED397A">
        <w:rPr>
          <w:szCs w:val="22"/>
        </w:rPr>
        <w:t xml:space="preserve">ing a waiver to </w:t>
      </w:r>
      <w:r w:rsidRPr="00B466A7" w:rsidR="000D6575">
        <w:rPr>
          <w:szCs w:val="22"/>
        </w:rPr>
        <w:t>Rohde &amp; Schwarz</w:t>
      </w:r>
      <w:r w:rsidR="00ED397A">
        <w:rPr>
          <w:szCs w:val="22"/>
        </w:rPr>
        <w:t xml:space="preserve"> will </w:t>
      </w:r>
      <w:r w:rsidRPr="00B466A7" w:rsidR="005B6E32">
        <w:rPr>
          <w:szCs w:val="22"/>
        </w:rPr>
        <w:t xml:space="preserve">not undermine the </w:t>
      </w:r>
      <w:r w:rsidRPr="00B466A7" w:rsidR="009F720E">
        <w:rPr>
          <w:szCs w:val="22"/>
        </w:rPr>
        <w:t>purpose of the</w:t>
      </w:r>
      <w:r w:rsidRPr="00B466A7" w:rsidR="005B6E32">
        <w:rPr>
          <w:szCs w:val="22"/>
        </w:rPr>
        <w:t xml:space="preserve"> rules, </w:t>
      </w:r>
      <w:r w:rsidRPr="007346C8" w:rsidR="005B6E32">
        <w:rPr>
          <w:iCs/>
          <w:szCs w:val="22"/>
        </w:rPr>
        <w:t>i.e</w:t>
      </w:r>
      <w:r w:rsidRPr="00B466A7" w:rsidR="005B6E32">
        <w:rPr>
          <w:i/>
          <w:szCs w:val="22"/>
        </w:rPr>
        <w:t>.,</w:t>
      </w:r>
      <w:r w:rsidRPr="00B466A7" w:rsidR="005B6E32">
        <w:rPr>
          <w:szCs w:val="22"/>
        </w:rPr>
        <w:t xml:space="preserve"> to prevent harmful interference to authorized services.</w:t>
      </w:r>
      <w:r w:rsidR="00655651">
        <w:rPr>
          <w:szCs w:val="22"/>
        </w:rPr>
        <w:t xml:space="preserve">  </w:t>
      </w:r>
      <w:r w:rsidR="00387C85">
        <w:rPr>
          <w:szCs w:val="22"/>
        </w:rPr>
        <w:t xml:space="preserve">Authorized services in the 70-80 GHz band </w:t>
      </w:r>
      <w:r w:rsidR="005A1B9D">
        <w:rPr>
          <w:szCs w:val="22"/>
        </w:rPr>
        <w:t xml:space="preserve">consist of </w:t>
      </w:r>
      <w:r w:rsidR="00387C85">
        <w:rPr>
          <w:szCs w:val="22"/>
        </w:rPr>
        <w:t xml:space="preserve">fixed microwave links in </w:t>
      </w:r>
      <w:r w:rsidR="007E7023">
        <w:rPr>
          <w:szCs w:val="22"/>
        </w:rPr>
        <w:t xml:space="preserve">the </w:t>
      </w:r>
      <w:r w:rsidR="00387C85">
        <w:rPr>
          <w:szCs w:val="22"/>
        </w:rPr>
        <w:t>71-76 GHz</w:t>
      </w:r>
      <w:r w:rsidR="007E7023">
        <w:rPr>
          <w:szCs w:val="22"/>
        </w:rPr>
        <w:t xml:space="preserve"> band</w:t>
      </w:r>
      <w:r w:rsidR="00387C85">
        <w:rPr>
          <w:szCs w:val="22"/>
        </w:rPr>
        <w:t xml:space="preserve">, vehicular radars in </w:t>
      </w:r>
      <w:r w:rsidR="007E7023">
        <w:rPr>
          <w:szCs w:val="22"/>
        </w:rPr>
        <w:t xml:space="preserve">the </w:t>
      </w:r>
      <w:r w:rsidR="00387C85">
        <w:rPr>
          <w:szCs w:val="22"/>
        </w:rPr>
        <w:t>76-81 GHz</w:t>
      </w:r>
      <w:r w:rsidR="007E7023">
        <w:rPr>
          <w:szCs w:val="22"/>
        </w:rPr>
        <w:t xml:space="preserve"> band</w:t>
      </w:r>
      <w:r w:rsidR="00387C85">
        <w:rPr>
          <w:szCs w:val="22"/>
        </w:rPr>
        <w:t xml:space="preserve">, foreign object debris </w:t>
      </w:r>
      <w:r w:rsidR="007E7023">
        <w:rPr>
          <w:szCs w:val="22"/>
        </w:rPr>
        <w:t xml:space="preserve">(FOD) </w:t>
      </w:r>
      <w:r w:rsidR="00387C85">
        <w:rPr>
          <w:szCs w:val="22"/>
        </w:rPr>
        <w:t xml:space="preserve">radars that are used at airports in </w:t>
      </w:r>
      <w:r w:rsidR="007E7023">
        <w:rPr>
          <w:szCs w:val="22"/>
        </w:rPr>
        <w:t xml:space="preserve">the </w:t>
      </w:r>
      <w:r w:rsidR="00387C85">
        <w:rPr>
          <w:szCs w:val="22"/>
        </w:rPr>
        <w:t>76-81 GHz</w:t>
      </w:r>
      <w:r w:rsidR="007E7023">
        <w:rPr>
          <w:szCs w:val="22"/>
        </w:rPr>
        <w:t xml:space="preserve"> band</w:t>
      </w:r>
      <w:r w:rsidR="00387C85">
        <w:rPr>
          <w:szCs w:val="22"/>
        </w:rPr>
        <w:t xml:space="preserve">, as well as satellite downlinks, space research, and radio astronomy in portions of the </w:t>
      </w:r>
      <w:r w:rsidR="007E7023">
        <w:rPr>
          <w:szCs w:val="22"/>
        </w:rPr>
        <w:t xml:space="preserve">70-80 GHz </w:t>
      </w:r>
      <w:r w:rsidR="00387C85">
        <w:rPr>
          <w:szCs w:val="22"/>
        </w:rPr>
        <w:t>band.</w:t>
      </w:r>
      <w:bookmarkStart w:id="7" w:name="_Ref42077400"/>
      <w:r>
        <w:rPr>
          <w:rStyle w:val="FootnoteReference"/>
          <w:szCs w:val="22"/>
        </w:rPr>
        <w:footnoteReference w:id="18"/>
      </w:r>
      <w:bookmarkEnd w:id="7"/>
      <w:r w:rsidRPr="00655651" w:rsidR="00387C85">
        <w:rPr>
          <w:szCs w:val="22"/>
        </w:rPr>
        <w:t xml:space="preserve">  </w:t>
      </w:r>
      <w:r w:rsidRPr="00655651" w:rsidR="00655651">
        <w:rPr>
          <w:szCs w:val="22"/>
        </w:rPr>
        <w:t xml:space="preserve">We </w:t>
      </w:r>
      <w:r w:rsidR="00292DC2">
        <w:rPr>
          <w:szCs w:val="22"/>
        </w:rPr>
        <w:t xml:space="preserve">find </w:t>
      </w:r>
      <w:r w:rsidRPr="00655651" w:rsidR="00655651">
        <w:rPr>
          <w:szCs w:val="22"/>
        </w:rPr>
        <w:t xml:space="preserve">that the QPS 201 device would pose a negligible risk of harmful interference to </w:t>
      </w:r>
      <w:r w:rsidR="00387C85">
        <w:rPr>
          <w:szCs w:val="22"/>
        </w:rPr>
        <w:t xml:space="preserve">the </w:t>
      </w:r>
      <w:r w:rsidR="001976C0">
        <w:rPr>
          <w:szCs w:val="22"/>
        </w:rPr>
        <w:t xml:space="preserve">other </w:t>
      </w:r>
      <w:r w:rsidR="00A8443B">
        <w:rPr>
          <w:szCs w:val="22"/>
        </w:rPr>
        <w:t>authorized</w:t>
      </w:r>
      <w:r w:rsidRPr="00655651" w:rsidR="00655651">
        <w:rPr>
          <w:szCs w:val="22"/>
        </w:rPr>
        <w:t xml:space="preserve"> operations</w:t>
      </w:r>
      <w:r w:rsidR="00764F5F">
        <w:rPr>
          <w:szCs w:val="22"/>
        </w:rPr>
        <w:t xml:space="preserve"> for several reasons</w:t>
      </w:r>
      <w:r w:rsidRPr="00655651" w:rsidR="00655651">
        <w:rPr>
          <w:szCs w:val="22"/>
        </w:rPr>
        <w:t xml:space="preserve">.  </w:t>
      </w:r>
      <w:r w:rsidR="00C77566">
        <w:rPr>
          <w:szCs w:val="22"/>
        </w:rPr>
        <w:t xml:space="preserve">First, </w:t>
      </w:r>
      <w:r w:rsidR="00F80490">
        <w:rPr>
          <w:szCs w:val="22"/>
        </w:rPr>
        <w:t xml:space="preserve">the </w:t>
      </w:r>
      <w:r w:rsidR="00292DC2">
        <w:rPr>
          <w:szCs w:val="22"/>
        </w:rPr>
        <w:t>QPS 201 uses highly directional antennas</w:t>
      </w:r>
      <w:r w:rsidR="00C0237B">
        <w:rPr>
          <w:szCs w:val="22"/>
        </w:rPr>
        <w:t xml:space="preserve">, which </w:t>
      </w:r>
      <w:r w:rsidRPr="00655651" w:rsidR="00C0237B">
        <w:rPr>
          <w:szCs w:val="22"/>
        </w:rPr>
        <w:t>reduc</w:t>
      </w:r>
      <w:r w:rsidR="00C0237B">
        <w:rPr>
          <w:szCs w:val="22"/>
        </w:rPr>
        <w:t>es</w:t>
      </w:r>
      <w:r w:rsidRPr="00655651" w:rsidR="00C0237B">
        <w:rPr>
          <w:szCs w:val="22"/>
        </w:rPr>
        <w:t xml:space="preserve"> the likelihood that signals from the </w:t>
      </w:r>
      <w:r w:rsidR="00C0237B">
        <w:rPr>
          <w:szCs w:val="22"/>
        </w:rPr>
        <w:t>QPS 201</w:t>
      </w:r>
      <w:r w:rsidRPr="00655651" w:rsidR="00C0237B">
        <w:rPr>
          <w:szCs w:val="22"/>
        </w:rPr>
        <w:t xml:space="preserve"> and </w:t>
      </w:r>
      <w:r w:rsidR="00C0237B">
        <w:rPr>
          <w:szCs w:val="22"/>
        </w:rPr>
        <w:t xml:space="preserve">other </w:t>
      </w:r>
      <w:r w:rsidRPr="00655651" w:rsidR="00C0237B">
        <w:rPr>
          <w:szCs w:val="22"/>
        </w:rPr>
        <w:t>radio services will align in ways that are likely to result in harmful interference</w:t>
      </w:r>
      <w:r w:rsidRPr="006F43E2" w:rsidR="00C0237B">
        <w:rPr>
          <w:szCs w:val="22"/>
        </w:rPr>
        <w:t>.</w:t>
      </w:r>
      <w:r w:rsidR="00C0237B">
        <w:rPr>
          <w:szCs w:val="22"/>
        </w:rPr>
        <w:t xml:space="preserve"> </w:t>
      </w:r>
      <w:r w:rsidR="00292DC2">
        <w:rPr>
          <w:szCs w:val="22"/>
        </w:rPr>
        <w:t xml:space="preserve"> T</w:t>
      </w:r>
      <w:r w:rsidR="00C77566">
        <w:t xml:space="preserve">he Commission has previously determined that </w:t>
      </w:r>
      <w:r w:rsidRPr="00977127" w:rsidR="00C77566">
        <w:t xml:space="preserve">highly directional, “pencil-beam” signal characteristics permit </w:t>
      </w:r>
      <w:r w:rsidR="00C77566">
        <w:t xml:space="preserve">the </w:t>
      </w:r>
      <w:r w:rsidR="000963B3">
        <w:t xml:space="preserve">fixed microwave </w:t>
      </w:r>
      <w:r w:rsidR="00C77566">
        <w:t>sy</w:t>
      </w:r>
      <w:r w:rsidRPr="00977127" w:rsidR="00C77566">
        <w:t>stems in the</w:t>
      </w:r>
      <w:r w:rsidR="00C77566">
        <w:t xml:space="preserve"> 7</w:t>
      </w:r>
      <w:r w:rsidR="000963B3">
        <w:t>1</w:t>
      </w:r>
      <w:r w:rsidR="00C77566">
        <w:noBreakHyphen/>
      </w:r>
      <w:r w:rsidR="000963B3">
        <w:t>76</w:t>
      </w:r>
      <w:r w:rsidR="00C77566">
        <w:t> GHz band</w:t>
      </w:r>
      <w:r w:rsidRPr="00977127" w:rsidR="00C77566">
        <w:t xml:space="preserve"> to be engineered</w:t>
      </w:r>
      <w:r w:rsidR="00C77566">
        <w:t xml:space="preserve"> so that many operations can co-exist in the same vicinity without causing interference to one another.</w:t>
      </w:r>
      <w:bookmarkStart w:id="8" w:name="_Ref38296226"/>
      <w:r>
        <w:rPr>
          <w:rStyle w:val="FootnoteReference"/>
          <w:sz w:val="22"/>
          <w:szCs w:val="22"/>
        </w:rPr>
        <w:footnoteReference w:id="19"/>
      </w:r>
      <w:bookmarkEnd w:id="8"/>
      <w:r w:rsidR="00C77566">
        <w:t xml:space="preserve">  </w:t>
      </w:r>
      <w:r w:rsidR="00583497">
        <w:t xml:space="preserve">Satellite earth station receivers, radio astronomy facilities, </w:t>
      </w:r>
      <w:r w:rsidR="006F0C37">
        <w:t xml:space="preserve">FOD </w:t>
      </w:r>
      <w:r w:rsidR="00583497">
        <w:t xml:space="preserve">radars, and vehicular radars also employ highly directional antennas.  </w:t>
      </w:r>
      <w:r w:rsidR="00C77566">
        <w:t>Further, t</w:t>
      </w:r>
      <w:r w:rsidRPr="00655651" w:rsidR="00655651">
        <w:rPr>
          <w:szCs w:val="22"/>
        </w:rPr>
        <w:t xml:space="preserve">he </w:t>
      </w:r>
      <w:r w:rsidR="00C77566">
        <w:rPr>
          <w:szCs w:val="22"/>
        </w:rPr>
        <w:t>QPS 201</w:t>
      </w:r>
      <w:r w:rsidR="00EE20E1">
        <w:rPr>
          <w:szCs w:val="22"/>
        </w:rPr>
        <w:t xml:space="preserve"> </w:t>
      </w:r>
      <w:r w:rsidRPr="00655651" w:rsidR="00655651">
        <w:rPr>
          <w:szCs w:val="22"/>
        </w:rPr>
        <w:t xml:space="preserve">would be expected to focus its energy between the </w:t>
      </w:r>
      <w:r w:rsidR="00C77CB9">
        <w:rPr>
          <w:szCs w:val="22"/>
        </w:rPr>
        <w:t xml:space="preserve">two </w:t>
      </w:r>
      <w:r w:rsidR="00826DE9">
        <w:rPr>
          <w:szCs w:val="22"/>
        </w:rPr>
        <w:t xml:space="preserve">physical </w:t>
      </w:r>
      <w:r w:rsidR="00754988">
        <w:rPr>
          <w:szCs w:val="22"/>
        </w:rPr>
        <w:t>panels</w:t>
      </w:r>
      <w:r w:rsidR="00C64F4D">
        <w:rPr>
          <w:szCs w:val="22"/>
        </w:rPr>
        <w:t>,</w:t>
      </w:r>
      <w:r w:rsidRPr="00655651" w:rsidR="00655651">
        <w:rPr>
          <w:szCs w:val="22"/>
        </w:rPr>
        <w:t xml:space="preserve"> </w:t>
      </w:r>
      <w:r w:rsidR="00C64F4D">
        <w:rPr>
          <w:szCs w:val="22"/>
        </w:rPr>
        <w:t xml:space="preserve">typically located at ground level, </w:t>
      </w:r>
      <w:r w:rsidRPr="00655651" w:rsidR="00655651">
        <w:rPr>
          <w:szCs w:val="22"/>
        </w:rPr>
        <w:t>in order to reduce the possibility of false detections from persons</w:t>
      </w:r>
      <w:r w:rsidR="000C7D4D">
        <w:rPr>
          <w:szCs w:val="22"/>
        </w:rPr>
        <w:t>/objects</w:t>
      </w:r>
      <w:r w:rsidRPr="00655651" w:rsidR="00655651">
        <w:rPr>
          <w:szCs w:val="22"/>
        </w:rPr>
        <w:t xml:space="preserve"> that are located in </w:t>
      </w:r>
      <w:r w:rsidR="000C7D4D">
        <w:rPr>
          <w:szCs w:val="22"/>
        </w:rPr>
        <w:t>surrounding</w:t>
      </w:r>
      <w:r w:rsidRPr="00655651" w:rsidR="00655651">
        <w:rPr>
          <w:szCs w:val="22"/>
        </w:rPr>
        <w:t xml:space="preserve"> areas, as well as to reduce the potential for interference from other </w:t>
      </w:r>
      <w:r w:rsidR="000C7D4D">
        <w:rPr>
          <w:szCs w:val="22"/>
        </w:rPr>
        <w:t>sources</w:t>
      </w:r>
      <w:r w:rsidR="00C77566">
        <w:rPr>
          <w:szCs w:val="22"/>
        </w:rPr>
        <w:t xml:space="preserve"> that would adversely affect its operation</w:t>
      </w:r>
      <w:r w:rsidRPr="00655651" w:rsidR="00655651">
        <w:rPr>
          <w:szCs w:val="22"/>
        </w:rPr>
        <w:t>.</w:t>
      </w:r>
      <w:r>
        <w:rPr>
          <w:rStyle w:val="FootnoteReference"/>
          <w:sz w:val="22"/>
          <w:szCs w:val="22"/>
        </w:rPr>
        <w:footnoteReference w:id="20"/>
      </w:r>
      <w:r w:rsidRPr="00655651" w:rsidR="00655651">
        <w:rPr>
          <w:szCs w:val="22"/>
        </w:rPr>
        <w:t xml:space="preserve">  </w:t>
      </w:r>
      <w:r w:rsidRPr="00655651" w:rsidR="004C3456">
        <w:rPr>
          <w:szCs w:val="22"/>
        </w:rPr>
        <w:t xml:space="preserve">Moreover, </w:t>
      </w:r>
      <w:r w:rsidR="00292DC2">
        <w:rPr>
          <w:szCs w:val="22"/>
        </w:rPr>
        <w:t xml:space="preserve">in the </w:t>
      </w:r>
      <w:r w:rsidR="004C3456">
        <w:rPr>
          <w:szCs w:val="22"/>
        </w:rPr>
        <w:t>70</w:t>
      </w:r>
      <w:r w:rsidR="004C3456">
        <w:rPr>
          <w:szCs w:val="22"/>
        </w:rPr>
        <w:noBreakHyphen/>
        <w:t>80 GHz</w:t>
      </w:r>
      <w:r w:rsidR="00292DC2">
        <w:rPr>
          <w:szCs w:val="22"/>
        </w:rPr>
        <w:t xml:space="preserve"> frequency range</w:t>
      </w:r>
      <w:r w:rsidR="009E70A5">
        <w:rPr>
          <w:szCs w:val="22"/>
        </w:rPr>
        <w:t>,</w:t>
      </w:r>
      <w:r w:rsidRPr="00655651" w:rsidR="004C3456">
        <w:rPr>
          <w:szCs w:val="22"/>
        </w:rPr>
        <w:t xml:space="preserve"> free space path loss is significant and nearby people and objects would further attenuate the signals</w:t>
      </w:r>
      <w:r w:rsidR="00F87F38">
        <w:rPr>
          <w:szCs w:val="22"/>
        </w:rPr>
        <w:t>; t</w:t>
      </w:r>
      <w:r w:rsidR="00C77CB9">
        <w:rPr>
          <w:szCs w:val="22"/>
        </w:rPr>
        <w:t>herefore</w:t>
      </w:r>
      <w:r w:rsidR="00D23692">
        <w:rPr>
          <w:szCs w:val="22"/>
        </w:rPr>
        <w:t>,</w:t>
      </w:r>
      <w:r w:rsidR="00C77CB9">
        <w:rPr>
          <w:szCs w:val="22"/>
        </w:rPr>
        <w:t xml:space="preserve"> </w:t>
      </w:r>
      <w:r w:rsidR="00B02007">
        <w:rPr>
          <w:szCs w:val="22"/>
        </w:rPr>
        <w:t xml:space="preserve">leakage </w:t>
      </w:r>
      <w:r w:rsidR="00C77CB9">
        <w:rPr>
          <w:szCs w:val="22"/>
        </w:rPr>
        <w:t>signals</w:t>
      </w:r>
      <w:r w:rsidR="000D38F8">
        <w:rPr>
          <w:szCs w:val="22"/>
        </w:rPr>
        <w:t>, if any,</w:t>
      </w:r>
      <w:r w:rsidR="00C77CB9">
        <w:rPr>
          <w:szCs w:val="22"/>
        </w:rPr>
        <w:t xml:space="preserve"> would not travel very far</w:t>
      </w:r>
      <w:r w:rsidRPr="00655651" w:rsidR="004C3456">
        <w:rPr>
          <w:szCs w:val="22"/>
        </w:rPr>
        <w:t>.</w:t>
      </w:r>
      <w:r>
        <w:rPr>
          <w:rStyle w:val="FootnoteReference"/>
          <w:sz w:val="22"/>
          <w:szCs w:val="22"/>
        </w:rPr>
        <w:footnoteReference w:id="21"/>
      </w:r>
      <w:r w:rsidRPr="00655651" w:rsidR="004C3456">
        <w:rPr>
          <w:szCs w:val="22"/>
        </w:rPr>
        <w:t xml:space="preserve">  </w:t>
      </w:r>
    </w:p>
    <w:p w:rsidR="007D256E" w:rsidP="00BA6761" w14:paraId="4A170A82" w14:textId="2BF992C6">
      <w:pPr>
        <w:pStyle w:val="ParaNum"/>
        <w:widowControl/>
        <w:rPr>
          <w:szCs w:val="22"/>
        </w:rPr>
      </w:pPr>
      <w:r>
        <w:rPr>
          <w:szCs w:val="22"/>
        </w:rPr>
        <w:t xml:space="preserve">To further minimize the potential for harmful interference, we </w:t>
      </w:r>
      <w:r w:rsidR="005A1B9D">
        <w:rPr>
          <w:szCs w:val="22"/>
        </w:rPr>
        <w:t xml:space="preserve">limit </w:t>
      </w:r>
      <w:r>
        <w:rPr>
          <w:szCs w:val="22"/>
        </w:rPr>
        <w:t>authoriz</w:t>
      </w:r>
      <w:r w:rsidR="005A1B9D">
        <w:rPr>
          <w:szCs w:val="22"/>
        </w:rPr>
        <w:t>ation of</w:t>
      </w:r>
      <w:r>
        <w:rPr>
          <w:szCs w:val="22"/>
        </w:rPr>
        <w:t xml:space="preserve"> the QPS 201 </w:t>
      </w:r>
      <w:r w:rsidR="005A1B9D">
        <w:rPr>
          <w:szCs w:val="22"/>
        </w:rPr>
        <w:t xml:space="preserve">under this waiver </w:t>
      </w:r>
      <w:r>
        <w:rPr>
          <w:szCs w:val="22"/>
        </w:rPr>
        <w:t>to indoor</w:t>
      </w:r>
      <w:r w:rsidR="005A1B9D">
        <w:rPr>
          <w:szCs w:val="22"/>
        </w:rPr>
        <w:t xml:space="preserve"> operations</w:t>
      </w:r>
      <w:r>
        <w:rPr>
          <w:szCs w:val="22"/>
        </w:rPr>
        <w:t>.</w:t>
      </w:r>
      <w:r>
        <w:rPr>
          <w:rStyle w:val="FootnoteReference"/>
          <w:szCs w:val="22"/>
        </w:rPr>
        <w:footnoteReference w:id="22"/>
      </w:r>
      <w:r>
        <w:rPr>
          <w:szCs w:val="22"/>
        </w:rPr>
        <w:t xml:space="preserve">  </w:t>
      </w:r>
      <w:r w:rsidR="008E712C">
        <w:rPr>
          <w:szCs w:val="22"/>
        </w:rPr>
        <w:t xml:space="preserve">Building entry loss (BEL) has been found to </w:t>
      </w:r>
      <w:r w:rsidR="001F2175">
        <w:rPr>
          <w:szCs w:val="22"/>
        </w:rPr>
        <w:t xml:space="preserve">be </w:t>
      </w:r>
      <w:r w:rsidR="001F2175">
        <w:rPr>
          <w:szCs w:val="22"/>
        </w:rPr>
        <w:t>significant</w:t>
      </w:r>
      <w:r w:rsidR="003A3082">
        <w:rPr>
          <w:szCs w:val="22"/>
        </w:rPr>
        <w:t>;</w:t>
      </w:r>
      <w:r>
        <w:rPr>
          <w:rStyle w:val="FootnoteReference"/>
          <w:szCs w:val="22"/>
        </w:rPr>
        <w:footnoteReference w:id="23"/>
      </w:r>
      <w:r w:rsidR="008E712C">
        <w:rPr>
          <w:szCs w:val="22"/>
        </w:rPr>
        <w:t xml:space="preserve"> </w:t>
      </w:r>
      <w:r w:rsidR="009B4F60">
        <w:rPr>
          <w:szCs w:val="22"/>
        </w:rPr>
        <w:t>th</w:t>
      </w:r>
      <w:r w:rsidR="00F90A96">
        <w:rPr>
          <w:szCs w:val="22"/>
        </w:rPr>
        <w:t>erefore,</w:t>
      </w:r>
      <w:r w:rsidR="009B4F60">
        <w:rPr>
          <w:szCs w:val="22"/>
        </w:rPr>
        <w:t xml:space="preserve"> the QPS 201 would not cause harmful interference to typical outdoor radio services such as satellite receivers, </w:t>
      </w:r>
      <w:r w:rsidR="00DE01F9">
        <w:rPr>
          <w:szCs w:val="22"/>
        </w:rPr>
        <w:t>vehicular radars, FOD radars</w:t>
      </w:r>
      <w:r w:rsidR="00AA62E7">
        <w:rPr>
          <w:szCs w:val="22"/>
        </w:rPr>
        <w:t xml:space="preserve">, </w:t>
      </w:r>
      <w:r w:rsidR="001F5588">
        <w:rPr>
          <w:szCs w:val="22"/>
        </w:rPr>
        <w:t xml:space="preserve">radionavigation, </w:t>
      </w:r>
      <w:r w:rsidR="00AA62E7">
        <w:rPr>
          <w:szCs w:val="22"/>
        </w:rPr>
        <w:t>space research</w:t>
      </w:r>
      <w:r w:rsidR="00DE01F9">
        <w:rPr>
          <w:szCs w:val="22"/>
        </w:rPr>
        <w:t xml:space="preserve"> and radio astronomy. </w:t>
      </w:r>
      <w:r w:rsidR="008E712C">
        <w:rPr>
          <w:szCs w:val="22"/>
        </w:rPr>
        <w:t xml:space="preserve"> </w:t>
      </w:r>
      <w:r w:rsidR="00DE01F9">
        <w:rPr>
          <w:szCs w:val="22"/>
        </w:rPr>
        <w:t xml:space="preserve">Thus, for these services, </w:t>
      </w:r>
      <w:r w:rsidR="00EA179D">
        <w:rPr>
          <w:szCs w:val="22"/>
        </w:rPr>
        <w:t>with our indoor-only restriction</w:t>
      </w:r>
      <w:r w:rsidR="006C079D">
        <w:rPr>
          <w:szCs w:val="22"/>
        </w:rPr>
        <w:t xml:space="preserve"> on the QPS 201</w:t>
      </w:r>
      <w:r w:rsidR="00F90A96">
        <w:rPr>
          <w:szCs w:val="22"/>
        </w:rPr>
        <w:t xml:space="preserve"> operation</w:t>
      </w:r>
      <w:r w:rsidR="00EA179D">
        <w:rPr>
          <w:szCs w:val="22"/>
        </w:rPr>
        <w:t xml:space="preserve">, the likelihood of harmful interference </w:t>
      </w:r>
      <w:r w:rsidR="00AA62E7">
        <w:rPr>
          <w:szCs w:val="22"/>
        </w:rPr>
        <w:t>caused by the QPS 201</w:t>
      </w:r>
      <w:r w:rsidR="00EA179D">
        <w:rPr>
          <w:szCs w:val="22"/>
        </w:rPr>
        <w:t xml:space="preserve"> would be </w:t>
      </w:r>
      <w:r w:rsidR="001074AD">
        <w:rPr>
          <w:szCs w:val="22"/>
        </w:rPr>
        <w:t>greatly diminished</w:t>
      </w:r>
      <w:r w:rsidR="00EA179D">
        <w:rPr>
          <w:szCs w:val="22"/>
        </w:rPr>
        <w:t xml:space="preserve">.  </w:t>
      </w:r>
      <w:r w:rsidR="006104A8">
        <w:rPr>
          <w:szCs w:val="22"/>
        </w:rPr>
        <w:t>This indoor-only restriction will also address CORF’s concerns regarding potential harmful interference to radio astronomy facilities, which are primary users in the 76</w:t>
      </w:r>
      <w:r w:rsidR="006104A8">
        <w:rPr>
          <w:szCs w:val="22"/>
        </w:rPr>
        <w:noBreakHyphen/>
        <w:t>81 GHz band.</w:t>
      </w:r>
      <w:r>
        <w:rPr>
          <w:rStyle w:val="FootnoteReference"/>
          <w:szCs w:val="22"/>
        </w:rPr>
        <w:footnoteReference w:id="24"/>
      </w:r>
      <w:r w:rsidR="006104A8">
        <w:rPr>
          <w:szCs w:val="22"/>
        </w:rPr>
        <w:t xml:space="preserve">  While we recognize that the relatively low power of the QPS 201 and the directional antennas employed by receivers in the band make such interference unlikely, we take this cautious approach because of the lack of analysis submitted on the record regarding the potential of outdoor QPS 201 operations to cause harmful interference to other radio services.  Moreover, w</w:t>
      </w:r>
      <w:r w:rsidRPr="006F43E2" w:rsidR="006104A8">
        <w:rPr>
          <w:szCs w:val="22"/>
        </w:rPr>
        <w:t xml:space="preserve">e are limiting the allowable </w:t>
      </w:r>
      <w:r w:rsidR="006104A8">
        <w:rPr>
          <w:szCs w:val="22"/>
        </w:rPr>
        <w:t>field strength levels</w:t>
      </w:r>
      <w:r w:rsidRPr="006F43E2" w:rsidR="006104A8">
        <w:rPr>
          <w:szCs w:val="22"/>
        </w:rPr>
        <w:t xml:space="preserve"> </w:t>
      </w:r>
      <w:r w:rsidR="006104A8">
        <w:rPr>
          <w:szCs w:val="22"/>
        </w:rPr>
        <w:t xml:space="preserve">of the QPS 201 </w:t>
      </w:r>
      <w:r w:rsidRPr="006F43E2" w:rsidR="006104A8">
        <w:rPr>
          <w:szCs w:val="22"/>
        </w:rPr>
        <w:t xml:space="preserve">to no more than </w:t>
      </w:r>
      <w:r w:rsidR="006104A8">
        <w:rPr>
          <w:szCs w:val="22"/>
        </w:rPr>
        <w:t>36</w:t>
      </w:r>
      <w:r w:rsidRPr="006F43E2" w:rsidR="006104A8">
        <w:rPr>
          <w:szCs w:val="22"/>
        </w:rPr>
        <w:t xml:space="preserve"> dB above the limit in </w:t>
      </w:r>
      <w:r w:rsidR="006104A8">
        <w:rPr>
          <w:szCs w:val="22"/>
        </w:rPr>
        <w:t>section</w:t>
      </w:r>
      <w:r w:rsidRPr="006F43E2" w:rsidR="006104A8">
        <w:rPr>
          <w:szCs w:val="22"/>
        </w:rPr>
        <w:t xml:space="preserve"> 15.</w:t>
      </w:r>
      <w:r w:rsidR="006104A8">
        <w:rPr>
          <w:szCs w:val="22"/>
        </w:rPr>
        <w:t>209(a)</w:t>
      </w:r>
      <w:r w:rsidRPr="006F43E2" w:rsidR="006104A8">
        <w:rPr>
          <w:szCs w:val="22"/>
        </w:rPr>
        <w:t>.</w:t>
      </w:r>
      <w:r>
        <w:rPr>
          <w:rStyle w:val="FootnoteReference"/>
          <w:sz w:val="22"/>
          <w:szCs w:val="22"/>
        </w:rPr>
        <w:footnoteReference w:id="25"/>
      </w:r>
      <w:r w:rsidR="006104A8">
        <w:rPr>
          <w:szCs w:val="22"/>
        </w:rPr>
        <w:t xml:space="preserve">  Based on the above</w:t>
      </w:r>
      <w:r w:rsidR="0064252B">
        <w:rPr>
          <w:szCs w:val="22"/>
        </w:rPr>
        <w:t xml:space="preserve">, we conclude </w:t>
      </w:r>
      <w:r w:rsidR="006104A8">
        <w:rPr>
          <w:szCs w:val="22"/>
        </w:rPr>
        <w:t>t</w:t>
      </w:r>
      <w:r w:rsidR="0064252B">
        <w:rPr>
          <w:szCs w:val="22"/>
        </w:rPr>
        <w:t xml:space="preserve">hat, </w:t>
      </w:r>
      <w:r w:rsidR="003D7C1E">
        <w:rPr>
          <w:szCs w:val="22"/>
        </w:rPr>
        <w:t>a</w:t>
      </w:r>
      <w:r w:rsidR="00A46D81">
        <w:t>lthough the 70</w:t>
      </w:r>
      <w:r w:rsidR="00A46D81">
        <w:noBreakHyphen/>
        <w:t>80 GHz band is allocated to a large number of radio services,</w:t>
      </w:r>
      <w:r>
        <w:rPr>
          <w:rStyle w:val="FootnoteReference"/>
        </w:rPr>
        <w:footnoteReference w:id="26"/>
      </w:r>
      <w:r w:rsidR="00A46D81">
        <w:t xml:space="preserve"> </w:t>
      </w:r>
      <w:r w:rsidR="00BB56A3">
        <w:t>due to</w:t>
      </w:r>
      <w:r w:rsidR="00A46D81">
        <w:t xml:space="preserve"> the extremely high propagation losses of signals in this band</w:t>
      </w:r>
      <w:r w:rsidR="00BB56A3">
        <w:t>;</w:t>
      </w:r>
      <w:r w:rsidR="00A46D81">
        <w:t xml:space="preserve"> the directional antennas used </w:t>
      </w:r>
      <w:r w:rsidR="00F87F38">
        <w:t xml:space="preserve">both </w:t>
      </w:r>
      <w:r w:rsidR="00A46D81">
        <w:t>by the QPS 201</w:t>
      </w:r>
      <w:r w:rsidR="00E72E3F">
        <w:t xml:space="preserve"> and the other </w:t>
      </w:r>
      <w:r w:rsidR="00F87F38">
        <w:t xml:space="preserve">radio </w:t>
      </w:r>
      <w:r w:rsidR="00E72E3F">
        <w:t>services in this spectrum</w:t>
      </w:r>
      <w:r w:rsidR="00BB56A3">
        <w:t>;</w:t>
      </w:r>
      <w:r w:rsidR="00A46D81">
        <w:t xml:space="preserve"> </w:t>
      </w:r>
      <w:r w:rsidR="00387B6F">
        <w:t xml:space="preserve">and the limitation </w:t>
      </w:r>
      <w:r w:rsidR="00583497">
        <w:t>t</w:t>
      </w:r>
      <w:r w:rsidR="00387B6F">
        <w:t xml:space="preserve">o indoor-only operation, </w:t>
      </w:r>
      <w:r w:rsidR="00A46D81">
        <w:t xml:space="preserve">there is very little likelihood that </w:t>
      </w:r>
      <w:r w:rsidR="00F87F38">
        <w:t xml:space="preserve">the QPS 201 will cause </w:t>
      </w:r>
      <w:r w:rsidR="00A46D81">
        <w:t xml:space="preserve">harmful interference </w:t>
      </w:r>
      <w:r w:rsidR="00F87F38">
        <w:t xml:space="preserve">to other </w:t>
      </w:r>
      <w:r w:rsidR="0071797A">
        <w:t xml:space="preserve">authorized </w:t>
      </w:r>
      <w:r w:rsidR="00A46D81">
        <w:t>services</w:t>
      </w:r>
      <w:bookmarkStart w:id="9" w:name="_Hlk41899431"/>
      <w:r w:rsidR="00A46D81">
        <w:t xml:space="preserve">. </w:t>
      </w:r>
      <w:r w:rsidR="00A46D81">
        <w:rPr>
          <w:rStyle w:val="CommentReference"/>
        </w:rPr>
        <w:t xml:space="preserve"> </w:t>
      </w:r>
      <w:bookmarkStart w:id="10" w:name="_Hlk41899359"/>
      <w:r w:rsidR="009E2B15">
        <w:rPr>
          <w:rStyle w:val="FootnoteReference"/>
        </w:rPr>
        <w:t xml:space="preserve"> </w:t>
      </w:r>
      <w:r w:rsidR="00095C4E">
        <w:t xml:space="preserve">Thus, granting this request would not undermine the purpose of the rules. </w:t>
      </w:r>
      <w:bookmarkEnd w:id="9"/>
      <w:bookmarkEnd w:id="10"/>
    </w:p>
    <w:p w:rsidR="00D13064" w:rsidP="00BA6761" w14:paraId="6745EDCC" w14:textId="50F9BD07">
      <w:pPr>
        <w:pStyle w:val="ParaNum"/>
        <w:widowControl/>
        <w:rPr>
          <w:szCs w:val="22"/>
        </w:rPr>
      </w:pPr>
      <w:r>
        <w:rPr>
          <w:szCs w:val="22"/>
        </w:rPr>
        <w:t xml:space="preserve">We further determine that </w:t>
      </w:r>
      <w:r w:rsidRPr="00B466A7">
        <w:rPr>
          <w:szCs w:val="22"/>
        </w:rPr>
        <w:t>the QPS 201 device promises to deliver strong public interest benefits</w:t>
      </w:r>
      <w:r>
        <w:rPr>
          <w:szCs w:val="22"/>
        </w:rPr>
        <w:t>, because it</w:t>
      </w:r>
      <w:r w:rsidRPr="00B466A7">
        <w:rPr>
          <w:szCs w:val="22"/>
        </w:rPr>
        <w:t xml:space="preserve"> is designed to enable the rapid identification of concealed dangerous objects in places with high public foot traffic where there is a strong interest in enhancing security and promoting </w:t>
      </w:r>
      <w:r w:rsidR="00AB01C5">
        <w:rPr>
          <w:szCs w:val="22"/>
        </w:rPr>
        <w:t xml:space="preserve">the </w:t>
      </w:r>
      <w:r w:rsidRPr="00B466A7">
        <w:rPr>
          <w:szCs w:val="22"/>
        </w:rPr>
        <w:t xml:space="preserve">safety of the public.  Moreover, </w:t>
      </w:r>
      <w:r>
        <w:rPr>
          <w:szCs w:val="22"/>
        </w:rPr>
        <w:t>c</w:t>
      </w:r>
      <w:r w:rsidRPr="00B466A7">
        <w:rPr>
          <w:szCs w:val="22"/>
        </w:rPr>
        <w:t>onsidering the vital importance of improving the safety of persons in public places and the potential for the QPS 201 system to provide such improvements, we find that there is a stronger public interest benefit in granting the waiver than in applying the rule.</w:t>
      </w:r>
      <w:r>
        <w:rPr>
          <w:szCs w:val="22"/>
        </w:rPr>
        <w:t xml:space="preserve">  </w:t>
      </w:r>
      <w:r w:rsidR="00DD282A">
        <w:rPr>
          <w:szCs w:val="22"/>
        </w:rPr>
        <w:t>T</w:t>
      </w:r>
      <w:r w:rsidRPr="006F43E2" w:rsidR="001E4E03">
        <w:rPr>
          <w:szCs w:val="22"/>
        </w:rPr>
        <w:t xml:space="preserve">he </w:t>
      </w:r>
      <w:r w:rsidR="0073622B">
        <w:rPr>
          <w:szCs w:val="22"/>
        </w:rPr>
        <w:t>QPS 201</w:t>
      </w:r>
      <w:r w:rsidRPr="006F43E2" w:rsidR="001E4E03">
        <w:rPr>
          <w:szCs w:val="22"/>
        </w:rPr>
        <w:t xml:space="preserve"> device is designed to be used at security checkpoints in locations with large numbers of people that could be possible targets of attack. </w:t>
      </w:r>
      <w:r w:rsidR="00040130">
        <w:rPr>
          <w:szCs w:val="22"/>
        </w:rPr>
        <w:t xml:space="preserve"> It will </w:t>
      </w:r>
      <w:r w:rsidRPr="00B466A7" w:rsidR="00040130">
        <w:rPr>
          <w:szCs w:val="22"/>
        </w:rPr>
        <w:t xml:space="preserve">enable the screening of people without requiring them to raise their hands above their head or cause them to feel claustrophobic </w:t>
      </w:r>
      <w:r w:rsidR="00040130">
        <w:rPr>
          <w:szCs w:val="22"/>
        </w:rPr>
        <w:t>because</w:t>
      </w:r>
      <w:r w:rsidRPr="00B466A7" w:rsidR="00040130">
        <w:rPr>
          <w:szCs w:val="22"/>
        </w:rPr>
        <w:t xml:space="preserve"> there is no enclosed cabin as the </w:t>
      </w:r>
      <w:r w:rsidR="00040130">
        <w:rPr>
          <w:szCs w:val="22"/>
        </w:rPr>
        <w:t>people to be scanned</w:t>
      </w:r>
      <w:r w:rsidRPr="00B466A7" w:rsidR="00040130">
        <w:rPr>
          <w:szCs w:val="22"/>
        </w:rPr>
        <w:t xml:space="preserve"> are walking through the two open panels of the device.</w:t>
      </w:r>
      <w:r>
        <w:rPr>
          <w:rStyle w:val="FootnoteReference"/>
          <w:sz w:val="22"/>
          <w:szCs w:val="22"/>
        </w:rPr>
        <w:footnoteReference w:id="27"/>
      </w:r>
      <w:r w:rsidR="00040130">
        <w:rPr>
          <w:szCs w:val="22"/>
        </w:rPr>
        <w:t xml:space="preserve"> </w:t>
      </w:r>
      <w:r w:rsidRPr="006F43E2" w:rsidR="001E4E03">
        <w:rPr>
          <w:szCs w:val="22"/>
        </w:rPr>
        <w:t xml:space="preserve"> </w:t>
      </w:r>
      <w:r w:rsidR="00DD282A">
        <w:rPr>
          <w:szCs w:val="22"/>
        </w:rPr>
        <w:t xml:space="preserve">According to </w:t>
      </w:r>
      <w:r w:rsidRPr="007D6F98" w:rsidR="00B14FE9">
        <w:rPr>
          <w:szCs w:val="22"/>
        </w:rPr>
        <w:t>Rohde &amp; Schwarz the QPS 201’s scanning time of 164 milliseconds</w:t>
      </w:r>
      <w:r w:rsidR="001074AD">
        <w:rPr>
          <w:szCs w:val="22"/>
        </w:rPr>
        <w:t>, of which 100 milliseconds is a pause in transmitting,</w:t>
      </w:r>
      <w:r w:rsidRPr="007D6F98" w:rsidR="00B14FE9">
        <w:rPr>
          <w:szCs w:val="22"/>
        </w:rPr>
        <w:t xml:space="preserve"> minimizes false alarms caused by </w:t>
      </w:r>
      <w:r w:rsidR="00AB01C5">
        <w:rPr>
          <w:szCs w:val="22"/>
        </w:rPr>
        <w:t xml:space="preserve">people’s </w:t>
      </w:r>
      <w:r w:rsidRPr="007D6F98" w:rsidR="00B14FE9">
        <w:rPr>
          <w:szCs w:val="22"/>
        </w:rPr>
        <w:t>movement.</w:t>
      </w:r>
      <w:r>
        <w:rPr>
          <w:rStyle w:val="FootnoteReference"/>
          <w:szCs w:val="22"/>
        </w:rPr>
        <w:footnoteReference w:id="28"/>
      </w:r>
      <w:r w:rsidRPr="007D6F98" w:rsidR="00B14FE9">
        <w:rPr>
          <w:szCs w:val="22"/>
        </w:rPr>
        <w:t xml:space="preserve">  Rohde &amp;</w:t>
      </w:r>
      <w:r w:rsidR="00ED397A">
        <w:rPr>
          <w:szCs w:val="22"/>
        </w:rPr>
        <w:t xml:space="preserve"> </w:t>
      </w:r>
      <w:r w:rsidRPr="007D6F98" w:rsidR="00B14FE9">
        <w:rPr>
          <w:szCs w:val="22"/>
        </w:rPr>
        <w:t xml:space="preserve">Schwarz </w:t>
      </w:r>
      <w:r w:rsidR="0090419C">
        <w:rPr>
          <w:szCs w:val="22"/>
        </w:rPr>
        <w:t xml:space="preserve">further </w:t>
      </w:r>
      <w:r w:rsidRPr="007D6F98" w:rsidR="00B14FE9">
        <w:rPr>
          <w:szCs w:val="22"/>
        </w:rPr>
        <w:t>claims that the QPS 201 will serve a valuable national security function that cannot be comparably replicated by currently available equipment.</w:t>
      </w:r>
      <w:r w:rsidR="00B14FE9">
        <w:rPr>
          <w:szCs w:val="22"/>
        </w:rPr>
        <w:t xml:space="preserve">  </w:t>
      </w:r>
      <w:r w:rsidR="00F06629">
        <w:rPr>
          <w:szCs w:val="22"/>
        </w:rPr>
        <w:t xml:space="preserve">Accordingly, </w:t>
      </w:r>
      <w:r w:rsidR="00FD6CD4">
        <w:rPr>
          <w:szCs w:val="22"/>
        </w:rPr>
        <w:t xml:space="preserve">we find that a public-interest </w:t>
      </w:r>
      <w:r w:rsidR="00CC003D">
        <w:rPr>
          <w:szCs w:val="22"/>
        </w:rPr>
        <w:t xml:space="preserve">consideration </w:t>
      </w:r>
      <w:r w:rsidR="00494D0B">
        <w:rPr>
          <w:szCs w:val="22"/>
        </w:rPr>
        <w:t>in granting th</w:t>
      </w:r>
      <w:r w:rsidR="00CC003D">
        <w:rPr>
          <w:szCs w:val="22"/>
        </w:rPr>
        <w:t xml:space="preserve">is request </w:t>
      </w:r>
      <w:r w:rsidR="00B106C0">
        <w:rPr>
          <w:szCs w:val="22"/>
        </w:rPr>
        <w:t xml:space="preserve">is </w:t>
      </w:r>
      <w:r w:rsidR="00F06629">
        <w:rPr>
          <w:szCs w:val="22"/>
        </w:rPr>
        <w:t xml:space="preserve">that the QPS 201 promises to </w:t>
      </w:r>
      <w:r w:rsidR="00354C70">
        <w:rPr>
          <w:szCs w:val="22"/>
        </w:rPr>
        <w:t>bring</w:t>
      </w:r>
      <w:r w:rsidR="00F06629">
        <w:rPr>
          <w:szCs w:val="22"/>
        </w:rPr>
        <w:t xml:space="preserve"> </w:t>
      </w:r>
      <w:r w:rsidR="00354C70">
        <w:rPr>
          <w:szCs w:val="22"/>
        </w:rPr>
        <w:t>substantial</w:t>
      </w:r>
      <w:r w:rsidR="00F06629">
        <w:rPr>
          <w:szCs w:val="22"/>
        </w:rPr>
        <w:t xml:space="preserve"> improvements over existing available means of security detection</w:t>
      </w:r>
      <w:r w:rsidR="00354C70">
        <w:rPr>
          <w:szCs w:val="22"/>
        </w:rPr>
        <w:t>, thereby providing significant public safety benefits</w:t>
      </w:r>
      <w:r w:rsidR="00F06629">
        <w:rPr>
          <w:szCs w:val="22"/>
        </w:rPr>
        <w:t>.</w:t>
      </w:r>
    </w:p>
    <w:p w:rsidR="004D1AD7" w:rsidRPr="00405597" w:rsidP="00BA6761" w14:paraId="55191BFF" w14:textId="124F2152">
      <w:pPr>
        <w:pStyle w:val="ParaNum"/>
        <w:widowControl/>
        <w:rPr>
          <w:szCs w:val="22"/>
        </w:rPr>
      </w:pPr>
      <w:r>
        <w:rPr>
          <w:szCs w:val="22"/>
        </w:rPr>
        <w:t>Based on the above, w</w:t>
      </w:r>
      <w:r w:rsidR="004F6D1A">
        <w:rPr>
          <w:szCs w:val="22"/>
        </w:rPr>
        <w:t xml:space="preserve">e </w:t>
      </w:r>
      <w:r w:rsidR="00F06629">
        <w:rPr>
          <w:szCs w:val="22"/>
        </w:rPr>
        <w:t>determine</w:t>
      </w:r>
      <w:r w:rsidR="004F6D1A">
        <w:rPr>
          <w:szCs w:val="22"/>
        </w:rPr>
        <w:t xml:space="preserve"> that, g</w:t>
      </w:r>
      <w:r w:rsidRPr="00D13064" w:rsidR="001E4E03">
        <w:rPr>
          <w:szCs w:val="22"/>
        </w:rPr>
        <w:t xml:space="preserve">iven the </w:t>
      </w:r>
      <w:r w:rsidR="007346C8">
        <w:rPr>
          <w:szCs w:val="22"/>
        </w:rPr>
        <w:t>minimal</w:t>
      </w:r>
      <w:r w:rsidRPr="00D13064" w:rsidR="000E4683">
        <w:rPr>
          <w:szCs w:val="22"/>
        </w:rPr>
        <w:t xml:space="preserve"> likelihood of harmful interference to authorized radio services</w:t>
      </w:r>
      <w:r w:rsidRPr="00D13064" w:rsidR="0019329E">
        <w:rPr>
          <w:szCs w:val="22"/>
        </w:rPr>
        <w:t xml:space="preserve">, </w:t>
      </w:r>
      <w:r w:rsidR="00CC35C6">
        <w:rPr>
          <w:szCs w:val="22"/>
        </w:rPr>
        <w:t xml:space="preserve">and the </w:t>
      </w:r>
      <w:r w:rsidRPr="00D13064" w:rsidR="00CC35C6">
        <w:rPr>
          <w:szCs w:val="22"/>
        </w:rPr>
        <w:t xml:space="preserve">strong public interest benefits associated with promoting </w:t>
      </w:r>
      <w:r w:rsidRPr="00D13064" w:rsidR="00CC35C6">
        <w:rPr>
          <w:szCs w:val="22"/>
        </w:rPr>
        <w:t>improved security</w:t>
      </w:r>
      <w:r w:rsidR="00646919">
        <w:rPr>
          <w:szCs w:val="22"/>
        </w:rPr>
        <w:t>,</w:t>
      </w:r>
      <w:r w:rsidRPr="00D13064" w:rsidR="00CC35C6">
        <w:rPr>
          <w:szCs w:val="22"/>
        </w:rPr>
        <w:t xml:space="preserve"> </w:t>
      </w:r>
      <w:r w:rsidRPr="00D13064" w:rsidR="00FB37C4">
        <w:rPr>
          <w:szCs w:val="22"/>
        </w:rPr>
        <w:t xml:space="preserve">the public safety benefits outweigh </w:t>
      </w:r>
      <w:r w:rsidRPr="00D13064" w:rsidR="0019329E">
        <w:rPr>
          <w:szCs w:val="22"/>
        </w:rPr>
        <w:t>th</w:t>
      </w:r>
      <w:r w:rsidRPr="00D13064" w:rsidR="000E4683">
        <w:rPr>
          <w:szCs w:val="22"/>
        </w:rPr>
        <w:t>e</w:t>
      </w:r>
      <w:r w:rsidRPr="00D13064" w:rsidR="0019329E">
        <w:rPr>
          <w:szCs w:val="22"/>
        </w:rPr>
        <w:t xml:space="preserve"> risk</w:t>
      </w:r>
      <w:r w:rsidRPr="00D13064" w:rsidR="000E4683">
        <w:rPr>
          <w:szCs w:val="22"/>
        </w:rPr>
        <w:t xml:space="preserve"> of harmful interference</w:t>
      </w:r>
      <w:r w:rsidR="00FE6151">
        <w:rPr>
          <w:szCs w:val="22"/>
        </w:rPr>
        <w:t>.  Therefore, we will approve Rohde &amp; Schwarz’s waiver request</w:t>
      </w:r>
      <w:r w:rsidRPr="00D13064" w:rsidR="00FB37C4">
        <w:rPr>
          <w:szCs w:val="22"/>
        </w:rPr>
        <w:t xml:space="preserve"> </w:t>
      </w:r>
      <w:r w:rsidRPr="00D13064" w:rsidR="000E4683">
        <w:rPr>
          <w:szCs w:val="22"/>
        </w:rPr>
        <w:t xml:space="preserve">subject to </w:t>
      </w:r>
      <w:r w:rsidR="00FE6151">
        <w:rPr>
          <w:szCs w:val="22"/>
        </w:rPr>
        <w:t xml:space="preserve">the </w:t>
      </w:r>
      <w:r w:rsidRPr="00D13064" w:rsidR="000E4683">
        <w:rPr>
          <w:szCs w:val="22"/>
        </w:rPr>
        <w:t xml:space="preserve">conditions </w:t>
      </w:r>
      <w:r w:rsidR="004F6D1A">
        <w:rPr>
          <w:szCs w:val="22"/>
        </w:rPr>
        <w:t>we elaborate below</w:t>
      </w:r>
      <w:r w:rsidRPr="00D13064" w:rsidR="000E4683">
        <w:rPr>
          <w:szCs w:val="22"/>
        </w:rPr>
        <w:t>.</w:t>
      </w:r>
    </w:p>
    <w:p w:rsidR="00AE5B5C" w:rsidP="00BA6761" w14:paraId="3FF4F0AA" w14:textId="4C92B464">
      <w:pPr>
        <w:pStyle w:val="ParaNum"/>
        <w:widowControl/>
        <w:rPr>
          <w:szCs w:val="22"/>
        </w:rPr>
      </w:pPr>
      <w:r>
        <w:t>Although we expect little to no harmful interference to other radio services</w:t>
      </w:r>
      <w:r w:rsidR="00755440">
        <w:t xml:space="preserve"> while operating in indoors</w:t>
      </w:r>
      <w:r>
        <w:t xml:space="preserve">, </w:t>
      </w:r>
      <w:r w:rsidR="004670E7">
        <w:t xml:space="preserve">in an abundance of caution, </w:t>
      </w:r>
      <w:r>
        <w:t xml:space="preserve">we will </w:t>
      </w:r>
      <w:r w:rsidR="004E0CE2">
        <w:t xml:space="preserve">require the QPS 201 to comply with the same </w:t>
      </w:r>
      <w:r w:rsidR="0029711D">
        <w:t xml:space="preserve">notification and record keeping </w:t>
      </w:r>
      <w:r w:rsidR="004E0CE2">
        <w:t xml:space="preserve">conditions that we have imposed on other security portals </w:t>
      </w:r>
      <w:r w:rsidR="007E3822">
        <w:t xml:space="preserve">previously </w:t>
      </w:r>
      <w:r w:rsidR="004E0CE2">
        <w:t>authorized under waiver.</w:t>
      </w:r>
      <w:r>
        <w:rPr>
          <w:rStyle w:val="FootnoteReference"/>
        </w:rPr>
        <w:footnoteReference w:id="29"/>
      </w:r>
      <w:r w:rsidR="004E0CE2">
        <w:t xml:space="preserve"> </w:t>
      </w:r>
      <w:r>
        <w:t xml:space="preserve"> </w:t>
      </w:r>
      <w:r w:rsidRPr="006F43E2">
        <w:t xml:space="preserve">Specifically, we will require </w:t>
      </w:r>
      <w:r>
        <w:t>Rohde &amp; Schwarz</w:t>
      </w:r>
      <w:r w:rsidRPr="006F43E2">
        <w:t xml:space="preserve"> to notify the Commission of any instances of interference that it is made aware of and how the interference was remedied.  We will also require </w:t>
      </w:r>
      <w:r>
        <w:t>Rohde &amp; Schwarz</w:t>
      </w:r>
      <w:r w:rsidRPr="006F43E2">
        <w:t xml:space="preserve"> to maintain a </w:t>
      </w:r>
      <w:r w:rsidR="009D4D71">
        <w:t xml:space="preserve">record </w:t>
      </w:r>
      <w:r w:rsidRPr="006F43E2">
        <w:t xml:space="preserve">of installations of all devices </w:t>
      </w:r>
      <w:r w:rsidR="00345215">
        <w:t>sold</w:t>
      </w:r>
      <w:r w:rsidRPr="006F43E2" w:rsidR="00345215">
        <w:t xml:space="preserve"> </w:t>
      </w:r>
      <w:r w:rsidRPr="006F43E2">
        <w:t>under this waiver</w:t>
      </w:r>
      <w:r>
        <w:t xml:space="preserve">.  </w:t>
      </w:r>
      <w:r w:rsidRPr="006F43E2">
        <w:t xml:space="preserve">This information will assist </w:t>
      </w:r>
      <w:r>
        <w:t>Rohde &amp; Schwarz</w:t>
      </w:r>
      <w:r w:rsidRPr="006F43E2">
        <w:t>, the Commission and NTIA</w:t>
      </w:r>
      <w:r>
        <w:rPr>
          <w:rStyle w:val="FootnoteReference"/>
          <w:szCs w:val="22"/>
        </w:rPr>
        <w:footnoteReference w:id="30"/>
      </w:r>
      <w:r w:rsidRPr="006F43E2">
        <w:t xml:space="preserve"> should it become necessary to identify and investigate any patterns of harmful interference, should they occur.  We will further require </w:t>
      </w:r>
      <w:r>
        <w:t>Rohde &amp; Schwarz</w:t>
      </w:r>
      <w:r w:rsidRPr="006F43E2">
        <w:t xml:space="preserve"> to </w:t>
      </w:r>
      <w:r w:rsidRPr="00A270D9" w:rsidR="009D4D71">
        <w:rPr>
          <w:szCs w:val="22"/>
        </w:rPr>
        <w:t>disclose in a manner that would be conspicuous to both initial and subsequent purchasers</w:t>
      </w:r>
      <w:r w:rsidRPr="006F43E2">
        <w:t xml:space="preserve"> of </w:t>
      </w:r>
      <w:r>
        <w:t>QPS 201</w:t>
      </w:r>
      <w:r w:rsidRPr="006F43E2">
        <w:t xml:space="preserve"> </w:t>
      </w:r>
      <w:r>
        <w:t>security scanner</w:t>
      </w:r>
      <w:r w:rsidRPr="006F43E2">
        <w:t xml:space="preserve">s that they may only be operated on a non-interference basis to existing and future services with frequency allocations in the </w:t>
      </w:r>
      <w:r>
        <w:t>70 to 80</w:t>
      </w:r>
      <w:r w:rsidRPr="006F43E2">
        <w:t xml:space="preserve"> GHz frequency band, and that operators will be required to mitigate any instances of harmful interference that may occur.</w:t>
      </w:r>
      <w:r>
        <w:rPr>
          <w:rStyle w:val="FootnoteReference"/>
        </w:rPr>
        <w:footnoteReference w:id="31"/>
      </w:r>
      <w:r w:rsidRPr="006F43E2">
        <w:t xml:space="preserve">  </w:t>
      </w:r>
    </w:p>
    <w:p w:rsidR="005B6E32" w:rsidRPr="006F43E2" w:rsidP="00BA6761" w14:paraId="6B7E3AE9" w14:textId="69B55410">
      <w:pPr>
        <w:pStyle w:val="ParaNum"/>
        <w:widowControl/>
        <w:rPr>
          <w:szCs w:val="22"/>
        </w:rPr>
      </w:pPr>
      <w:r w:rsidRPr="006F43E2">
        <w:rPr>
          <w:szCs w:val="22"/>
        </w:rPr>
        <w:t xml:space="preserve">Accordingly, pursuant to the delegated authority in </w:t>
      </w:r>
      <w:r w:rsidR="00C40240">
        <w:rPr>
          <w:szCs w:val="22"/>
        </w:rPr>
        <w:t>section</w:t>
      </w:r>
      <w:r w:rsidRPr="006F43E2">
        <w:rPr>
          <w:szCs w:val="22"/>
        </w:rPr>
        <w:t xml:space="preserve">s 0.31 and 0.241 of the Commission’s rules, we waive the requirements of </w:t>
      </w:r>
      <w:r w:rsidR="00C40240">
        <w:rPr>
          <w:szCs w:val="22"/>
        </w:rPr>
        <w:t>section</w:t>
      </w:r>
      <w:r w:rsidRPr="006F43E2">
        <w:rPr>
          <w:szCs w:val="22"/>
        </w:rPr>
        <w:t>s</w:t>
      </w:r>
      <w:r w:rsidRPr="006F43E2" w:rsidR="00137F90">
        <w:rPr>
          <w:szCs w:val="22"/>
        </w:rPr>
        <w:t xml:space="preserve"> </w:t>
      </w:r>
      <w:r w:rsidRPr="006F43E2" w:rsidR="00AF430B">
        <w:rPr>
          <w:szCs w:val="22"/>
        </w:rPr>
        <w:t>15.</w:t>
      </w:r>
      <w:r w:rsidR="006065B9">
        <w:rPr>
          <w:szCs w:val="22"/>
        </w:rPr>
        <w:t>205</w:t>
      </w:r>
      <w:r w:rsidRPr="006F43E2" w:rsidR="00AF430B">
        <w:rPr>
          <w:szCs w:val="22"/>
        </w:rPr>
        <w:t>(</w:t>
      </w:r>
      <w:r w:rsidR="006065B9">
        <w:rPr>
          <w:szCs w:val="22"/>
        </w:rPr>
        <w:t>a</w:t>
      </w:r>
      <w:r w:rsidRPr="006F43E2" w:rsidR="00AF430B">
        <w:rPr>
          <w:szCs w:val="22"/>
        </w:rPr>
        <w:t xml:space="preserve">) and </w:t>
      </w:r>
      <w:r w:rsidRPr="006F43E2">
        <w:rPr>
          <w:szCs w:val="22"/>
        </w:rPr>
        <w:t>15.</w:t>
      </w:r>
      <w:r w:rsidR="006065B9">
        <w:rPr>
          <w:szCs w:val="22"/>
        </w:rPr>
        <w:t>2</w:t>
      </w:r>
      <w:r w:rsidR="00415A04">
        <w:rPr>
          <w:szCs w:val="22"/>
        </w:rPr>
        <w:t>09</w:t>
      </w:r>
      <w:r w:rsidRPr="006F43E2">
        <w:rPr>
          <w:szCs w:val="22"/>
        </w:rPr>
        <w:t>(</w:t>
      </w:r>
      <w:r w:rsidR="00415A04">
        <w:rPr>
          <w:szCs w:val="22"/>
        </w:rPr>
        <w:t>a</w:t>
      </w:r>
      <w:r w:rsidRPr="006F43E2">
        <w:rPr>
          <w:szCs w:val="22"/>
        </w:rPr>
        <w:t xml:space="preserve">) of our rules to permit the certification and marketing of the </w:t>
      </w:r>
      <w:r w:rsidR="0073622B">
        <w:rPr>
          <w:szCs w:val="22"/>
        </w:rPr>
        <w:t>QPS 201</w:t>
      </w:r>
      <w:r w:rsidRPr="006F43E2">
        <w:rPr>
          <w:szCs w:val="22"/>
        </w:rPr>
        <w:t xml:space="preserve"> device</w:t>
      </w:r>
      <w:r w:rsidR="001E7066">
        <w:rPr>
          <w:szCs w:val="22"/>
        </w:rPr>
        <w:t xml:space="preserve"> for indoor operation</w:t>
      </w:r>
      <w:r w:rsidRPr="006F43E2">
        <w:rPr>
          <w:szCs w:val="22"/>
        </w:rPr>
        <w:t>.  This waiver is subject to the following conditions:</w:t>
      </w:r>
    </w:p>
    <w:p w:rsidR="005B6E32" w:rsidP="00BA6761" w14:paraId="64A6DF40" w14:textId="540765CE">
      <w:pPr>
        <w:pStyle w:val="ParaNum"/>
        <w:widowControl/>
        <w:numPr>
          <w:ilvl w:val="0"/>
          <w:numId w:val="9"/>
        </w:numPr>
        <w:rPr>
          <w:szCs w:val="22"/>
        </w:rPr>
      </w:pPr>
      <w:r w:rsidRPr="006F43E2">
        <w:rPr>
          <w:szCs w:val="22"/>
        </w:rPr>
        <w:t xml:space="preserve">The </w:t>
      </w:r>
      <w:r w:rsidR="0073622B">
        <w:rPr>
          <w:szCs w:val="22"/>
        </w:rPr>
        <w:t>QPS 201</w:t>
      </w:r>
      <w:r w:rsidRPr="006F43E2">
        <w:rPr>
          <w:szCs w:val="22"/>
        </w:rPr>
        <w:t xml:space="preserve"> </w:t>
      </w:r>
      <w:r w:rsidR="00AC2BD8">
        <w:rPr>
          <w:szCs w:val="22"/>
        </w:rPr>
        <w:t>security scanner</w:t>
      </w:r>
      <w:r w:rsidRPr="006F43E2">
        <w:rPr>
          <w:szCs w:val="22"/>
        </w:rPr>
        <w:t xml:space="preserve"> shall be certified </w:t>
      </w:r>
      <w:r w:rsidR="00D2410E">
        <w:rPr>
          <w:szCs w:val="22"/>
        </w:rPr>
        <w:t xml:space="preserve">according to </w:t>
      </w:r>
      <w:r w:rsidR="00FC2140">
        <w:rPr>
          <w:szCs w:val="22"/>
        </w:rPr>
        <w:t xml:space="preserve">the </w:t>
      </w:r>
      <w:r w:rsidR="00D2410E">
        <w:rPr>
          <w:szCs w:val="22"/>
        </w:rPr>
        <w:t>Commission’s rules</w:t>
      </w:r>
      <w:r w:rsidRPr="006F43E2">
        <w:rPr>
          <w:szCs w:val="22"/>
        </w:rPr>
        <w:t xml:space="preserve"> and must comply with the technical specifications applicable to operation under Part 15 of 47 CFR</w:t>
      </w:r>
      <w:r w:rsidRPr="006F43E2" w:rsidR="00F05DE9">
        <w:rPr>
          <w:szCs w:val="22"/>
        </w:rPr>
        <w:t>, except as permitted below</w:t>
      </w:r>
      <w:r w:rsidRPr="006F43E2">
        <w:rPr>
          <w:szCs w:val="22"/>
        </w:rPr>
        <w:t xml:space="preserve">.  </w:t>
      </w:r>
      <w:r w:rsidR="00A22904">
        <w:t>The requirement in 47 CFR § 15.205(a) is waived to permit the QPS 201 to operate in the 70</w:t>
      </w:r>
      <w:r w:rsidR="00A22904">
        <w:noBreakHyphen/>
        <w:t xml:space="preserve">80 GHz restricted frequency band, and the requirement of §15.209(a) is relaxed to allow a transmitted field strength level of 31,405 µV/m as measured at 3 meters, with a reference bandwidth of 1 MHz in accordance with the requirements of 47 CFR </w:t>
      </w:r>
      <w:r w:rsidR="00006AF3">
        <w:t xml:space="preserve">§ </w:t>
      </w:r>
      <w:r w:rsidR="00A22904">
        <w:t>15.35(b).</w:t>
      </w:r>
    </w:p>
    <w:p w:rsidR="008E1508" w:rsidP="00BA6761" w14:paraId="0175312E" w14:textId="60090F9E">
      <w:pPr>
        <w:pStyle w:val="ParaNum"/>
        <w:widowControl/>
        <w:numPr>
          <w:ilvl w:val="0"/>
          <w:numId w:val="9"/>
        </w:numPr>
        <w:rPr>
          <w:szCs w:val="22"/>
        </w:rPr>
      </w:pPr>
      <w:r>
        <w:rPr>
          <w:szCs w:val="22"/>
        </w:rPr>
        <w:t>The intentional emissions generated by the QPS 201 security scanner must be completely contained within the 70 to 80 GHz frequency range.</w:t>
      </w:r>
    </w:p>
    <w:p w:rsidR="00BE1A4B" w:rsidP="00BA6761" w14:paraId="56A90FD1" w14:textId="640FB18E">
      <w:pPr>
        <w:pStyle w:val="ParaNum"/>
        <w:widowControl/>
        <w:numPr>
          <w:ilvl w:val="0"/>
          <w:numId w:val="9"/>
        </w:numPr>
        <w:rPr>
          <w:szCs w:val="22"/>
        </w:rPr>
      </w:pPr>
      <w:r>
        <w:rPr>
          <w:szCs w:val="22"/>
        </w:rPr>
        <w:t xml:space="preserve">Authorized users of the QPS 201 </w:t>
      </w:r>
      <w:r w:rsidR="00006AF3">
        <w:rPr>
          <w:szCs w:val="22"/>
        </w:rPr>
        <w:t xml:space="preserve">are </w:t>
      </w:r>
      <w:r w:rsidRPr="001F2432" w:rsidR="00006AF3">
        <w:rPr>
          <w:color w:val="000000" w:themeColor="text1"/>
          <w:szCs w:val="22"/>
        </w:rPr>
        <w:t xml:space="preserve">limited to law enforcement, fire or emergency rescue organizations or by manufacturers licensees, petroleum licensees or power licensees as defined in </w:t>
      </w:r>
      <w:r w:rsidR="00006AF3">
        <w:rPr>
          <w:color w:val="000000" w:themeColor="text1"/>
          <w:szCs w:val="22"/>
        </w:rPr>
        <w:t xml:space="preserve">47 CFR </w:t>
      </w:r>
      <w:r w:rsidRPr="001F2432" w:rsidR="00006AF3">
        <w:rPr>
          <w:color w:val="000000" w:themeColor="text1"/>
          <w:szCs w:val="22"/>
        </w:rPr>
        <w:t>§</w:t>
      </w:r>
      <w:r w:rsidR="00006AF3">
        <w:rPr>
          <w:color w:val="000000" w:themeColor="text1"/>
          <w:szCs w:val="22"/>
        </w:rPr>
        <w:t xml:space="preserve"> </w:t>
      </w:r>
      <w:r w:rsidRPr="001F2432" w:rsidR="00006AF3">
        <w:rPr>
          <w:color w:val="000000" w:themeColor="text1"/>
          <w:szCs w:val="22"/>
        </w:rPr>
        <w:t>90.7</w:t>
      </w:r>
      <w:r w:rsidR="00006AF3">
        <w:rPr>
          <w:color w:val="000000" w:themeColor="text1"/>
          <w:szCs w:val="22"/>
        </w:rPr>
        <w:t>.</w:t>
      </w:r>
    </w:p>
    <w:p w:rsidR="00DE1C4D" w:rsidP="00BA6761" w14:paraId="7AD28CEC" w14:textId="491B8A86">
      <w:pPr>
        <w:pStyle w:val="ParaNum"/>
        <w:widowControl/>
        <w:numPr>
          <w:ilvl w:val="0"/>
          <w:numId w:val="9"/>
        </w:numPr>
        <w:rPr>
          <w:szCs w:val="22"/>
        </w:rPr>
      </w:pPr>
      <w:r>
        <w:rPr>
          <w:szCs w:val="22"/>
        </w:rPr>
        <w:t>Rohde &amp; Schwarz</w:t>
      </w:r>
      <w:r w:rsidRPr="006F43E2">
        <w:rPr>
          <w:szCs w:val="22"/>
        </w:rPr>
        <w:t xml:space="preserve"> </w:t>
      </w:r>
      <w:r>
        <w:rPr>
          <w:szCs w:val="22"/>
        </w:rPr>
        <w:t xml:space="preserve">shall </w:t>
      </w:r>
      <w:r w:rsidRPr="006F43E2">
        <w:t xml:space="preserve">maintain a </w:t>
      </w:r>
      <w:r w:rsidR="009D4D71">
        <w:t>record</w:t>
      </w:r>
      <w:r w:rsidRPr="006F43E2" w:rsidR="009D4D71">
        <w:t xml:space="preserve"> </w:t>
      </w:r>
      <w:r w:rsidRPr="006F43E2">
        <w:t>of installations</w:t>
      </w:r>
      <w:r w:rsidR="00AB5DAA">
        <w:t xml:space="preserve">, including latitude and longitude, </w:t>
      </w:r>
      <w:r w:rsidRPr="006F43E2">
        <w:t xml:space="preserve">of all devices </w:t>
      </w:r>
      <w:r w:rsidR="009D4D71">
        <w:t>sold</w:t>
      </w:r>
      <w:r w:rsidRPr="006F43E2" w:rsidR="009D4D71">
        <w:t xml:space="preserve"> </w:t>
      </w:r>
      <w:r w:rsidRPr="006F43E2">
        <w:t>under this waiver</w:t>
      </w:r>
      <w:r>
        <w:t xml:space="preserve"> and shall</w:t>
      </w:r>
      <w:r w:rsidRPr="006F43E2">
        <w:rPr>
          <w:szCs w:val="22"/>
        </w:rPr>
        <w:t xml:space="preserve"> notify the Commission </w:t>
      </w:r>
      <w:r w:rsidR="00AB3EEF">
        <w:rPr>
          <w:szCs w:val="22"/>
        </w:rPr>
        <w:t xml:space="preserve">and NTIA </w:t>
      </w:r>
      <w:r w:rsidRPr="006F43E2">
        <w:rPr>
          <w:szCs w:val="22"/>
        </w:rPr>
        <w:t>of any instances of interference that it is made aware of and how the interference was remedied</w:t>
      </w:r>
      <w:r>
        <w:rPr>
          <w:szCs w:val="22"/>
        </w:rPr>
        <w:t>.</w:t>
      </w:r>
      <w:r w:rsidRPr="006F43E2">
        <w:rPr>
          <w:szCs w:val="22"/>
        </w:rPr>
        <w:t xml:space="preserve">  </w:t>
      </w:r>
    </w:p>
    <w:p w:rsidR="00663B59" w:rsidRPr="006F43E2" w:rsidP="00BA6761" w14:paraId="478ADD81" w14:textId="0F897394">
      <w:pPr>
        <w:pStyle w:val="ParaNum"/>
        <w:widowControl/>
        <w:numPr>
          <w:ilvl w:val="0"/>
          <w:numId w:val="9"/>
        </w:numPr>
        <w:rPr>
          <w:szCs w:val="22"/>
        </w:rPr>
      </w:pPr>
      <w:r>
        <w:t>All installations of the QPS 201 operated under this waiver shall be restricted to supervised indoor use.</w:t>
      </w:r>
    </w:p>
    <w:p w:rsidR="00DE1C4D" w:rsidRPr="006F43E2" w:rsidP="00BA6761" w14:paraId="7A75416D" w14:textId="5C5779A5">
      <w:pPr>
        <w:pStyle w:val="ParaNum"/>
        <w:widowControl/>
        <w:numPr>
          <w:ilvl w:val="0"/>
          <w:numId w:val="9"/>
        </w:numPr>
        <w:rPr>
          <w:szCs w:val="22"/>
        </w:rPr>
      </w:pPr>
      <w:r>
        <w:rPr>
          <w:szCs w:val="22"/>
        </w:rPr>
        <w:t>Rohde &amp; Schwarz</w:t>
      </w:r>
      <w:r w:rsidRPr="006F43E2">
        <w:rPr>
          <w:szCs w:val="22"/>
        </w:rPr>
        <w:t xml:space="preserve"> shall </w:t>
      </w:r>
      <w:r w:rsidRPr="00A270D9" w:rsidR="009D4D71">
        <w:rPr>
          <w:szCs w:val="22"/>
        </w:rPr>
        <w:t>disclose in a manner that would be conspicuous to both initial and subsequent purchasers</w:t>
      </w:r>
      <w:r w:rsidRPr="006F43E2">
        <w:rPr>
          <w:szCs w:val="22"/>
        </w:rPr>
        <w:t xml:space="preserve"> of </w:t>
      </w:r>
      <w:r>
        <w:rPr>
          <w:szCs w:val="22"/>
        </w:rPr>
        <w:t>QPS 201</w:t>
      </w:r>
      <w:r w:rsidRPr="006F43E2">
        <w:rPr>
          <w:szCs w:val="22"/>
        </w:rPr>
        <w:t xml:space="preserve"> </w:t>
      </w:r>
      <w:r>
        <w:rPr>
          <w:szCs w:val="22"/>
        </w:rPr>
        <w:t>security scanner</w:t>
      </w:r>
      <w:r w:rsidRPr="006F43E2">
        <w:rPr>
          <w:szCs w:val="22"/>
        </w:rPr>
        <w:t xml:space="preserve">s that these devices may only be operated on a non-interference basis to existing and future authorized services in the </w:t>
      </w:r>
      <w:r>
        <w:rPr>
          <w:szCs w:val="22"/>
        </w:rPr>
        <w:t>70</w:t>
      </w:r>
      <w:r>
        <w:rPr>
          <w:szCs w:val="22"/>
        </w:rPr>
        <w:noBreakHyphen/>
        <w:t>80 </w:t>
      </w:r>
      <w:r w:rsidRPr="006F43E2">
        <w:rPr>
          <w:szCs w:val="22"/>
        </w:rPr>
        <w:t xml:space="preserve">GHz frequency </w:t>
      </w:r>
      <w:r w:rsidRPr="006F43E2">
        <w:rPr>
          <w:szCs w:val="22"/>
        </w:rPr>
        <w:t>bands, and operators of these devices will be required to mitigate any instances of harmful interference that may occur.</w:t>
      </w:r>
    </w:p>
    <w:p w:rsidR="009A5061" w:rsidRPr="00DE1C4D" w:rsidP="00BA6761" w14:paraId="2EDE6B1A" w14:textId="0652DEC3">
      <w:pPr>
        <w:pStyle w:val="ParaNum"/>
        <w:widowControl/>
        <w:numPr>
          <w:ilvl w:val="0"/>
          <w:numId w:val="9"/>
        </w:numPr>
        <w:rPr>
          <w:szCs w:val="22"/>
        </w:rPr>
      </w:pPr>
      <w:r>
        <w:t>Rohde &amp; Schwarz shall include a copy of this waiver order with its application for certification o</w:t>
      </w:r>
      <w:r w:rsidR="0074029F">
        <w:t>f</w:t>
      </w:r>
      <w:r>
        <w:t xml:space="preserve"> the QPS 201 security scanner.</w:t>
      </w:r>
    </w:p>
    <w:p w:rsidR="001E678C" w:rsidRPr="00660F7C" w:rsidP="00BA6761" w14:paraId="091832F1" w14:textId="3EF7C497">
      <w:pPr>
        <w:pStyle w:val="ParaNum"/>
        <w:widowControl/>
        <w:numPr>
          <w:ilvl w:val="0"/>
          <w:numId w:val="9"/>
        </w:numPr>
        <w:rPr>
          <w:szCs w:val="22"/>
        </w:rPr>
      </w:pPr>
      <w:r w:rsidRPr="0090419C">
        <w:rPr>
          <w:snapToGrid/>
          <w:szCs w:val="22"/>
        </w:rPr>
        <w:t xml:space="preserve">This waiver shall apply to the </w:t>
      </w:r>
      <w:r w:rsidRPr="0090419C" w:rsidR="0073622B">
        <w:rPr>
          <w:snapToGrid/>
          <w:szCs w:val="22"/>
        </w:rPr>
        <w:t>QPS 201</w:t>
      </w:r>
      <w:r w:rsidRPr="0090419C">
        <w:rPr>
          <w:snapToGrid/>
          <w:szCs w:val="22"/>
        </w:rPr>
        <w:t xml:space="preserve"> </w:t>
      </w:r>
      <w:r w:rsidRPr="0090419C" w:rsidR="00AC2BD8">
        <w:rPr>
          <w:snapToGrid/>
          <w:szCs w:val="22"/>
        </w:rPr>
        <w:t>security scanner</w:t>
      </w:r>
      <w:r w:rsidRPr="0090419C">
        <w:rPr>
          <w:snapToGrid/>
          <w:szCs w:val="22"/>
        </w:rPr>
        <w:t xml:space="preserve"> produced by </w:t>
      </w:r>
      <w:r w:rsidRPr="0090419C" w:rsidR="000D6575">
        <w:rPr>
          <w:szCs w:val="22"/>
        </w:rPr>
        <w:t>Rohde &amp; Schwarz</w:t>
      </w:r>
      <w:r w:rsidRPr="0090419C" w:rsidR="002B78FC">
        <w:rPr>
          <w:szCs w:val="22"/>
        </w:rPr>
        <w:t xml:space="preserve"> </w:t>
      </w:r>
      <w:r w:rsidRPr="0090419C">
        <w:rPr>
          <w:snapToGrid/>
          <w:szCs w:val="22"/>
        </w:rPr>
        <w:t>as described herein and provided no major changes are made to the transmitter circuitry or to the housing and position of the antenna masts that would increase the device</w:t>
      </w:r>
      <w:r w:rsidRPr="0090419C" w:rsidR="00D16AA3">
        <w:rPr>
          <w:snapToGrid/>
          <w:szCs w:val="22"/>
        </w:rPr>
        <w:t>’</w:t>
      </w:r>
      <w:r w:rsidRPr="0090419C">
        <w:rPr>
          <w:snapToGrid/>
          <w:szCs w:val="22"/>
        </w:rPr>
        <w:t xml:space="preserve">s </w:t>
      </w:r>
      <w:r w:rsidRPr="0090419C" w:rsidR="00732FA2">
        <w:rPr>
          <w:snapToGrid/>
          <w:szCs w:val="22"/>
        </w:rPr>
        <w:t>emitted field strength</w:t>
      </w:r>
      <w:r w:rsidRPr="0090419C" w:rsidR="009F5037">
        <w:rPr>
          <w:snapToGrid/>
          <w:szCs w:val="22"/>
        </w:rPr>
        <w:t xml:space="preserve"> </w:t>
      </w:r>
      <w:r w:rsidRPr="0090419C">
        <w:rPr>
          <w:snapToGrid/>
          <w:szCs w:val="22"/>
        </w:rPr>
        <w:t>or bandwidth.</w:t>
      </w:r>
      <w:r w:rsidRPr="0090419C" w:rsidR="0090419C">
        <w:rPr>
          <w:snapToGrid/>
          <w:szCs w:val="22"/>
        </w:rPr>
        <w:t xml:space="preserve">  </w:t>
      </w:r>
      <w:r w:rsidRPr="0090419C">
        <w:rPr>
          <w:snapToGrid/>
          <w:color w:val="000000" w:themeColor="text1"/>
          <w:szCs w:val="22"/>
        </w:rPr>
        <w:t xml:space="preserve">This waiver and its conditions shall apply only to the </w:t>
      </w:r>
      <w:r w:rsidRPr="0090419C">
        <w:rPr>
          <w:szCs w:val="22"/>
        </w:rPr>
        <w:t xml:space="preserve">Rohde &amp; Schwarz </w:t>
      </w:r>
      <w:r w:rsidRPr="0090419C">
        <w:rPr>
          <w:snapToGrid/>
          <w:szCs w:val="22"/>
        </w:rPr>
        <w:t xml:space="preserve">QPS 201 </w:t>
      </w:r>
      <w:r w:rsidRPr="0090419C" w:rsidR="00AC2BD8">
        <w:rPr>
          <w:snapToGrid/>
          <w:szCs w:val="22"/>
        </w:rPr>
        <w:t>security scanner</w:t>
      </w:r>
      <w:r w:rsidRPr="0090419C">
        <w:rPr>
          <w:snapToGrid/>
          <w:color w:val="000000" w:themeColor="text1"/>
          <w:szCs w:val="22"/>
        </w:rPr>
        <w:t xml:space="preserve"> as described herein and </w:t>
      </w:r>
      <w:r w:rsidRPr="0090419C">
        <w:rPr>
          <w:color w:val="000000" w:themeColor="text1"/>
          <w:szCs w:val="22"/>
        </w:rPr>
        <w:t>are not to be considered to apply generally to other security portal devices.</w:t>
      </w:r>
    </w:p>
    <w:p w:rsidR="008F4AD9" w:rsidRPr="00660F7C" w:rsidP="00BA6761" w14:paraId="423DA448" w14:textId="6C842CFD">
      <w:pPr>
        <w:pStyle w:val="ListParagraph"/>
        <w:widowControl/>
        <w:numPr>
          <w:ilvl w:val="0"/>
          <w:numId w:val="9"/>
        </w:numPr>
        <w:spacing w:after="160" w:line="259" w:lineRule="auto"/>
        <w:contextualSpacing/>
        <w:rPr>
          <w:sz w:val="22"/>
          <w:szCs w:val="22"/>
        </w:rPr>
      </w:pPr>
      <w:r w:rsidRPr="00660F7C">
        <w:rPr>
          <w:sz w:val="22"/>
          <w:szCs w:val="22"/>
        </w:rPr>
        <w:t xml:space="preserve">This waiver shall apply to a total of 400 Rohde &amp; Schwarz </w:t>
      </w:r>
      <w:r w:rsidRPr="00660F7C">
        <w:rPr>
          <w:sz w:val="22"/>
          <w:szCs w:val="22"/>
        </w:rPr>
        <w:t>QPS 201 security scanner</w:t>
      </w:r>
      <w:r w:rsidRPr="00660F7C" w:rsidR="009944E9">
        <w:rPr>
          <w:sz w:val="22"/>
          <w:szCs w:val="22"/>
        </w:rPr>
        <w:t>s</w:t>
      </w:r>
      <w:r w:rsidRPr="00660F7C">
        <w:rPr>
          <w:sz w:val="22"/>
          <w:szCs w:val="22"/>
        </w:rPr>
        <w:t xml:space="preserve">. </w:t>
      </w:r>
      <w:r w:rsidR="00660F7C">
        <w:rPr>
          <w:sz w:val="22"/>
          <w:szCs w:val="22"/>
        </w:rPr>
        <w:t xml:space="preserve"> </w:t>
      </w:r>
      <w:r w:rsidRPr="00660F7C">
        <w:rPr>
          <w:sz w:val="22"/>
          <w:szCs w:val="22"/>
        </w:rPr>
        <w:t>If Rohde</w:t>
      </w:r>
      <w:bookmarkStart w:id="11" w:name="_GoBack"/>
      <w:bookmarkEnd w:id="11"/>
      <w:r w:rsidRPr="00660F7C">
        <w:rPr>
          <w:sz w:val="22"/>
          <w:szCs w:val="22"/>
        </w:rPr>
        <w:t xml:space="preserve"> &amp; Schwarz </w:t>
      </w:r>
      <w:r w:rsidRPr="00660F7C" w:rsidR="009944E9">
        <w:rPr>
          <w:sz w:val="22"/>
          <w:szCs w:val="22"/>
        </w:rPr>
        <w:t xml:space="preserve">finds its needs will exceed 400 scanners, it </w:t>
      </w:r>
      <w:r w:rsidR="00CF41C1">
        <w:rPr>
          <w:sz w:val="22"/>
          <w:szCs w:val="22"/>
        </w:rPr>
        <w:t xml:space="preserve">must </w:t>
      </w:r>
      <w:r w:rsidRPr="00660F7C" w:rsidR="009944E9">
        <w:rPr>
          <w:sz w:val="22"/>
          <w:szCs w:val="22"/>
        </w:rPr>
        <w:t xml:space="preserve">request </w:t>
      </w:r>
      <w:r w:rsidR="00CF41C1">
        <w:rPr>
          <w:sz w:val="22"/>
          <w:szCs w:val="22"/>
        </w:rPr>
        <w:t xml:space="preserve">and receive approval to </w:t>
      </w:r>
      <w:r w:rsidRPr="00660F7C" w:rsidR="009944E9">
        <w:rPr>
          <w:sz w:val="22"/>
          <w:szCs w:val="22"/>
        </w:rPr>
        <w:t>increase in the number of scanners.</w:t>
      </w:r>
    </w:p>
    <w:p w:rsidR="005B6E32" w:rsidRPr="006F43E2" w:rsidP="00BA6761" w14:paraId="13E32CD6" w14:textId="014C4B27">
      <w:pPr>
        <w:pStyle w:val="Heading1"/>
        <w:widowControl/>
        <w:spacing w:after="220"/>
        <w:jc w:val="both"/>
        <w:rPr>
          <w:rFonts w:ascii="Times New Roman" w:hAnsi="Times New Roman"/>
          <w:bCs/>
          <w:szCs w:val="22"/>
        </w:rPr>
      </w:pPr>
      <w:r w:rsidRPr="006F43E2">
        <w:rPr>
          <w:rFonts w:ascii="Times New Roman" w:hAnsi="Times New Roman"/>
          <w:bCs/>
          <w:szCs w:val="22"/>
        </w:rPr>
        <w:t xml:space="preserve">ORDERING </w:t>
      </w:r>
      <w:r w:rsidRPr="006F43E2">
        <w:rPr>
          <w:rFonts w:ascii="Times New Roman" w:hAnsi="Times New Roman"/>
          <w:szCs w:val="22"/>
        </w:rPr>
        <w:t>CLAUSE</w:t>
      </w:r>
      <w:r w:rsidRPr="006F43E2" w:rsidR="00140372">
        <w:rPr>
          <w:rFonts w:ascii="Times New Roman" w:hAnsi="Times New Roman"/>
          <w:szCs w:val="22"/>
        </w:rPr>
        <w:t>S</w:t>
      </w:r>
    </w:p>
    <w:p w:rsidR="005B6E32" w:rsidRPr="006F43E2" w:rsidP="00BA6761" w14:paraId="0D3BC052" w14:textId="6A83A539">
      <w:pPr>
        <w:pStyle w:val="ParaNum"/>
        <w:widowControl/>
        <w:rPr>
          <w:szCs w:val="22"/>
        </w:rPr>
      </w:pPr>
      <w:r w:rsidRPr="006F43E2">
        <w:rPr>
          <w:szCs w:val="22"/>
        </w:rPr>
        <w:t xml:space="preserve">Accordingly, pursuant to authority delegated in </w:t>
      </w:r>
      <w:r w:rsidR="00C40240">
        <w:rPr>
          <w:szCs w:val="22"/>
        </w:rPr>
        <w:t>section</w:t>
      </w:r>
      <w:r w:rsidRPr="006F43E2">
        <w:rPr>
          <w:szCs w:val="22"/>
        </w:rPr>
        <w:t xml:space="preserve">s 0.31 and 0.241 of the Commission's rules, 47 CFR §§ 0.31, 0.241, and </w:t>
      </w:r>
      <w:r w:rsidR="00C40240">
        <w:rPr>
          <w:szCs w:val="22"/>
        </w:rPr>
        <w:t>section</w:t>
      </w:r>
      <w:r w:rsidRPr="006F43E2">
        <w:rPr>
          <w:szCs w:val="22"/>
        </w:rPr>
        <w:t xml:space="preserve"> 1.3 of the Commission's rules, 47 CFR § 1.3, IT IS ORDERED that the Request for Waiver filed by </w:t>
      </w:r>
      <w:r w:rsidR="000D6575">
        <w:rPr>
          <w:szCs w:val="22"/>
        </w:rPr>
        <w:t>Rohde &amp; Schwarz USA, Inc.</w:t>
      </w:r>
      <w:r w:rsidRPr="006F43E2">
        <w:rPr>
          <w:szCs w:val="22"/>
        </w:rPr>
        <w:t xml:space="preserve"> IS GRANTED consistent with the terms of this Order.  This action is taken pursuant to </w:t>
      </w:r>
      <w:r w:rsidR="00C40240">
        <w:rPr>
          <w:szCs w:val="22"/>
        </w:rPr>
        <w:t>section</w:t>
      </w:r>
      <w:r w:rsidRPr="006F43E2">
        <w:rPr>
          <w:szCs w:val="22"/>
        </w:rPr>
        <w:t xml:space="preserve">s 4(i), 302, 303(e), and 303(r) of the Communications Act of 1934, as amended, 47 U.S.C. </w:t>
      </w:r>
      <w:r w:rsidR="00C40240">
        <w:rPr>
          <w:szCs w:val="22"/>
        </w:rPr>
        <w:t>section</w:t>
      </w:r>
      <w:r w:rsidRPr="006F43E2">
        <w:rPr>
          <w:szCs w:val="22"/>
        </w:rPr>
        <w:t>s 154(</w:t>
      </w:r>
      <w:r w:rsidRPr="006F43E2">
        <w:rPr>
          <w:szCs w:val="22"/>
        </w:rPr>
        <w:t>i</w:t>
      </w:r>
      <w:r w:rsidRPr="006F43E2">
        <w:rPr>
          <w:szCs w:val="22"/>
        </w:rPr>
        <w:t>), 302, 303(e), and 303(r).  This action is effective upon release of this Order.</w:t>
      </w:r>
    </w:p>
    <w:p w:rsidR="005B6E32" w:rsidRPr="006F43E2" w:rsidP="00BA6761" w14:paraId="484DD491" w14:textId="7D0C1F45">
      <w:pPr>
        <w:pStyle w:val="ParaNum"/>
        <w:widowControl/>
        <w:rPr>
          <w:szCs w:val="22"/>
        </w:rPr>
      </w:pPr>
      <w:r w:rsidRPr="006F43E2">
        <w:rPr>
          <w:szCs w:val="22"/>
        </w:rPr>
        <w:t xml:space="preserve">IT IS FURTHER ORDERED that, if no applications for review are timely filed, this proceeding SHALL BE </w:t>
      </w:r>
      <w:r w:rsidRPr="006F43E2" w:rsidR="002E40DD">
        <w:rPr>
          <w:szCs w:val="22"/>
        </w:rPr>
        <w:t>TERMINATED,</w:t>
      </w:r>
      <w:r w:rsidRPr="006F43E2">
        <w:rPr>
          <w:szCs w:val="22"/>
        </w:rPr>
        <w:t xml:space="preserve"> and the docket CLOSED.</w:t>
      </w:r>
    </w:p>
    <w:p w:rsidR="005B6E32" w:rsidRPr="006F43E2" w:rsidP="005B6E32" w14:paraId="6CE0A327" w14:textId="77777777">
      <w:pPr>
        <w:pStyle w:val="StyleParaNumLeft"/>
        <w:tabs>
          <w:tab w:val="left" w:pos="720"/>
          <w:tab w:val="clear" w:pos="1080"/>
          <w:tab w:val="clear" w:pos="1440"/>
          <w:tab w:val="clear" w:pos="1800"/>
        </w:tabs>
        <w:ind w:left="360"/>
        <w:rPr>
          <w:szCs w:val="22"/>
        </w:rPr>
      </w:pPr>
    </w:p>
    <w:p w:rsidR="005B6E32" w:rsidRPr="006F43E2" w:rsidP="005B6E32" w14:paraId="00DFFF44" w14:textId="77777777">
      <w:pPr>
        <w:pStyle w:val="StyleParaNumLeft"/>
        <w:tabs>
          <w:tab w:val="left" w:pos="720"/>
          <w:tab w:val="clear" w:pos="1080"/>
          <w:tab w:val="clear" w:pos="1440"/>
          <w:tab w:val="clear" w:pos="1800"/>
        </w:tabs>
        <w:ind w:left="360"/>
        <w:rPr>
          <w:szCs w:val="22"/>
        </w:rPr>
      </w:pPr>
    </w:p>
    <w:p w:rsidR="005B6E32" w:rsidRPr="006F43E2" w:rsidP="005B6E32" w14:paraId="2C507CFD" w14:textId="77777777">
      <w:pPr>
        <w:pStyle w:val="Style30"/>
        <w:ind w:firstLine="0"/>
        <w:rPr>
          <w:szCs w:val="22"/>
        </w:rPr>
      </w:pPr>
      <w:r w:rsidRPr="006F43E2">
        <w:rPr>
          <w:szCs w:val="22"/>
        </w:rPr>
        <w:tab/>
      </w:r>
      <w:r w:rsidRPr="006F43E2">
        <w:rPr>
          <w:szCs w:val="22"/>
        </w:rPr>
        <w:tab/>
      </w:r>
      <w:r w:rsidRPr="006F43E2">
        <w:rPr>
          <w:szCs w:val="22"/>
        </w:rPr>
        <w:tab/>
      </w:r>
      <w:r w:rsidRPr="006F43E2">
        <w:rPr>
          <w:szCs w:val="22"/>
        </w:rPr>
        <w:tab/>
      </w:r>
      <w:r w:rsidRPr="006F43E2">
        <w:rPr>
          <w:szCs w:val="22"/>
        </w:rPr>
        <w:tab/>
        <w:t>FEDERAL COMMUNICATIONS COMMISSION</w:t>
      </w:r>
    </w:p>
    <w:p w:rsidR="005B6E32" w:rsidRPr="006F43E2" w:rsidP="005B6E32" w14:paraId="26D7D2F9" w14:textId="77777777">
      <w:pPr>
        <w:pStyle w:val="Style30"/>
        <w:ind w:firstLine="0"/>
        <w:rPr>
          <w:szCs w:val="22"/>
        </w:rPr>
      </w:pPr>
    </w:p>
    <w:p w:rsidR="005B6E32" w:rsidRPr="006F43E2" w:rsidP="005B6E32" w14:paraId="40C5705D" w14:textId="77777777">
      <w:pPr>
        <w:pStyle w:val="Style30"/>
        <w:ind w:firstLine="0"/>
        <w:rPr>
          <w:szCs w:val="22"/>
        </w:rPr>
      </w:pPr>
    </w:p>
    <w:p w:rsidR="005B6E32" w:rsidRPr="006F43E2" w:rsidP="005B6E32" w14:paraId="71747011" w14:textId="474F81BA">
      <w:pPr>
        <w:rPr>
          <w:szCs w:val="22"/>
        </w:rPr>
      </w:pPr>
      <w:r w:rsidRPr="006F43E2">
        <w:rPr>
          <w:szCs w:val="22"/>
        </w:rPr>
        <w:tab/>
      </w:r>
      <w:r w:rsidRPr="006F43E2">
        <w:rPr>
          <w:szCs w:val="22"/>
        </w:rPr>
        <w:tab/>
      </w:r>
      <w:r w:rsidRPr="006F43E2">
        <w:rPr>
          <w:szCs w:val="22"/>
        </w:rPr>
        <w:tab/>
      </w:r>
      <w:r w:rsidRPr="006F43E2">
        <w:rPr>
          <w:szCs w:val="22"/>
        </w:rPr>
        <w:tab/>
      </w:r>
      <w:r w:rsidRPr="006F43E2">
        <w:rPr>
          <w:szCs w:val="22"/>
        </w:rPr>
        <w:tab/>
      </w:r>
      <w:r w:rsidR="00F75D7A">
        <w:rPr>
          <w:szCs w:val="22"/>
        </w:rPr>
        <w:t>Ron</w:t>
      </w:r>
      <w:r w:rsidR="00DE0FC3">
        <w:rPr>
          <w:szCs w:val="22"/>
        </w:rPr>
        <w:t>ald</w:t>
      </w:r>
      <w:r w:rsidR="00F75D7A">
        <w:rPr>
          <w:szCs w:val="22"/>
        </w:rPr>
        <w:t xml:space="preserve"> </w:t>
      </w:r>
      <w:r w:rsidR="00EE20E1">
        <w:rPr>
          <w:szCs w:val="22"/>
        </w:rPr>
        <w:t xml:space="preserve">T. </w:t>
      </w:r>
      <w:r w:rsidR="00F75D7A">
        <w:rPr>
          <w:szCs w:val="22"/>
        </w:rPr>
        <w:t>Repasi</w:t>
      </w:r>
      <w:r w:rsidRPr="006F43E2">
        <w:rPr>
          <w:szCs w:val="22"/>
        </w:rPr>
        <w:t xml:space="preserve"> </w:t>
      </w:r>
    </w:p>
    <w:p w:rsidR="005B6E32" w:rsidRPr="006F43E2" w:rsidP="005B6E32" w14:paraId="1AFC4140" w14:textId="26FDF036">
      <w:pPr>
        <w:ind w:left="2880" w:firstLine="720"/>
        <w:rPr>
          <w:szCs w:val="22"/>
        </w:rPr>
      </w:pPr>
      <w:r>
        <w:rPr>
          <w:szCs w:val="22"/>
        </w:rPr>
        <w:t xml:space="preserve">Acting </w:t>
      </w:r>
      <w:r w:rsidRPr="006F43E2">
        <w:rPr>
          <w:szCs w:val="22"/>
        </w:rPr>
        <w:t>Chief, Office of Engineering and Technology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9500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738C5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3466C3" w14:textId="1DA424F5">
    <w:pPr>
      <w:pStyle w:val="Footer"/>
      <w:framePr w:wrap="around" w:vAnchor="text" w:hAnchor="margin" w:xAlign="center" w:y="1"/>
    </w:pPr>
    <w:r>
      <w:fldChar w:fldCharType="begin"/>
    </w:r>
    <w:r>
      <w:instrText xml:space="preserve">PAGE  </w:instrText>
    </w:r>
    <w:r>
      <w:fldChar w:fldCharType="separate"/>
    </w:r>
    <w:r w:rsidR="00284408">
      <w:rPr>
        <w:noProof/>
      </w:rPr>
      <w:t>6</w:t>
    </w:r>
    <w:r>
      <w:fldChar w:fldCharType="end"/>
    </w:r>
  </w:p>
  <w:p w:rsidR="00D25FB5" w14:paraId="4B57213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BC1E25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79E1" w14:paraId="73D5D0F5" w14:textId="77777777">
      <w:r>
        <w:separator/>
      </w:r>
    </w:p>
  </w:footnote>
  <w:footnote w:type="continuationSeparator" w:id="1">
    <w:p w:rsidR="006E79E1" w:rsidP="00C721AC" w14:paraId="58FE222D" w14:textId="77777777">
      <w:pPr>
        <w:spacing w:before="120"/>
        <w:rPr>
          <w:sz w:val="20"/>
        </w:rPr>
      </w:pPr>
      <w:r>
        <w:continuationSeparator/>
      </w:r>
    </w:p>
  </w:footnote>
  <w:footnote w:type="continuationNotice" w:id="2">
    <w:p w:rsidR="006E79E1" w:rsidP="00C721AC" w14:paraId="35FD71C4" w14:textId="77777777">
      <w:pPr>
        <w:jc w:val="right"/>
        <w:rPr>
          <w:sz w:val="20"/>
        </w:rPr>
      </w:pPr>
    </w:p>
  </w:footnote>
  <w:footnote w:id="3">
    <w:p w:rsidR="008D479A" w14:paraId="66D1CFD0" w14:textId="4625337B">
      <w:pPr>
        <w:pStyle w:val="FootnoteText"/>
      </w:pPr>
      <w:r>
        <w:rPr>
          <w:rStyle w:val="FootnoteReference"/>
        </w:rPr>
        <w:footnoteRef/>
      </w:r>
      <w:r>
        <w:t xml:space="preserve"> Request for Waiver of sections 15.205(a) and 15.209(a) of the Commission’s Rules to Permit the Deployment of a Personnel Security Screening System Operating in the 70</w:t>
      </w:r>
      <w:r>
        <w:noBreakHyphen/>
        <w:t>80 GHz Range, ET Docket No. 19-88 (filed Sep. 10, 2019) (</w:t>
      </w:r>
      <w:r w:rsidRPr="00AB1E11">
        <w:rPr>
          <w:i/>
          <w:iCs/>
        </w:rPr>
        <w:t>Waiver Request</w:t>
      </w:r>
      <w:r>
        <w:t>).</w:t>
      </w:r>
    </w:p>
  </w:footnote>
  <w:footnote w:id="4">
    <w:p w:rsidR="006175E4" w14:paraId="5F434F25" w14:textId="7EC9F91B">
      <w:pPr>
        <w:pStyle w:val="FootnoteText"/>
      </w:pPr>
      <w:r>
        <w:rPr>
          <w:rStyle w:val="FootnoteReference"/>
        </w:rPr>
        <w:footnoteRef/>
      </w:r>
      <w:r>
        <w:t xml:space="preserve"> 47 CFR §§ 15.205(a) &amp; 15.209(a).</w:t>
      </w:r>
    </w:p>
  </w:footnote>
  <w:footnote w:id="5">
    <w:p w:rsidR="006826BA" w14:paraId="3495F764" w14:textId="448F858B">
      <w:pPr>
        <w:pStyle w:val="FootnoteText"/>
      </w:pPr>
      <w:r>
        <w:rPr>
          <w:rStyle w:val="FootnoteReference"/>
        </w:rPr>
        <w:footnoteRef/>
      </w:r>
      <w:r>
        <w:t xml:space="preserve"> </w:t>
      </w:r>
      <w:r w:rsidRPr="00EE20E1" w:rsidR="00986E3B">
        <w:rPr>
          <w:i/>
          <w:iCs/>
        </w:rPr>
        <w:t>Waiver Request</w:t>
      </w:r>
      <w:r w:rsidR="008C4460">
        <w:t xml:space="preserve"> at 2.</w:t>
      </w:r>
    </w:p>
  </w:footnote>
  <w:footnote w:id="6">
    <w:p w:rsidR="006826BA" w14:paraId="18692DCB" w14:textId="789F946E">
      <w:pPr>
        <w:pStyle w:val="FootnoteText"/>
      </w:pPr>
      <w:r>
        <w:rPr>
          <w:rStyle w:val="FootnoteReference"/>
        </w:rPr>
        <w:footnoteRef/>
      </w:r>
      <w:r>
        <w:t xml:space="preserve"> </w:t>
      </w:r>
      <w:r w:rsidRPr="00380EAA" w:rsidR="008C4460">
        <w:rPr>
          <w:i/>
          <w:iCs/>
        </w:rPr>
        <w:t>Id</w:t>
      </w:r>
      <w:r w:rsidR="008C4460">
        <w:t xml:space="preserve">. </w:t>
      </w:r>
    </w:p>
  </w:footnote>
  <w:footnote w:id="7">
    <w:p w:rsidR="006826BA" w14:paraId="021DD714" w14:textId="4B1E5B24">
      <w:pPr>
        <w:pStyle w:val="FootnoteText"/>
      </w:pPr>
      <w:r>
        <w:rPr>
          <w:rStyle w:val="FootnoteReference"/>
        </w:rPr>
        <w:footnoteRef/>
      </w:r>
      <w:r>
        <w:t xml:space="preserve"> </w:t>
      </w:r>
      <w:r w:rsidRPr="00380EAA" w:rsidR="008C4460">
        <w:rPr>
          <w:i/>
          <w:iCs/>
        </w:rPr>
        <w:t>Id</w:t>
      </w:r>
      <w:r w:rsidR="008C4460">
        <w:t xml:space="preserve">. </w:t>
      </w:r>
    </w:p>
  </w:footnote>
  <w:footnote w:id="8">
    <w:p w:rsidR="00814FE8" w14:paraId="3A06B4B2" w14:textId="641C0621">
      <w:pPr>
        <w:pStyle w:val="FootnoteText"/>
      </w:pPr>
      <w:r>
        <w:rPr>
          <w:rStyle w:val="FootnoteReference"/>
        </w:rPr>
        <w:footnoteRef/>
      </w:r>
      <w:r>
        <w:t xml:space="preserve"> Operation under Part 15 is subject to the conditions that the operator of a device must accept any interference received and must correct any harmful interference caused.  In the event a Part 15 device causes harmful interference, the operator is required to immediately correct the interference problem, even if correction requires ceasing operation of the Part 15 device causing the interference.  47 CFR § 15.5.</w:t>
      </w:r>
    </w:p>
  </w:footnote>
  <w:footnote w:id="9">
    <w:p w:rsidR="008E689A" w:rsidP="008E689A" w14:paraId="3972256D" w14:textId="77777777">
      <w:pPr>
        <w:pStyle w:val="FootnoteText"/>
      </w:pPr>
      <w:r>
        <w:rPr>
          <w:rStyle w:val="FootnoteReference"/>
        </w:rPr>
        <w:footnoteRef/>
      </w:r>
      <w:r>
        <w:t xml:space="preserve"> 47 CFR § 15.205(a).</w:t>
      </w:r>
    </w:p>
  </w:footnote>
  <w:footnote w:id="10">
    <w:p w:rsidR="008E689A" w:rsidP="008E689A" w14:paraId="6B128875" w14:textId="77777777">
      <w:pPr>
        <w:pStyle w:val="FootnoteText"/>
      </w:pPr>
      <w:r>
        <w:rPr>
          <w:rStyle w:val="FootnoteReference"/>
        </w:rPr>
        <w:footnoteRef/>
      </w:r>
      <w:r>
        <w:t xml:space="preserve"> </w:t>
      </w:r>
      <w:r>
        <w:rPr>
          <w:i/>
        </w:rPr>
        <w:t xml:space="preserve">See </w:t>
      </w:r>
      <w:r>
        <w:t>47 CFR §§ 15.255, 15.256 and 15.257.</w:t>
      </w:r>
    </w:p>
  </w:footnote>
  <w:footnote w:id="11">
    <w:p w:rsidR="008E689A" w:rsidRPr="003266EE" w:rsidP="008E689A" w14:paraId="5322E96F" w14:textId="15120196">
      <w:pPr>
        <w:pStyle w:val="FootnoteText"/>
      </w:pPr>
      <w:r w:rsidRPr="003266EE">
        <w:rPr>
          <w:rStyle w:val="FootnoteReference"/>
        </w:rPr>
        <w:footnoteRef/>
      </w:r>
      <w:r w:rsidRPr="003266EE">
        <w:t xml:space="preserve"> </w:t>
      </w:r>
      <w:r>
        <w:t>47 CFR § 15.2</w:t>
      </w:r>
      <w:r w:rsidR="00473D7B">
        <w:t>09</w:t>
      </w:r>
      <w:r>
        <w:t>(</w:t>
      </w:r>
      <w:r w:rsidR="00473D7B">
        <w:t>a</w:t>
      </w:r>
      <w:r>
        <w:t>).</w:t>
      </w:r>
    </w:p>
  </w:footnote>
  <w:footnote w:id="12">
    <w:p w:rsidR="0074651A" w14:paraId="7E4FFB7C" w14:textId="49C064B3">
      <w:pPr>
        <w:pStyle w:val="FootnoteText"/>
      </w:pPr>
      <w:r>
        <w:rPr>
          <w:rStyle w:val="FootnoteReference"/>
        </w:rPr>
        <w:footnoteRef/>
      </w:r>
      <w:r>
        <w:t xml:space="preserve"> </w:t>
      </w:r>
      <w:r w:rsidRPr="0071139C" w:rsidR="00986E3B">
        <w:rPr>
          <w:i/>
          <w:iCs/>
        </w:rPr>
        <w:t>Waiver Request</w:t>
      </w:r>
      <w:r w:rsidR="00986E3B">
        <w:t xml:space="preserve"> at 1</w:t>
      </w:r>
      <w:r w:rsidR="006F321C">
        <w:t>.</w:t>
      </w:r>
    </w:p>
  </w:footnote>
  <w:footnote w:id="13">
    <w:p w:rsidR="00AD567E" w:rsidP="009B444B" w14:paraId="045AC6D1" w14:textId="32402425">
      <w:pPr>
        <w:pStyle w:val="FootnoteText"/>
      </w:pPr>
      <w:r>
        <w:rPr>
          <w:rStyle w:val="FootnoteReference"/>
        </w:rPr>
        <w:footnoteRef/>
      </w:r>
      <w:r>
        <w:t xml:space="preserve"> </w:t>
      </w:r>
      <w:r w:rsidRPr="007D713C" w:rsidR="00A027B2">
        <w:rPr>
          <w:i/>
        </w:rPr>
        <w:t xml:space="preserve">Office </w:t>
      </w:r>
      <w:r w:rsidR="00A027B2">
        <w:rPr>
          <w:i/>
        </w:rPr>
        <w:t>of</w:t>
      </w:r>
      <w:r w:rsidRPr="007D713C" w:rsidR="00A027B2">
        <w:rPr>
          <w:i/>
        </w:rPr>
        <w:t xml:space="preserve"> Engineering </w:t>
      </w:r>
      <w:r w:rsidR="00A027B2">
        <w:rPr>
          <w:i/>
        </w:rPr>
        <w:t>a</w:t>
      </w:r>
      <w:r w:rsidRPr="007D713C" w:rsidR="00A027B2">
        <w:rPr>
          <w:i/>
        </w:rPr>
        <w:t xml:space="preserve">nd Technology Seeks Comment </w:t>
      </w:r>
      <w:r w:rsidR="00A027B2">
        <w:rPr>
          <w:i/>
        </w:rPr>
        <w:t>o</w:t>
      </w:r>
      <w:r w:rsidRPr="007D713C" w:rsidR="00A027B2">
        <w:rPr>
          <w:i/>
        </w:rPr>
        <w:t>n Rohde &amp; Schwarz U</w:t>
      </w:r>
      <w:r w:rsidR="0065767B">
        <w:rPr>
          <w:i/>
        </w:rPr>
        <w:t>SA</w:t>
      </w:r>
      <w:r w:rsidRPr="007D713C" w:rsidR="00A027B2">
        <w:rPr>
          <w:i/>
        </w:rPr>
        <w:t xml:space="preserve">, Inc. Request </w:t>
      </w:r>
      <w:r w:rsidR="00A027B2">
        <w:rPr>
          <w:i/>
        </w:rPr>
        <w:t>f</w:t>
      </w:r>
      <w:r w:rsidRPr="007D713C" w:rsidR="00A027B2">
        <w:rPr>
          <w:i/>
        </w:rPr>
        <w:t xml:space="preserve">or Waiver </w:t>
      </w:r>
      <w:r w:rsidR="00A027B2">
        <w:rPr>
          <w:i/>
        </w:rPr>
        <w:t>of</w:t>
      </w:r>
      <w:r w:rsidRPr="007D713C" w:rsidR="00A027B2">
        <w:rPr>
          <w:i/>
        </w:rPr>
        <w:t xml:space="preserve"> Part 15 </w:t>
      </w:r>
      <w:r w:rsidR="00040FD0">
        <w:rPr>
          <w:i/>
        </w:rPr>
        <w:t>General Emissions and Restricted Bands Rules</w:t>
      </w:r>
      <w:r w:rsidRPr="007D713C" w:rsidR="00A027B2">
        <w:rPr>
          <w:i/>
        </w:rPr>
        <w:t xml:space="preserve"> </w:t>
      </w:r>
      <w:r w:rsidR="00A027B2">
        <w:rPr>
          <w:i/>
        </w:rPr>
        <w:t>f</w:t>
      </w:r>
      <w:r w:rsidRPr="007D713C" w:rsidR="00A027B2">
        <w:rPr>
          <w:i/>
        </w:rPr>
        <w:t xml:space="preserve">or </w:t>
      </w:r>
      <w:r w:rsidRPr="006D6EF0" w:rsidR="00A027B2">
        <w:rPr>
          <w:i/>
        </w:rPr>
        <w:t>a 70</w:t>
      </w:r>
      <w:r w:rsidRPr="006D6EF0" w:rsidR="00A027B2">
        <w:rPr>
          <w:i/>
        </w:rPr>
        <w:noBreakHyphen/>
        <w:t>80 GHz Personnel Security Scanner System</w:t>
      </w:r>
      <w:r w:rsidRPr="006D6EF0">
        <w:t>, Publ</w:t>
      </w:r>
      <w:r w:rsidRPr="006D6EF0" w:rsidR="009B444B">
        <w:t xml:space="preserve">ic Notice, </w:t>
      </w:r>
      <w:r w:rsidRPr="006D6EF0" w:rsidR="00D66019">
        <w:t>DA 19-</w:t>
      </w:r>
      <w:r w:rsidRPr="006D6EF0" w:rsidR="0009434C">
        <w:t>1313</w:t>
      </w:r>
      <w:r w:rsidRPr="006D6EF0" w:rsidR="00D66019">
        <w:t xml:space="preserve">, </w:t>
      </w:r>
      <w:r w:rsidRPr="006D6EF0" w:rsidR="0009434C">
        <w:t>34 FCC Rcd 12475 (2019).</w:t>
      </w:r>
      <w:r w:rsidRPr="006D6EF0" w:rsidR="00B74A2F">
        <w:t xml:space="preserve">  Rohde &amp; Schwarz </w:t>
      </w:r>
      <w:r w:rsidRPr="006D6EF0" w:rsidR="00AD1F3E">
        <w:t>initially</w:t>
      </w:r>
      <w:r w:rsidRPr="006D6EF0" w:rsidR="00B74A2F">
        <w:t xml:space="preserve"> submitted a waiver request in the same proceeding on Dec</w:t>
      </w:r>
      <w:r w:rsidRPr="006D6EF0" w:rsidR="006B4828">
        <w:t>.</w:t>
      </w:r>
      <w:r w:rsidRPr="006D6EF0" w:rsidR="00B74A2F">
        <w:t xml:space="preserve"> 4</w:t>
      </w:r>
      <w:r w:rsidRPr="006D6EF0" w:rsidR="004E2ED0">
        <w:t>,</w:t>
      </w:r>
      <w:r w:rsidRPr="006D6EF0" w:rsidR="00B74A2F">
        <w:t xml:space="preserve"> 2018, asking for waiver of </w:t>
      </w:r>
      <w:r w:rsidRPr="006D6EF0" w:rsidR="00415A04">
        <w:t>s</w:t>
      </w:r>
      <w:r w:rsidRPr="006D6EF0" w:rsidR="00B74A2F">
        <w:t>ection 15.231</w:t>
      </w:r>
      <w:r w:rsidRPr="006D6EF0" w:rsidR="00FE3949">
        <w:t>(b)</w:t>
      </w:r>
      <w:r w:rsidRPr="006D6EF0" w:rsidR="006B4828">
        <w:t>, instead of waiver of section 15.209(a)</w:t>
      </w:r>
      <w:r w:rsidRPr="006D6EF0" w:rsidR="00B74A2F">
        <w:t xml:space="preserve">. </w:t>
      </w:r>
      <w:r w:rsidRPr="006D6EF0" w:rsidR="004E2ED0">
        <w:t xml:space="preserve"> Comments from CORF and Whedbee were filed in response to </w:t>
      </w:r>
      <w:r w:rsidRPr="006D6EF0" w:rsidR="009C7BF5">
        <w:t xml:space="preserve">the Public Notice for </w:t>
      </w:r>
      <w:r w:rsidRPr="006D6EF0" w:rsidR="004E2ED0">
        <w:t xml:space="preserve">this </w:t>
      </w:r>
      <w:r w:rsidRPr="006D6EF0" w:rsidR="00AD1F3E">
        <w:t>initial</w:t>
      </w:r>
      <w:r w:rsidRPr="006D6EF0" w:rsidR="00B53F1C">
        <w:t xml:space="preserve"> </w:t>
      </w:r>
      <w:r w:rsidRPr="006D6EF0" w:rsidR="004E2ED0">
        <w:t xml:space="preserve">request.  </w:t>
      </w:r>
      <w:r w:rsidRPr="006D6EF0" w:rsidR="00040FD0">
        <w:rPr>
          <w:i/>
          <w:iCs/>
        </w:rPr>
        <w:t>See</w:t>
      </w:r>
      <w:r w:rsidRPr="006D6EF0" w:rsidR="00040FD0">
        <w:t xml:space="preserve"> </w:t>
      </w:r>
      <w:r w:rsidRPr="006D6EF0" w:rsidR="00040FD0">
        <w:rPr>
          <w:i/>
        </w:rPr>
        <w:t xml:space="preserve">Office of Engineering and Technology Seeks Comment on Rohde &amp; Schwarz USA, Inc. Request for Waiver of Part 15 Periodic Operation </w:t>
      </w:r>
      <w:r w:rsidRPr="006D6EF0" w:rsidR="00040FD0">
        <w:rPr>
          <w:i/>
        </w:rPr>
        <w:t>And</w:t>
      </w:r>
      <w:r w:rsidRPr="006D6EF0" w:rsidR="00040FD0">
        <w:rPr>
          <w:i/>
        </w:rPr>
        <w:t xml:space="preserve"> Restricted Bands Rules for a 70</w:t>
      </w:r>
      <w:r w:rsidRPr="006D6EF0" w:rsidR="00040FD0">
        <w:rPr>
          <w:i/>
        </w:rPr>
        <w:noBreakHyphen/>
        <w:t>80 GHz Personnel Security Scanner System</w:t>
      </w:r>
      <w:r w:rsidRPr="006D6EF0" w:rsidR="00040FD0">
        <w:t>, Public Notice, DA 19-227, 34 FCC Rcd 1</w:t>
      </w:r>
      <w:r w:rsidRPr="006D6EF0" w:rsidR="00727EC3">
        <w:t>978</w:t>
      </w:r>
      <w:r w:rsidRPr="006D6EF0" w:rsidR="00040FD0">
        <w:t xml:space="preserve"> (2019).  </w:t>
      </w:r>
      <w:r w:rsidRPr="006D6EF0" w:rsidR="004E2ED0">
        <w:t xml:space="preserve">Rohde &amp; Schwarz </w:t>
      </w:r>
      <w:r w:rsidRPr="006D6EF0" w:rsidR="00B74A2F">
        <w:t>l</w:t>
      </w:r>
      <w:r w:rsidR="00B74A2F">
        <w:t xml:space="preserve">ater submitted the instant </w:t>
      </w:r>
      <w:r w:rsidR="00817C14">
        <w:t xml:space="preserve">amended </w:t>
      </w:r>
      <w:r w:rsidR="00B74A2F">
        <w:t xml:space="preserve">request under the same proceeding, on </w:t>
      </w:r>
      <w:r w:rsidR="004E2ED0">
        <w:t xml:space="preserve">Sep. 10, 2019.  </w:t>
      </w:r>
      <w:r w:rsidR="00B53F1C">
        <w:t>No new comments were received in response to th</w:t>
      </w:r>
      <w:r w:rsidR="00817C14">
        <w:t>e</w:t>
      </w:r>
      <w:r w:rsidR="00B53F1C">
        <w:t xml:space="preserve"> </w:t>
      </w:r>
      <w:r w:rsidR="00817C14">
        <w:t>amended</w:t>
      </w:r>
      <w:r w:rsidR="00B53F1C">
        <w:t xml:space="preserve"> request. </w:t>
      </w:r>
    </w:p>
  </w:footnote>
  <w:footnote w:id="14">
    <w:p w:rsidR="006C60DF" w14:paraId="7D2AE29C" w14:textId="0073E669">
      <w:pPr>
        <w:pStyle w:val="FootnoteText"/>
      </w:pPr>
      <w:r>
        <w:rPr>
          <w:rStyle w:val="FootnoteReference"/>
        </w:rPr>
        <w:footnoteRef/>
      </w:r>
      <w:r>
        <w:t xml:space="preserve"> CORF</w:t>
      </w:r>
      <w:r>
        <w:tab/>
        <w:t xml:space="preserve"> Comments at 4</w:t>
      </w:r>
      <w:r>
        <w:noBreakHyphen/>
        <w:t>5.</w:t>
      </w:r>
      <w:r w:rsidR="005A1B9D">
        <w:t xml:space="preserve">  Whedbee Comments at 1 (stating that “[t]he proposed good of the suggested operation outweighs any theoretical negatives.”)</w:t>
      </w:r>
    </w:p>
  </w:footnote>
  <w:footnote w:id="15">
    <w:p w:rsidR="00AD567E" w:rsidP="003272E7" w14:paraId="2989FFD7" w14:textId="2469B523">
      <w:pPr>
        <w:pStyle w:val="FootnoteText"/>
      </w:pPr>
      <w:r>
        <w:rPr>
          <w:rStyle w:val="FootnoteReference"/>
        </w:rPr>
        <w:footnoteRef/>
      </w:r>
      <w:r w:rsidR="00DD1844">
        <w:t xml:space="preserve"> </w:t>
      </w:r>
      <w:hyperlink r:id="rId1" w:tgtFrame="_top" w:history="1">
        <w:r w:rsidR="00EB01ED">
          <w:t>47 CFR § 1.3</w:t>
        </w:r>
      </w:hyperlink>
      <w:r w:rsidR="00EB01ED">
        <w:t xml:space="preserve">. </w:t>
      </w:r>
      <w:r w:rsidR="00EB01ED">
        <w:rPr>
          <w:i/>
          <w:iCs/>
        </w:rPr>
        <w:t>See also</w:t>
      </w:r>
      <w:r w:rsidR="00EB01ED">
        <w:rPr>
          <w:iCs/>
        </w:rPr>
        <w:t xml:space="preserve"> </w:t>
      </w:r>
      <w:hyperlink r:id="rId2" w:tgtFrame="_top" w:history="1">
        <w:r w:rsidR="00EB01ED">
          <w:rPr>
            <w:i/>
            <w:iCs/>
          </w:rPr>
          <w:t>ICO Global Communications (Holdings) Limited v. FCC</w:t>
        </w:r>
        <w:r w:rsidR="00EB01ED">
          <w:t>, 428 F.3d 264 (D.C. Cir. 2005)</w:t>
        </w:r>
      </w:hyperlink>
      <w:r w:rsidR="00EB01ED">
        <w:t xml:space="preserve">; </w:t>
      </w:r>
      <w:hyperlink r:id="rId3" w:tgtFrame="_top" w:history="1">
        <w:r w:rsidR="00EB01ED">
          <w:rPr>
            <w:i/>
            <w:iCs/>
          </w:rPr>
          <w:t>Northeast Cellular Telephone Co. v. FCC</w:t>
        </w:r>
        <w:r w:rsidR="00EB01ED">
          <w:t>, 897 F.2d 1164 (D.C. Cir. 1990)</w:t>
        </w:r>
      </w:hyperlink>
      <w:r w:rsidR="00EB01ED">
        <w:t xml:space="preserve">; </w:t>
      </w:r>
      <w:hyperlink r:id="rId4" w:tgtFrame="_top" w:history="1">
        <w:r w:rsidR="00EB01ED">
          <w:rPr>
            <w:i/>
            <w:iCs/>
          </w:rPr>
          <w:t>WAIT Radio v. FCC</w:t>
        </w:r>
        <w:r w:rsidR="00EB01ED">
          <w:t>, 418 F.2d 1153 (D.C. Cir. 1969)</w:t>
        </w:r>
      </w:hyperlink>
      <w:r w:rsidR="00EB01ED">
        <w:t>.</w:t>
      </w:r>
    </w:p>
  </w:footnote>
  <w:footnote w:id="16">
    <w:p w:rsidR="00AD567E" w:rsidP="003272E7" w14:paraId="2E28B2A0" w14:textId="0B8D33A1">
      <w:pPr>
        <w:pStyle w:val="FootnoteText"/>
      </w:pPr>
      <w:r>
        <w:rPr>
          <w:rStyle w:val="FootnoteReference"/>
        </w:rPr>
        <w:footnoteRef/>
      </w:r>
      <w:r w:rsidR="003272E7">
        <w:t xml:space="preserve"> </w:t>
      </w:r>
      <w:r w:rsidR="00EB01ED">
        <w:rPr>
          <w:i/>
        </w:rPr>
        <w:t>Northeast Cellular</w:t>
      </w:r>
      <w:r w:rsidR="00EB01ED">
        <w:t xml:space="preserve">, 897 F.2d at 1166; </w:t>
      </w:r>
      <w:r w:rsidR="00EB01ED">
        <w:rPr>
          <w:i/>
        </w:rPr>
        <w:t>see also</w:t>
      </w:r>
      <w:r w:rsidR="00EB01ED">
        <w:t xml:space="preserve"> </w:t>
      </w:r>
      <w:hyperlink r:id="rId5" w:tgtFrame="_top" w:history="1">
        <w:r w:rsidR="00EB01ED">
          <w:rPr>
            <w:i/>
          </w:rPr>
          <w:t>ICO Global Communications</w:t>
        </w:r>
        <w:r w:rsidR="00EB01ED">
          <w:t>, 428 F.3d at 269</w:t>
        </w:r>
      </w:hyperlink>
      <w:r w:rsidR="00EB01ED">
        <w:t xml:space="preserve"> (quoting </w:t>
      </w:r>
      <w:r w:rsidR="00EB01ED">
        <w:rPr>
          <w:i/>
        </w:rPr>
        <w:t>Northeast Cellular</w:t>
      </w:r>
      <w:r w:rsidR="00EB01ED">
        <w:t xml:space="preserve">); </w:t>
      </w:r>
      <w:hyperlink r:id="rId6" w:tgtFrame="_top" w:history="1">
        <w:r w:rsidR="00EB01ED">
          <w:rPr>
            <w:i/>
          </w:rPr>
          <w:t>WAIT Radio</w:t>
        </w:r>
        <w:r w:rsidR="00EB01ED">
          <w:t>, 418 F.2d at 1157-59</w:t>
        </w:r>
      </w:hyperlink>
      <w:r w:rsidR="00EB01ED">
        <w:t>.</w:t>
      </w:r>
    </w:p>
  </w:footnote>
  <w:footnote w:id="17">
    <w:p w:rsidR="00AD567E" w:rsidP="00AD567E" w14:paraId="6A595D98" w14:textId="2C93E535">
      <w:pPr>
        <w:pStyle w:val="FootnoteText"/>
      </w:pPr>
      <w:r>
        <w:rPr>
          <w:rStyle w:val="FootnoteReference"/>
        </w:rPr>
        <w:footnoteRef/>
      </w:r>
      <w:r w:rsidR="009303A1">
        <w:t xml:space="preserve"> </w:t>
      </w:r>
      <w:r w:rsidRPr="00865BAF">
        <w:rPr>
          <w:i/>
        </w:rPr>
        <w:t>See, e.g.</w:t>
      </w:r>
      <w:r w:rsidRPr="00865BAF">
        <w:t xml:space="preserve">, </w:t>
      </w:r>
      <w:hyperlink r:id="rId6" w:tgtFrame="_top" w:history="1">
        <w:r w:rsidRPr="00865BAF" w:rsidR="0084400F">
          <w:rPr>
            <w:i/>
          </w:rPr>
          <w:t>WAIT Radio</w:t>
        </w:r>
        <w:r w:rsidRPr="00865BAF" w:rsidR="0084400F">
          <w:t>, 418 F.2d at 1157</w:t>
        </w:r>
      </w:hyperlink>
      <w:r w:rsidRPr="00865BAF">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65BAF">
        <w:rPr>
          <w:i/>
        </w:rPr>
        <w:t>Northeast Cellular</w:t>
      </w:r>
      <w:r w:rsidRPr="00865BAF">
        <w:t>, 897 F.2d at 1166 (stating that in granting a waiver, an agency must explain why deviation from the general rule better serves the public interest than would strict adherence to the rule).</w:t>
      </w:r>
    </w:p>
  </w:footnote>
  <w:footnote w:id="18">
    <w:p w:rsidR="00387C85" w:rsidRPr="00C64F4D" w:rsidP="00387C85" w14:paraId="77AD54E0" w14:textId="36443FC2">
      <w:pPr>
        <w:pStyle w:val="FootnoteText"/>
      </w:pPr>
      <w:r>
        <w:rPr>
          <w:rStyle w:val="FootnoteReference"/>
        </w:rPr>
        <w:footnoteRef/>
      </w:r>
      <w:r>
        <w:t xml:space="preserve"> </w:t>
      </w:r>
      <w:r w:rsidRPr="003F7B09">
        <w:t>Federal Users of the 70</w:t>
      </w:r>
      <w:r w:rsidRPr="003F7B09">
        <w:noBreakHyphen/>
        <w:t xml:space="preserve">80 GHz band </w:t>
      </w:r>
      <w:r w:rsidR="005A1B9D">
        <w:t>consist of</w:t>
      </w:r>
      <w:r w:rsidRPr="003F7B09" w:rsidR="005A1B9D">
        <w:t xml:space="preserve"> </w:t>
      </w:r>
      <w:r w:rsidRPr="003F7B09">
        <w:t xml:space="preserve">Mobile, Mobile Satellite, Radionavigation, Radionavigation Satellite, Fixed, Fixed Satellite, Space Research, Radio Astronomy, and Radio Location.  Non-Federal Users in the band include Mobile, Mobile Satellite, Radionavigation, Radionavigation Satellite, Inter-Satellite, Fixed, Fixed Satellite, Space Research, Broadcasting, Broadcasting Satellite, Radio Astronomy, Radio Location, Amateur, and Amateur Satellite. </w:t>
      </w:r>
      <w:r>
        <w:t xml:space="preserve"> Vehicular radars and foreign object debris (FOD) radars also operate in the 76</w:t>
      </w:r>
      <w:r>
        <w:noBreakHyphen/>
        <w:t>81 GHz band, with FOD radars limited to airport locations only.</w:t>
      </w:r>
      <w:r w:rsidR="00894F39">
        <w:t xml:space="preserve">  </w:t>
      </w:r>
      <w:r w:rsidRPr="007161F4" w:rsidR="00C64F4D">
        <w:rPr>
          <w:i/>
          <w:iCs/>
        </w:rPr>
        <w:t>See</w:t>
      </w:r>
      <w:r w:rsidR="00C64F4D">
        <w:rPr>
          <w:i/>
          <w:iCs/>
        </w:rPr>
        <w:t xml:space="preserve"> </w:t>
      </w:r>
      <w:r w:rsidR="00C64F4D">
        <w:t>47 CFR § 2.106.</w:t>
      </w:r>
    </w:p>
  </w:footnote>
  <w:footnote w:id="19">
    <w:p w:rsidR="00C77566" w:rsidRPr="009C76D9" w:rsidP="00C77566" w14:paraId="2FFBE44F" w14:textId="34035502">
      <w:pPr>
        <w:pStyle w:val="FootnoteText"/>
      </w:pPr>
      <w:r>
        <w:rPr>
          <w:rStyle w:val="FootnoteReference"/>
        </w:rPr>
        <w:footnoteRef/>
      </w:r>
      <w:r>
        <w:t xml:space="preserve"> </w:t>
      </w:r>
      <w:r w:rsidRPr="00947F77">
        <w:rPr>
          <w:i/>
          <w:iCs/>
        </w:rPr>
        <w:t>See</w:t>
      </w:r>
      <w:r>
        <w:t xml:space="preserve"> </w:t>
      </w:r>
      <w:r>
        <w:rPr>
          <w:i/>
        </w:rPr>
        <w:t>Use of Spectrum Bands Above 24 GHz For Mobile Radio Services</w:t>
      </w:r>
      <w:r>
        <w:t>, Report and Order and Further Notice of Proposed Rulemaking, 31 FCC Rcd 8014</w:t>
      </w:r>
      <w:r w:rsidR="00DD282A">
        <w:t xml:space="preserve">, </w:t>
      </w:r>
      <w:r w:rsidR="0071139C">
        <w:t>8158</w:t>
      </w:r>
      <w:r w:rsidR="0071139C">
        <w:noBreakHyphen/>
        <w:t>8159</w:t>
      </w:r>
      <w:r w:rsidR="004302BB">
        <w:t>, para. 424</w:t>
      </w:r>
      <w:r w:rsidR="0071139C">
        <w:t xml:space="preserve"> </w:t>
      </w:r>
      <w:r>
        <w:t xml:space="preserve">(2016).  </w:t>
      </w:r>
      <w:r w:rsidR="00641112">
        <w:rPr>
          <w:i/>
          <w:iCs/>
        </w:rPr>
        <w:t>See also</w:t>
      </w:r>
      <w:r w:rsidR="00810BEC">
        <w:t xml:space="preserve"> </w:t>
      </w:r>
      <w:r w:rsidRPr="00573BD0" w:rsidR="0035648B">
        <w:rPr>
          <w:i/>
          <w:iCs/>
          <w:spacing w:val="-2"/>
        </w:rPr>
        <w:t>Modernizing and Expanding Access to the 70/80/90 GHz Bands</w:t>
      </w:r>
      <w:r w:rsidR="00C976C8">
        <w:rPr>
          <w:i/>
          <w:iCs/>
          <w:spacing w:val="-2"/>
        </w:rPr>
        <w:t xml:space="preserve">, </w:t>
      </w:r>
      <w:r w:rsidR="00554E64">
        <w:t xml:space="preserve">WT Docket No. 20-133, </w:t>
      </w:r>
      <w:r w:rsidRPr="00573BD0" w:rsidR="00C976C8">
        <w:rPr>
          <w:spacing w:val="-2"/>
        </w:rPr>
        <w:t>Notice of Proposed Rulemaking and Order,</w:t>
      </w:r>
      <w:r w:rsidR="00C976C8">
        <w:rPr>
          <w:i/>
          <w:iCs/>
          <w:spacing w:val="-2"/>
        </w:rPr>
        <w:t xml:space="preserve"> </w:t>
      </w:r>
      <w:r w:rsidRPr="00573BD0" w:rsidR="009C76D9">
        <w:rPr>
          <w:spacing w:val="-2"/>
        </w:rPr>
        <w:t>FCC</w:t>
      </w:r>
      <w:r w:rsidR="009C76D9">
        <w:rPr>
          <w:i/>
          <w:iCs/>
          <w:spacing w:val="-2"/>
        </w:rPr>
        <w:t xml:space="preserve"> </w:t>
      </w:r>
      <w:r w:rsidR="009C76D9">
        <w:rPr>
          <w:spacing w:val="-2"/>
        </w:rPr>
        <w:t>20-76</w:t>
      </w:r>
      <w:r w:rsidR="004302BB">
        <w:rPr>
          <w:spacing w:val="-2"/>
        </w:rPr>
        <w:t>,</w:t>
      </w:r>
      <w:r w:rsidR="00680031">
        <w:rPr>
          <w:spacing w:val="-2"/>
        </w:rPr>
        <w:t xml:space="preserve"> </w:t>
      </w:r>
      <w:r w:rsidR="00C12332">
        <w:t xml:space="preserve">35 FCC </w:t>
      </w:r>
      <w:r w:rsidR="00C12332">
        <w:t>Rcd</w:t>
      </w:r>
      <w:r w:rsidR="00C12332">
        <w:t xml:space="preserve"> 6039</w:t>
      </w:r>
      <w:r w:rsidR="004302BB">
        <w:t xml:space="preserve"> </w:t>
      </w:r>
      <w:r w:rsidR="00680031">
        <w:rPr>
          <w:spacing w:val="-2"/>
        </w:rPr>
        <w:t xml:space="preserve">(June 10, 2020) </w:t>
      </w:r>
      <w:r w:rsidR="00121E4F">
        <w:t>(</w:t>
      </w:r>
      <w:r w:rsidR="00766EF7">
        <w:t xml:space="preserve">proposing, </w:t>
      </w:r>
      <w:r w:rsidRPr="00573BD0" w:rsidR="00766EF7">
        <w:rPr>
          <w:i/>
          <w:iCs/>
        </w:rPr>
        <w:t>inter alia</w:t>
      </w:r>
      <w:r w:rsidR="00766EF7">
        <w:t xml:space="preserve">, </w:t>
      </w:r>
      <w:r w:rsidRPr="00505854" w:rsidR="00573BD0">
        <w:t>a number of changes to the antenna standards for the 70 GHz and 80 GHz bands to provide greater flexibility in deploying 5G wireless backhaul</w:t>
      </w:r>
      <w:r w:rsidR="00573BD0">
        <w:t>)</w:t>
      </w:r>
      <w:r w:rsidRPr="00505854" w:rsidR="00573BD0">
        <w:t>.</w:t>
      </w:r>
      <w:r w:rsidR="00680031">
        <w:rPr>
          <w:spacing w:val="-2"/>
        </w:rPr>
        <w:t xml:space="preserve">  </w:t>
      </w:r>
    </w:p>
  </w:footnote>
  <w:footnote w:id="20">
    <w:p w:rsidR="00655651" w:rsidP="00655651" w14:paraId="0C7D8B24" w14:textId="26930306">
      <w:pPr>
        <w:pStyle w:val="FootnoteText"/>
      </w:pPr>
      <w:r>
        <w:rPr>
          <w:rStyle w:val="FootnoteReference"/>
        </w:rPr>
        <w:footnoteRef/>
      </w:r>
      <w:r>
        <w:t xml:space="preserve"> </w:t>
      </w:r>
      <w:r w:rsidRPr="00D701F7" w:rsidR="00DD282A">
        <w:rPr>
          <w:i/>
          <w:iCs/>
        </w:rPr>
        <w:t>W</w:t>
      </w:r>
      <w:r w:rsidRPr="00D701F7">
        <w:rPr>
          <w:i/>
          <w:iCs/>
        </w:rPr>
        <w:t xml:space="preserve">aiver </w:t>
      </w:r>
      <w:r w:rsidRPr="00D701F7" w:rsidR="00DD282A">
        <w:rPr>
          <w:i/>
          <w:iCs/>
        </w:rPr>
        <w:t>R</w:t>
      </w:r>
      <w:r w:rsidRPr="00D701F7">
        <w:rPr>
          <w:i/>
          <w:iCs/>
        </w:rPr>
        <w:t>equest</w:t>
      </w:r>
      <w:r>
        <w:t xml:space="preserve"> at </w:t>
      </w:r>
      <w:r w:rsidR="00754988">
        <w:t>2</w:t>
      </w:r>
      <w:r>
        <w:t xml:space="preserve">. </w:t>
      </w:r>
    </w:p>
  </w:footnote>
  <w:footnote w:id="21">
    <w:p w:rsidR="004C3456" w:rsidP="004C3456" w14:paraId="1478820C" w14:textId="5FAAD62E">
      <w:pPr>
        <w:pStyle w:val="FootnoteText"/>
      </w:pPr>
      <w:r>
        <w:rPr>
          <w:rStyle w:val="FootnoteReference"/>
        </w:rPr>
        <w:footnoteRef/>
      </w:r>
      <w:r>
        <w:t xml:space="preserve"> There is approximately 80 dB of free space attenuation at 3 meters </w:t>
      </w:r>
      <w:r w:rsidR="00A44C41">
        <w:t xml:space="preserve">and 100 dB of free space attenuation at 30 meters </w:t>
      </w:r>
      <w:r>
        <w:t>for an 80 GHz signal.  Free space path loss (FSPL) is calculated according to the formula FSPL = 20 log F(GHz) + 20 log D(m) + 32.5, with frequency F in GHz and distance D in meters.</w:t>
      </w:r>
    </w:p>
  </w:footnote>
  <w:footnote w:id="22">
    <w:p w:rsidR="00A11906" w14:paraId="368F72B9" w14:textId="71AA5763">
      <w:pPr>
        <w:pStyle w:val="FootnoteText"/>
      </w:pPr>
      <w:r>
        <w:rPr>
          <w:rStyle w:val="FootnoteReference"/>
        </w:rPr>
        <w:footnoteRef/>
      </w:r>
      <w:r>
        <w:t xml:space="preserve"> Most of the authorized services in this band such as fixed microwave links, satellite earth station receivers, and automotive radars are used only outdoors.  While it may be possible for amateur</w:t>
      </w:r>
      <w:r w:rsidR="007214E1">
        <w:t>, fixed, radiolocation,</w:t>
      </w:r>
      <w:r w:rsidR="009A39AB">
        <w:t xml:space="preserve"> </w:t>
      </w:r>
      <w:r>
        <w:t xml:space="preserve">and mobile service </w:t>
      </w:r>
      <w:r w:rsidR="007E3822">
        <w:t xml:space="preserve">receivers </w:t>
      </w:r>
      <w:r>
        <w:t>to be used indoors, we are not aware of any such indoor use</w:t>
      </w:r>
      <w:r w:rsidR="00583497">
        <w:t xml:space="preserve"> in this band</w:t>
      </w:r>
      <w:r>
        <w:t xml:space="preserve">.  </w:t>
      </w:r>
      <w:r w:rsidR="002B42E1">
        <w:t>Nonetheless, we note that</w:t>
      </w:r>
      <w:r w:rsidR="00E47EAC">
        <w:t xml:space="preserve"> operations under Part 15 would be secondary to any such licensed </w:t>
      </w:r>
      <w:r w:rsidR="00DF3921">
        <w:t>operations</w:t>
      </w:r>
      <w:r w:rsidR="00E47EAC">
        <w:t>.</w:t>
      </w:r>
    </w:p>
  </w:footnote>
  <w:footnote w:id="23">
    <w:p w:rsidR="00783FFF" w14:paraId="49610A81" w14:textId="3C288799">
      <w:pPr>
        <w:pStyle w:val="FootnoteText"/>
      </w:pPr>
      <w:r>
        <w:rPr>
          <w:rStyle w:val="FootnoteReference"/>
        </w:rPr>
        <w:footnoteRef/>
      </w:r>
      <w:r>
        <w:t xml:space="preserve"> </w:t>
      </w:r>
      <w:r w:rsidRPr="0027311B" w:rsidR="009B4F60">
        <w:t xml:space="preserve">The ITU has determined </w:t>
      </w:r>
      <w:r w:rsidR="006A4958">
        <w:t xml:space="preserve">statistically </w:t>
      </w:r>
      <w:r w:rsidRPr="0027311B" w:rsidR="009B4F60">
        <w:t>the median (50% probability) BEL</w:t>
      </w:r>
      <w:r w:rsidR="001F2175">
        <w:t xml:space="preserve"> </w:t>
      </w:r>
      <w:r w:rsidR="0050313A">
        <w:t>at 80</w:t>
      </w:r>
      <w:r w:rsidR="001F2175">
        <w:t xml:space="preserve"> GHz</w:t>
      </w:r>
      <w:r w:rsidRPr="0027311B" w:rsidR="009B4F60">
        <w:t xml:space="preserve"> </w:t>
      </w:r>
      <w:r w:rsidR="0050313A">
        <w:t>to be</w:t>
      </w:r>
      <w:r w:rsidRPr="0027311B" w:rsidR="009B4F60">
        <w:t xml:space="preserve"> approximately 22dB for traditional buildings, and approximately 55dB for thermally efficient buildings.  </w:t>
      </w:r>
      <w:r w:rsidRPr="0027311B" w:rsidR="009B4F60">
        <w:rPr>
          <w:i/>
          <w:iCs/>
        </w:rPr>
        <w:t>See</w:t>
      </w:r>
      <w:r w:rsidRPr="0027311B" w:rsidR="009B4F60">
        <w:t xml:space="preserve"> International Telecommunication Union Radiocommunication Sector (ITU-R), </w:t>
      </w:r>
      <w:r w:rsidR="0070796D">
        <w:rPr>
          <w:i/>
        </w:rPr>
        <w:t>Prediction of Building Entry Loss</w:t>
      </w:r>
      <w:r w:rsidRPr="0027311B" w:rsidR="009B4F60">
        <w:t>, Recommendation ITU-R P.2109-1</w:t>
      </w:r>
      <w:r w:rsidRPr="0027311B" w:rsidR="00021BB6">
        <w:t>, at Figure 2</w:t>
      </w:r>
      <w:r w:rsidRPr="0027311B" w:rsidR="009B4F60">
        <w:t xml:space="preserve"> (Aug 2019</w:t>
      </w:r>
      <w:r w:rsidR="00021BB6">
        <w:t>),</w:t>
      </w:r>
      <w:r w:rsidRPr="0027311B" w:rsidR="009B4F60">
        <w:t xml:space="preserve"> </w:t>
      </w:r>
      <w:hyperlink r:id="rId7" w:history="1">
        <w:r w:rsidRPr="0027311B" w:rsidR="009B4F60">
          <w:rPr>
            <w:rStyle w:val="Hyperlink"/>
          </w:rPr>
          <w:t>https://www.itu.int/dms_pubrec/itu-r/rec/p/R-REC-P.2109-1-201908-I!!PDF-E.pdf</w:t>
        </w:r>
      </w:hyperlink>
      <w:r w:rsidRPr="0027311B" w:rsidR="009B4F60">
        <w:t>.</w:t>
      </w:r>
    </w:p>
  </w:footnote>
  <w:footnote w:id="24">
    <w:p w:rsidR="00A44C41" w14:paraId="48990843" w14:textId="2F691588">
      <w:pPr>
        <w:pStyle w:val="FootnoteText"/>
      </w:pPr>
      <w:r>
        <w:rPr>
          <w:rStyle w:val="FootnoteReference"/>
        </w:rPr>
        <w:footnoteRef/>
      </w:r>
      <w:r>
        <w:t xml:space="preserve"> </w:t>
      </w:r>
      <w:r w:rsidR="00630421">
        <w:t>CORF has recommended to keep the QPS 201 operation indoors or maintain at least 70 km distance separation from any radio astronomy facilities operating in the 70-80 GHz band.</w:t>
      </w:r>
      <w:r w:rsidR="007B2553">
        <w:t xml:space="preserve"> </w:t>
      </w:r>
      <w:r w:rsidR="00465838">
        <w:t xml:space="preserve"> CORF Comments at 4</w:t>
      </w:r>
      <w:r w:rsidR="00465838">
        <w:noBreakHyphen/>
        <w:t>5.</w:t>
      </w:r>
    </w:p>
  </w:footnote>
  <w:footnote w:id="25">
    <w:p w:rsidR="006104A8" w:rsidRPr="007B6CD5" w:rsidP="006104A8" w14:paraId="514BEDF1" w14:textId="77777777">
      <w:pPr>
        <w:pStyle w:val="FootnoteText"/>
      </w:pPr>
      <w:r>
        <w:rPr>
          <w:rStyle w:val="FootnoteReference"/>
        </w:rPr>
        <w:footnoteRef/>
      </w:r>
      <w:r>
        <w:t xml:space="preserve"> For frequencies above </w:t>
      </w:r>
      <w:r w:rsidRPr="000C2B28">
        <w:rPr>
          <w:szCs w:val="22"/>
        </w:rPr>
        <w:t>470 MHz</w:t>
      </w:r>
      <w:r>
        <w:rPr>
          <w:szCs w:val="22"/>
        </w:rPr>
        <w:t>, the field strength limit is</w:t>
      </w:r>
      <w:r w:rsidRPr="000C2B28">
        <w:rPr>
          <w:szCs w:val="22"/>
        </w:rPr>
        <w:t xml:space="preserve"> 500 µV/m </w:t>
      </w:r>
      <w:r>
        <w:rPr>
          <w:szCs w:val="22"/>
        </w:rPr>
        <w:t>(54 dB</w:t>
      </w:r>
      <w:r w:rsidRPr="000C2B28">
        <w:rPr>
          <w:szCs w:val="22"/>
        </w:rPr>
        <w:t>µV/m</w:t>
      </w:r>
      <w:r>
        <w:rPr>
          <w:szCs w:val="22"/>
        </w:rPr>
        <w:t>)</w:t>
      </w:r>
      <w:r w:rsidRPr="000C2B28">
        <w:rPr>
          <w:szCs w:val="22"/>
        </w:rPr>
        <w:t xml:space="preserve"> measured at a distance of 3 meters.</w:t>
      </w:r>
      <w:r>
        <w:rPr>
          <w:szCs w:val="22"/>
        </w:rPr>
        <w:t xml:space="preserve">  </w:t>
      </w:r>
      <w:r w:rsidRPr="00B466A7">
        <w:rPr>
          <w:szCs w:val="22"/>
        </w:rPr>
        <w:t>Rohde &amp; Schwarz</w:t>
      </w:r>
      <w:r>
        <w:rPr>
          <w:szCs w:val="22"/>
        </w:rPr>
        <w:t xml:space="preserve"> wishes to operate its system at </w:t>
      </w:r>
      <w:r w:rsidRPr="000C2B28">
        <w:rPr>
          <w:szCs w:val="22"/>
        </w:rPr>
        <w:t xml:space="preserve">31,405 µV/m </w:t>
      </w:r>
      <w:r>
        <w:rPr>
          <w:szCs w:val="22"/>
        </w:rPr>
        <w:t>(90 dB</w:t>
      </w:r>
      <w:r w:rsidRPr="000C2B28">
        <w:rPr>
          <w:szCs w:val="22"/>
        </w:rPr>
        <w:t>µV/m</w:t>
      </w:r>
      <w:r>
        <w:rPr>
          <w:szCs w:val="22"/>
        </w:rPr>
        <w:t xml:space="preserve">) as measured </w:t>
      </w:r>
      <w:r w:rsidRPr="000C2B28">
        <w:rPr>
          <w:szCs w:val="22"/>
        </w:rPr>
        <w:t>at 3 </w:t>
      </w:r>
      <w:r>
        <w:rPr>
          <w:szCs w:val="22"/>
        </w:rPr>
        <w:t>meters.</w:t>
      </w:r>
    </w:p>
  </w:footnote>
  <w:footnote w:id="26">
    <w:p w:rsidR="000D38F8" w14:paraId="750D6A59" w14:textId="25B76D94">
      <w:pPr>
        <w:pStyle w:val="FootnoteText"/>
      </w:pPr>
      <w:r>
        <w:rPr>
          <w:rStyle w:val="FootnoteReference"/>
        </w:rPr>
        <w:footnoteRef/>
      </w:r>
      <w:r>
        <w:t xml:space="preserve"> </w:t>
      </w:r>
      <w:r w:rsidRPr="00EE20E1">
        <w:rPr>
          <w:i/>
          <w:iCs/>
        </w:rPr>
        <w:t>See supra</w:t>
      </w:r>
      <w:r>
        <w:t xml:space="preserve"> n.</w:t>
      </w:r>
      <w:r w:rsidR="00C2066F">
        <w:fldChar w:fldCharType="begin"/>
      </w:r>
      <w:r w:rsidR="00C2066F">
        <w:instrText xml:space="preserve"> NOTEREF _Ref42077400 \h </w:instrText>
      </w:r>
      <w:r w:rsidR="00C2066F">
        <w:fldChar w:fldCharType="separate"/>
      </w:r>
      <w:r w:rsidR="00C2066F">
        <w:t>16</w:t>
      </w:r>
      <w:r w:rsidR="00C2066F">
        <w:fldChar w:fldCharType="end"/>
      </w:r>
      <w:r>
        <w:t>.</w:t>
      </w:r>
    </w:p>
  </w:footnote>
  <w:footnote w:id="27">
    <w:p w:rsidR="00040130" w:rsidP="00040130" w14:paraId="79B3F97F" w14:textId="22D92979">
      <w:pPr>
        <w:pStyle w:val="FootnoteText"/>
      </w:pPr>
      <w:r>
        <w:rPr>
          <w:rStyle w:val="FootnoteReference"/>
        </w:rPr>
        <w:footnoteRef/>
      </w:r>
      <w:r>
        <w:t xml:space="preserve"> </w:t>
      </w:r>
      <w:r w:rsidRPr="00EE20E1">
        <w:rPr>
          <w:i/>
          <w:iCs/>
        </w:rPr>
        <w:t>Waiver Request</w:t>
      </w:r>
      <w:r>
        <w:t xml:space="preserve"> at 4.  </w:t>
      </w:r>
    </w:p>
  </w:footnote>
  <w:footnote w:id="28">
    <w:p w:rsidR="00DD282A" w14:paraId="08769700" w14:textId="522A89AC">
      <w:pPr>
        <w:pStyle w:val="FootnoteText"/>
      </w:pPr>
      <w:r>
        <w:rPr>
          <w:rStyle w:val="FootnoteReference"/>
        </w:rPr>
        <w:footnoteRef/>
      </w:r>
      <w:r>
        <w:t xml:space="preserve"> </w:t>
      </w:r>
      <w:r w:rsidR="00D701F7">
        <w:rPr>
          <w:i/>
          <w:iCs/>
        </w:rPr>
        <w:t>Id.</w:t>
      </w:r>
      <w:r w:rsidRPr="007D6F98">
        <w:rPr>
          <w:szCs w:val="22"/>
        </w:rPr>
        <w:t xml:space="preserve"> </w:t>
      </w:r>
    </w:p>
  </w:footnote>
  <w:footnote w:id="29">
    <w:p w:rsidR="004E0CE2" w:rsidRPr="004E0CE2" w14:paraId="613AAAB1" w14:textId="338A2E45">
      <w:pPr>
        <w:pStyle w:val="FootnoteText"/>
      </w:pPr>
      <w:r>
        <w:rPr>
          <w:rStyle w:val="FootnoteReference"/>
        </w:rPr>
        <w:footnoteRef/>
      </w:r>
      <w:r>
        <w:t xml:space="preserve"> </w:t>
      </w:r>
      <w:r w:rsidRPr="006C60DF" w:rsidR="006C60DF">
        <w:rPr>
          <w:i/>
          <w:iCs/>
        </w:rPr>
        <w:t xml:space="preserve"> </w:t>
      </w:r>
      <w:r w:rsidRPr="00230F68" w:rsidR="006C60DF">
        <w:rPr>
          <w:i/>
          <w:iCs/>
        </w:rPr>
        <w:t>See</w:t>
      </w:r>
      <w:r w:rsidRPr="00230F68" w:rsidR="006C60DF">
        <w:t xml:space="preserve"> </w:t>
      </w:r>
      <w:r w:rsidRPr="00230F68" w:rsidR="006C60DF">
        <w:rPr>
          <w:i/>
          <w:iCs/>
        </w:rPr>
        <w:t>Evolv Technologies, Inc.</w:t>
      </w:r>
      <w:r w:rsidRPr="00230F68" w:rsidR="006C60DF">
        <w:t xml:space="preserve"> </w:t>
      </w:r>
      <w:r w:rsidRPr="00800925" w:rsidR="006C60DF">
        <w:rPr>
          <w:i/>
          <w:iCs/>
        </w:rPr>
        <w:t>Request for Waiver of Sections 15.31(c) and 15.35(b) of the Commission's Rules to Permit the Deployment of Security Screening Portal Devices that Operate in the 24.0-28.8 GHz Range</w:t>
      </w:r>
      <w:r w:rsidRPr="00800925" w:rsidR="006C60DF">
        <w:t xml:space="preserve">, DA 17-1073, Order, 32 FCC Rcd 9271 (2017); </w:t>
      </w:r>
      <w:r w:rsidRPr="00800925" w:rsidR="006C60DF">
        <w:rPr>
          <w:i/>
          <w:iCs/>
        </w:rPr>
        <w:t>L-3 Communications Security and Detection Systems, Inc. Request for Waiver</w:t>
      </w:r>
      <w:r w:rsidRPr="00800925" w:rsidR="006C60DF">
        <w:t>, DA 16-1075, Order, 31 FCC Rcd 12310 (2016).</w:t>
      </w:r>
      <w:r w:rsidRPr="00230F68" w:rsidR="006C60DF">
        <w:t xml:space="preserve">  </w:t>
      </w:r>
      <w:r w:rsidRPr="00230F68" w:rsidR="006C60DF">
        <w:rPr>
          <w:i/>
        </w:rPr>
        <w:t xml:space="preserve">SafeView, Inc. Request for Waiver of Sections 15.31 and 15.35 of the Commission’s Rules to Permit the Deployment </w:t>
      </w:r>
      <w:r w:rsidRPr="00AA7F22" w:rsidR="006C60DF">
        <w:rPr>
          <w:i/>
        </w:rPr>
        <w:t>of Security Screening Portal Devices that Operate in the 24.25-30 GHz Range</w:t>
      </w:r>
      <w:r w:rsidRPr="00AA7F22" w:rsidR="006C60DF">
        <w:t xml:space="preserve">, </w:t>
      </w:r>
      <w:r w:rsidR="006C60DF">
        <w:t xml:space="preserve">DA 06-1589, </w:t>
      </w:r>
      <w:r w:rsidRPr="00AA7F22" w:rsidR="006C60DF">
        <w:t>Order, 21 FCC Rcd 8814 (2006).</w:t>
      </w:r>
    </w:p>
  </w:footnote>
  <w:footnote w:id="30">
    <w:p w:rsidR="00AE5B5C" w:rsidP="00AE5B5C" w14:paraId="19231E63" w14:textId="77777777">
      <w:pPr>
        <w:pStyle w:val="FootnoteText"/>
      </w:pPr>
      <w:r>
        <w:rPr>
          <w:rStyle w:val="FootnoteReference"/>
        </w:rPr>
        <w:footnoteRef/>
      </w:r>
      <w:r>
        <w:t xml:space="preserve"> The National Telecommunications and Information Administration (NTIA) manages the Federal Government’s use of the radio spectrum.</w:t>
      </w:r>
    </w:p>
  </w:footnote>
  <w:footnote w:id="31">
    <w:p w:rsidR="00C77B3F" w14:paraId="252860AD" w14:textId="611B6D4C">
      <w:pPr>
        <w:pStyle w:val="FootnoteText"/>
      </w:pPr>
      <w:r>
        <w:rPr>
          <w:rStyle w:val="FootnoteReference"/>
        </w:rPr>
        <w:footnoteRef/>
      </w:r>
      <w:r>
        <w:t xml:space="preserve"> This is a condition required o</w:t>
      </w:r>
      <w:r w:rsidR="00272175">
        <w:t>f</w:t>
      </w:r>
      <w:r>
        <w:t xml:space="preserve"> all unlicensed devices operating under Part 15 of our rules. </w:t>
      </w:r>
      <w:r w:rsidRPr="007161F4">
        <w:rPr>
          <w:i/>
          <w:iCs/>
        </w:rPr>
        <w:t>See</w:t>
      </w:r>
      <w:r>
        <w:t xml:space="preserve"> 47 CFR § 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AB24FB" w14:textId="318B8336">
    <w:pPr>
      <w:pStyle w:val="Header"/>
      <w:rPr>
        <w:b w:val="0"/>
      </w:rPr>
    </w:pPr>
    <w:r>
      <w:tab/>
      <w:t>Federal Communications Commission</w:t>
    </w:r>
    <w:r>
      <w:tab/>
    </w:r>
    <w:r w:rsidR="00B579F9">
      <w:t xml:space="preserve">DA </w:t>
    </w:r>
    <w:r w:rsidR="0058767D">
      <w:t>20</w:t>
    </w:r>
    <w:r w:rsidR="006F43E2">
      <w:t>-</w:t>
    </w:r>
    <w:r w:rsidR="00BA6761">
      <w:t>1025</w:t>
    </w:r>
  </w:p>
  <w:p w:rsidR="00D25FB5" w14:paraId="7CB6B38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1350E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A1A" w:rsidP="00210A1A" w14:paraId="3674FFBB" w14:textId="4665FEB4">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DA 20-</w:t>
    </w:r>
    <w:r w:rsidR="00BA6761">
      <w:rPr>
        <w:spacing w:val="-2"/>
      </w:rPr>
      <w:t>1025</w:t>
    </w:r>
  </w:p>
  <w:p w:rsidR="00210A1A" w:rsidP="00210A1A" w14:paraId="418375CF" w14:textId="77777777">
    <w:pPr>
      <w:pStyle w:val="Header"/>
      <w:rPr>
        <w:b w:val="0"/>
      </w:rPr>
    </w:pPr>
  </w:p>
  <w:p w:rsidR="003B2D3C" w14:paraId="3EB35122" w14:textId="6FBC85B1">
    <w:pPr>
      <w:pStyle w:val="Header"/>
    </w:pPr>
    <w:r>
      <w:tab/>
    </w:r>
    <w:r>
      <w:tab/>
    </w:r>
  </w:p>
  <w:p w:rsidR="00D25FB5" w:rsidP="00810B6F" w14:paraId="1C1C90BA" w14:textId="666EAB6D">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0764D3"/>
    <w:multiLevelType w:val="hybridMultilevel"/>
    <w:tmpl w:val="91E474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681025"/>
    <w:multiLevelType w:val="hybridMultilevel"/>
    <w:tmpl w:val="813C47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53FC753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65F64F6"/>
    <w:multiLevelType w:val="singleLevel"/>
    <w:tmpl w:val="D2A0ECDC"/>
    <w:lvl w:ilvl="0">
      <w:start w:val="1"/>
      <w:numFmt w:val="decimal"/>
      <w:pStyle w:val="StyleNumbered"/>
      <w:lvlText w:val="%1."/>
      <w:lvlJc w:val="left"/>
      <w:pPr>
        <w:tabs>
          <w:tab w:val="num" w:pos="288"/>
        </w:tabs>
        <w:ind w:left="0" w:firstLine="288"/>
      </w:pPr>
      <w:rPr>
        <w:rFonts w:hint="default"/>
        <w:b w:val="0"/>
        <w:i w:val="0"/>
        <w:color w:val="000000"/>
        <w:szCs w:val="22"/>
        <w:u w:val="none"/>
      </w:rPr>
    </w:lvl>
  </w:abstractNum>
  <w:abstractNum w:abstractNumId="7">
    <w:nsid w:val="4C495909"/>
    <w:multiLevelType w:val="hybridMultilevel"/>
    <w:tmpl w:val="5450D08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C41675E"/>
    <w:multiLevelType w:val="hybridMultilevel"/>
    <w:tmpl w:val="61DEE3D4"/>
    <w:lvl w:ilvl="0">
      <w:start w:val="1"/>
      <w:numFmt w:val="decimal"/>
      <w:lvlText w:val="%1)."/>
      <w:lvlJc w:val="left"/>
      <w:pPr>
        <w:tabs>
          <w:tab w:val="num" w:pos="2160"/>
        </w:tabs>
        <w:ind w:left="2160" w:hanging="360"/>
      </w:pPr>
      <w:rPr>
        <w:rFonts w:hint="default"/>
        <w:color w:val="auto"/>
      </w:rPr>
    </w:lvl>
    <w:lvl w:ilvl="1">
      <w:start w:val="1"/>
      <w:numFmt w:val="decimal"/>
      <w:lvlText w:val="%2)"/>
      <w:lvlJc w:val="left"/>
      <w:pPr>
        <w:tabs>
          <w:tab w:val="num" w:pos="360"/>
        </w:tabs>
        <w:ind w:left="360" w:hanging="360"/>
      </w:pPr>
      <w:rPr>
        <w:rFonts w:hint="default"/>
        <w:color w:val="auto"/>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1182925"/>
    <w:multiLevelType w:val="singleLevel"/>
    <w:tmpl w:val="4FEC6622"/>
    <w:lvl w:ilvl="0">
      <w:start w:val="1"/>
      <w:numFmt w:val="decimal"/>
      <w:pStyle w:val="ParaNum"/>
      <w:lvlText w:val="%1."/>
      <w:lvlJc w:val="left"/>
      <w:pPr>
        <w:tabs>
          <w:tab w:val="num" w:pos="1080"/>
        </w:tabs>
        <w:ind w:left="0" w:firstLine="720"/>
      </w:pPr>
    </w:lvl>
  </w:abstractNum>
  <w:abstractNum w:abstractNumId="11">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5"/>
  </w:num>
  <w:num w:numId="4">
    <w:abstractNumId w:val="8"/>
  </w:num>
  <w:num w:numId="5">
    <w:abstractNumId w:val="4"/>
  </w:num>
  <w:num w:numId="6">
    <w:abstractNumId w:val="0"/>
  </w:num>
  <w:num w:numId="7">
    <w:abstractNumId w:val="6"/>
  </w:num>
  <w:num w:numId="8">
    <w:abstractNumId w:val="9"/>
  </w:num>
  <w:num w:numId="9">
    <w:abstractNumId w:val="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10"/>
  </w:num>
  <w:num w:numId="26">
    <w:abstractNumId w:val="7"/>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97"/>
    <w:rsid w:val="00000F17"/>
    <w:rsid w:val="000013FC"/>
    <w:rsid w:val="00003FBF"/>
    <w:rsid w:val="00006AF3"/>
    <w:rsid w:val="00010127"/>
    <w:rsid w:val="0001245F"/>
    <w:rsid w:val="00016812"/>
    <w:rsid w:val="00021BB6"/>
    <w:rsid w:val="000306B7"/>
    <w:rsid w:val="0003217A"/>
    <w:rsid w:val="00033C41"/>
    <w:rsid w:val="00033EF4"/>
    <w:rsid w:val="00036039"/>
    <w:rsid w:val="00036DE4"/>
    <w:rsid w:val="00037F90"/>
    <w:rsid w:val="00040130"/>
    <w:rsid w:val="00040FD0"/>
    <w:rsid w:val="00043A05"/>
    <w:rsid w:val="00044EE5"/>
    <w:rsid w:val="0005364C"/>
    <w:rsid w:val="00064A1F"/>
    <w:rsid w:val="00065B1C"/>
    <w:rsid w:val="0007074C"/>
    <w:rsid w:val="00084713"/>
    <w:rsid w:val="000875BF"/>
    <w:rsid w:val="00092E4A"/>
    <w:rsid w:val="0009434C"/>
    <w:rsid w:val="00095C4E"/>
    <w:rsid w:val="000963B3"/>
    <w:rsid w:val="0009681C"/>
    <w:rsid w:val="00096D8C"/>
    <w:rsid w:val="000A0FA1"/>
    <w:rsid w:val="000A75B2"/>
    <w:rsid w:val="000A79D4"/>
    <w:rsid w:val="000B7D30"/>
    <w:rsid w:val="000C0B65"/>
    <w:rsid w:val="000C2B28"/>
    <w:rsid w:val="000C4FCA"/>
    <w:rsid w:val="000C6DCB"/>
    <w:rsid w:val="000C6E21"/>
    <w:rsid w:val="000C7D4D"/>
    <w:rsid w:val="000D1C05"/>
    <w:rsid w:val="000D2C88"/>
    <w:rsid w:val="000D32DD"/>
    <w:rsid w:val="000D38F8"/>
    <w:rsid w:val="000D6575"/>
    <w:rsid w:val="000E05FE"/>
    <w:rsid w:val="000E3D42"/>
    <w:rsid w:val="000E4683"/>
    <w:rsid w:val="001008C5"/>
    <w:rsid w:val="00101D00"/>
    <w:rsid w:val="001051E7"/>
    <w:rsid w:val="001074AD"/>
    <w:rsid w:val="001207AE"/>
    <w:rsid w:val="00121E4F"/>
    <w:rsid w:val="00122BD5"/>
    <w:rsid w:val="001246FC"/>
    <w:rsid w:val="00126DF6"/>
    <w:rsid w:val="00133F79"/>
    <w:rsid w:val="00137F90"/>
    <w:rsid w:val="00140372"/>
    <w:rsid w:val="00143CA7"/>
    <w:rsid w:val="00152B42"/>
    <w:rsid w:val="00166538"/>
    <w:rsid w:val="00167DF4"/>
    <w:rsid w:val="00172B3A"/>
    <w:rsid w:val="00174C7C"/>
    <w:rsid w:val="001779B4"/>
    <w:rsid w:val="00187B82"/>
    <w:rsid w:val="0019329E"/>
    <w:rsid w:val="0019393D"/>
    <w:rsid w:val="00194925"/>
    <w:rsid w:val="00194A66"/>
    <w:rsid w:val="001976C0"/>
    <w:rsid w:val="001A2673"/>
    <w:rsid w:val="001A2E5F"/>
    <w:rsid w:val="001A3714"/>
    <w:rsid w:val="001A488D"/>
    <w:rsid w:val="001A6230"/>
    <w:rsid w:val="001A7897"/>
    <w:rsid w:val="001B1E7C"/>
    <w:rsid w:val="001B42BF"/>
    <w:rsid w:val="001B7440"/>
    <w:rsid w:val="001C3064"/>
    <w:rsid w:val="001D6BCF"/>
    <w:rsid w:val="001E01CA"/>
    <w:rsid w:val="001E0F60"/>
    <w:rsid w:val="001E3376"/>
    <w:rsid w:val="001E4E03"/>
    <w:rsid w:val="001E678C"/>
    <w:rsid w:val="001E7066"/>
    <w:rsid w:val="001F11AA"/>
    <w:rsid w:val="001F2175"/>
    <w:rsid w:val="001F2432"/>
    <w:rsid w:val="001F2E7F"/>
    <w:rsid w:val="001F3C1B"/>
    <w:rsid w:val="001F5588"/>
    <w:rsid w:val="001F66D5"/>
    <w:rsid w:val="00201436"/>
    <w:rsid w:val="002038B4"/>
    <w:rsid w:val="00210A1A"/>
    <w:rsid w:val="00211976"/>
    <w:rsid w:val="0021226A"/>
    <w:rsid w:val="00222AF3"/>
    <w:rsid w:val="002279D9"/>
    <w:rsid w:val="00230F68"/>
    <w:rsid w:val="00231C65"/>
    <w:rsid w:val="00234EAC"/>
    <w:rsid w:val="00235879"/>
    <w:rsid w:val="0023618C"/>
    <w:rsid w:val="00236AD7"/>
    <w:rsid w:val="00236C83"/>
    <w:rsid w:val="002413A6"/>
    <w:rsid w:val="00243B8E"/>
    <w:rsid w:val="002558EA"/>
    <w:rsid w:val="00255C57"/>
    <w:rsid w:val="00256446"/>
    <w:rsid w:val="00260C09"/>
    <w:rsid w:val="00262090"/>
    <w:rsid w:val="00265BBC"/>
    <w:rsid w:val="0027201A"/>
    <w:rsid w:val="00272175"/>
    <w:rsid w:val="0027311B"/>
    <w:rsid w:val="00275CF5"/>
    <w:rsid w:val="00281A0B"/>
    <w:rsid w:val="00282E4B"/>
    <w:rsid w:val="0028301F"/>
    <w:rsid w:val="00284408"/>
    <w:rsid w:val="00285017"/>
    <w:rsid w:val="00291892"/>
    <w:rsid w:val="00292DC2"/>
    <w:rsid w:val="0029384B"/>
    <w:rsid w:val="0029711D"/>
    <w:rsid w:val="002A2D2E"/>
    <w:rsid w:val="002A6D7E"/>
    <w:rsid w:val="002B42E1"/>
    <w:rsid w:val="002B7155"/>
    <w:rsid w:val="002B76BC"/>
    <w:rsid w:val="002B78FC"/>
    <w:rsid w:val="002C00E8"/>
    <w:rsid w:val="002C6E43"/>
    <w:rsid w:val="002D0E6C"/>
    <w:rsid w:val="002E1BAC"/>
    <w:rsid w:val="002E3E32"/>
    <w:rsid w:val="002E40DD"/>
    <w:rsid w:val="002E57F8"/>
    <w:rsid w:val="002F1B25"/>
    <w:rsid w:val="002F1E07"/>
    <w:rsid w:val="002F46D6"/>
    <w:rsid w:val="002F70F8"/>
    <w:rsid w:val="00300060"/>
    <w:rsid w:val="0030233E"/>
    <w:rsid w:val="00302A6F"/>
    <w:rsid w:val="00303538"/>
    <w:rsid w:val="00303F58"/>
    <w:rsid w:val="003050E8"/>
    <w:rsid w:val="00305481"/>
    <w:rsid w:val="003126A7"/>
    <w:rsid w:val="003134FA"/>
    <w:rsid w:val="0032145F"/>
    <w:rsid w:val="00324170"/>
    <w:rsid w:val="00325F57"/>
    <w:rsid w:val="003266EE"/>
    <w:rsid w:val="003267BA"/>
    <w:rsid w:val="003272E7"/>
    <w:rsid w:val="00327C49"/>
    <w:rsid w:val="00332B78"/>
    <w:rsid w:val="00335447"/>
    <w:rsid w:val="00343749"/>
    <w:rsid w:val="00344073"/>
    <w:rsid w:val="00345215"/>
    <w:rsid w:val="0035014F"/>
    <w:rsid w:val="00354C70"/>
    <w:rsid w:val="0035648B"/>
    <w:rsid w:val="0036190D"/>
    <w:rsid w:val="003660ED"/>
    <w:rsid w:val="003775F4"/>
    <w:rsid w:val="003802A1"/>
    <w:rsid w:val="00380C0B"/>
    <w:rsid w:val="00380EAA"/>
    <w:rsid w:val="00387B6F"/>
    <w:rsid w:val="00387C85"/>
    <w:rsid w:val="0039257F"/>
    <w:rsid w:val="00394711"/>
    <w:rsid w:val="003A3082"/>
    <w:rsid w:val="003A692B"/>
    <w:rsid w:val="003B0550"/>
    <w:rsid w:val="003B0DC3"/>
    <w:rsid w:val="003B2D3C"/>
    <w:rsid w:val="003B694F"/>
    <w:rsid w:val="003C2E02"/>
    <w:rsid w:val="003C6B4E"/>
    <w:rsid w:val="003D31FE"/>
    <w:rsid w:val="003D7C1E"/>
    <w:rsid w:val="003E3B3C"/>
    <w:rsid w:val="003E56F4"/>
    <w:rsid w:val="003E7DC2"/>
    <w:rsid w:val="003F07C4"/>
    <w:rsid w:val="003F171C"/>
    <w:rsid w:val="003F20E8"/>
    <w:rsid w:val="003F7667"/>
    <w:rsid w:val="003F7B09"/>
    <w:rsid w:val="003F7B41"/>
    <w:rsid w:val="00401BC5"/>
    <w:rsid w:val="004040DE"/>
    <w:rsid w:val="00405597"/>
    <w:rsid w:val="00405784"/>
    <w:rsid w:val="00410475"/>
    <w:rsid w:val="00410828"/>
    <w:rsid w:val="00410A3A"/>
    <w:rsid w:val="00411273"/>
    <w:rsid w:val="004126D5"/>
    <w:rsid w:val="00412FC5"/>
    <w:rsid w:val="0041485B"/>
    <w:rsid w:val="00415A04"/>
    <w:rsid w:val="00421558"/>
    <w:rsid w:val="00422276"/>
    <w:rsid w:val="004242F1"/>
    <w:rsid w:val="004302BB"/>
    <w:rsid w:val="0043097D"/>
    <w:rsid w:val="00432995"/>
    <w:rsid w:val="00434B5C"/>
    <w:rsid w:val="00435034"/>
    <w:rsid w:val="00435D45"/>
    <w:rsid w:val="00436B40"/>
    <w:rsid w:val="004415BB"/>
    <w:rsid w:val="00444A81"/>
    <w:rsid w:val="00445A00"/>
    <w:rsid w:val="0044771C"/>
    <w:rsid w:val="00451B0F"/>
    <w:rsid w:val="004522FF"/>
    <w:rsid w:val="0045350D"/>
    <w:rsid w:val="00455FDF"/>
    <w:rsid w:val="004615BD"/>
    <w:rsid w:val="004640E8"/>
    <w:rsid w:val="00465838"/>
    <w:rsid w:val="004670E7"/>
    <w:rsid w:val="00471517"/>
    <w:rsid w:val="00473D7B"/>
    <w:rsid w:val="00476237"/>
    <w:rsid w:val="00481D8A"/>
    <w:rsid w:val="004862BE"/>
    <w:rsid w:val="0049239B"/>
    <w:rsid w:val="00494D0B"/>
    <w:rsid w:val="004A5332"/>
    <w:rsid w:val="004A574C"/>
    <w:rsid w:val="004A7433"/>
    <w:rsid w:val="004A7C4E"/>
    <w:rsid w:val="004B0F22"/>
    <w:rsid w:val="004B2604"/>
    <w:rsid w:val="004B3A4B"/>
    <w:rsid w:val="004B3AB1"/>
    <w:rsid w:val="004B7EA7"/>
    <w:rsid w:val="004C1172"/>
    <w:rsid w:val="004C2432"/>
    <w:rsid w:val="004C2EE3"/>
    <w:rsid w:val="004C3456"/>
    <w:rsid w:val="004C7FAE"/>
    <w:rsid w:val="004D1AD7"/>
    <w:rsid w:val="004D1B2E"/>
    <w:rsid w:val="004E0CE2"/>
    <w:rsid w:val="004E2ED0"/>
    <w:rsid w:val="004E4A22"/>
    <w:rsid w:val="004E57EF"/>
    <w:rsid w:val="004E77F4"/>
    <w:rsid w:val="004F0C58"/>
    <w:rsid w:val="004F0DD3"/>
    <w:rsid w:val="004F6D1A"/>
    <w:rsid w:val="004F7B06"/>
    <w:rsid w:val="0050313A"/>
    <w:rsid w:val="00505854"/>
    <w:rsid w:val="00510417"/>
    <w:rsid w:val="00511968"/>
    <w:rsid w:val="005119A7"/>
    <w:rsid w:val="00514F3E"/>
    <w:rsid w:val="005207DC"/>
    <w:rsid w:val="00520C26"/>
    <w:rsid w:val="00522A0B"/>
    <w:rsid w:val="00527E8C"/>
    <w:rsid w:val="00533B3C"/>
    <w:rsid w:val="00535A48"/>
    <w:rsid w:val="00541DD0"/>
    <w:rsid w:val="00543F3F"/>
    <w:rsid w:val="00545B68"/>
    <w:rsid w:val="0054617F"/>
    <w:rsid w:val="0055230D"/>
    <w:rsid w:val="005532BE"/>
    <w:rsid w:val="00554E64"/>
    <w:rsid w:val="0055614C"/>
    <w:rsid w:val="00556C23"/>
    <w:rsid w:val="00557492"/>
    <w:rsid w:val="0056414C"/>
    <w:rsid w:val="00570C49"/>
    <w:rsid w:val="005710D2"/>
    <w:rsid w:val="005718EB"/>
    <w:rsid w:val="00573BD0"/>
    <w:rsid w:val="00573E52"/>
    <w:rsid w:val="00577985"/>
    <w:rsid w:val="00581DC9"/>
    <w:rsid w:val="00583497"/>
    <w:rsid w:val="00584EBE"/>
    <w:rsid w:val="00586118"/>
    <w:rsid w:val="0058767D"/>
    <w:rsid w:val="00591DBB"/>
    <w:rsid w:val="00593912"/>
    <w:rsid w:val="005A03C7"/>
    <w:rsid w:val="005A1AD1"/>
    <w:rsid w:val="005A1B9D"/>
    <w:rsid w:val="005A4000"/>
    <w:rsid w:val="005A6343"/>
    <w:rsid w:val="005A6798"/>
    <w:rsid w:val="005B23D4"/>
    <w:rsid w:val="005B3FE2"/>
    <w:rsid w:val="005B5DC2"/>
    <w:rsid w:val="005B6173"/>
    <w:rsid w:val="005B6273"/>
    <w:rsid w:val="005B6E32"/>
    <w:rsid w:val="005C79D0"/>
    <w:rsid w:val="005D013B"/>
    <w:rsid w:val="005D2683"/>
    <w:rsid w:val="005D68CB"/>
    <w:rsid w:val="005E14C2"/>
    <w:rsid w:val="005E7C48"/>
    <w:rsid w:val="005F07E7"/>
    <w:rsid w:val="006014A1"/>
    <w:rsid w:val="00604B40"/>
    <w:rsid w:val="006065B9"/>
    <w:rsid w:val="00606DF4"/>
    <w:rsid w:val="00607BA5"/>
    <w:rsid w:val="006104A8"/>
    <w:rsid w:val="0061180A"/>
    <w:rsid w:val="00613D85"/>
    <w:rsid w:val="006175E4"/>
    <w:rsid w:val="0062203D"/>
    <w:rsid w:val="00622195"/>
    <w:rsid w:val="00624B50"/>
    <w:rsid w:val="006254BE"/>
    <w:rsid w:val="006256ED"/>
    <w:rsid w:val="0062615F"/>
    <w:rsid w:val="00626EB6"/>
    <w:rsid w:val="00630421"/>
    <w:rsid w:val="00631422"/>
    <w:rsid w:val="0063235A"/>
    <w:rsid w:val="00633639"/>
    <w:rsid w:val="00640552"/>
    <w:rsid w:val="00641112"/>
    <w:rsid w:val="0064252B"/>
    <w:rsid w:val="006438DC"/>
    <w:rsid w:val="00644FFE"/>
    <w:rsid w:val="006461E4"/>
    <w:rsid w:val="00646919"/>
    <w:rsid w:val="006478CD"/>
    <w:rsid w:val="00653B60"/>
    <w:rsid w:val="00655651"/>
    <w:rsid w:val="00655D03"/>
    <w:rsid w:val="006571F4"/>
    <w:rsid w:val="0065767B"/>
    <w:rsid w:val="0065773B"/>
    <w:rsid w:val="00657B14"/>
    <w:rsid w:val="00660F7C"/>
    <w:rsid w:val="00661017"/>
    <w:rsid w:val="00663B59"/>
    <w:rsid w:val="0066419C"/>
    <w:rsid w:val="00673B61"/>
    <w:rsid w:val="00673BA9"/>
    <w:rsid w:val="00680031"/>
    <w:rsid w:val="006807C4"/>
    <w:rsid w:val="006826BA"/>
    <w:rsid w:val="00683388"/>
    <w:rsid w:val="00683F84"/>
    <w:rsid w:val="00687300"/>
    <w:rsid w:val="00687F7E"/>
    <w:rsid w:val="006929DD"/>
    <w:rsid w:val="00693804"/>
    <w:rsid w:val="00694EA7"/>
    <w:rsid w:val="006A213A"/>
    <w:rsid w:val="006A4958"/>
    <w:rsid w:val="006A6A81"/>
    <w:rsid w:val="006B029A"/>
    <w:rsid w:val="006B3E69"/>
    <w:rsid w:val="006B4828"/>
    <w:rsid w:val="006C079D"/>
    <w:rsid w:val="006C0B2D"/>
    <w:rsid w:val="006C1F03"/>
    <w:rsid w:val="006C50A3"/>
    <w:rsid w:val="006C60DF"/>
    <w:rsid w:val="006D0A87"/>
    <w:rsid w:val="006D6EF0"/>
    <w:rsid w:val="006E79E1"/>
    <w:rsid w:val="006F0C37"/>
    <w:rsid w:val="006F321C"/>
    <w:rsid w:val="006F43E2"/>
    <w:rsid w:val="006F6158"/>
    <w:rsid w:val="006F7393"/>
    <w:rsid w:val="0070224F"/>
    <w:rsid w:val="00702CE4"/>
    <w:rsid w:val="0070796D"/>
    <w:rsid w:val="00710AA2"/>
    <w:rsid w:val="0071139C"/>
    <w:rsid w:val="007115F7"/>
    <w:rsid w:val="007142BF"/>
    <w:rsid w:val="007161F4"/>
    <w:rsid w:val="0071797A"/>
    <w:rsid w:val="007209C5"/>
    <w:rsid w:val="007214E1"/>
    <w:rsid w:val="0072208D"/>
    <w:rsid w:val="00727EC3"/>
    <w:rsid w:val="00731186"/>
    <w:rsid w:val="00732FA2"/>
    <w:rsid w:val="007346C8"/>
    <w:rsid w:val="0073622B"/>
    <w:rsid w:val="0074029F"/>
    <w:rsid w:val="007404CC"/>
    <w:rsid w:val="007456BD"/>
    <w:rsid w:val="0074651A"/>
    <w:rsid w:val="00754988"/>
    <w:rsid w:val="00755440"/>
    <w:rsid w:val="00761711"/>
    <w:rsid w:val="0076289C"/>
    <w:rsid w:val="00763FD0"/>
    <w:rsid w:val="00764F5F"/>
    <w:rsid w:val="007659C4"/>
    <w:rsid w:val="00766EF7"/>
    <w:rsid w:val="0076745D"/>
    <w:rsid w:val="0077164F"/>
    <w:rsid w:val="0077186E"/>
    <w:rsid w:val="007761A8"/>
    <w:rsid w:val="00783FFF"/>
    <w:rsid w:val="00785689"/>
    <w:rsid w:val="00794947"/>
    <w:rsid w:val="00795C9A"/>
    <w:rsid w:val="00795F33"/>
    <w:rsid w:val="0079754B"/>
    <w:rsid w:val="007A1E6D"/>
    <w:rsid w:val="007A24C0"/>
    <w:rsid w:val="007A3F86"/>
    <w:rsid w:val="007A62A4"/>
    <w:rsid w:val="007B0EB2"/>
    <w:rsid w:val="007B2553"/>
    <w:rsid w:val="007B373E"/>
    <w:rsid w:val="007B46EB"/>
    <w:rsid w:val="007B6CD5"/>
    <w:rsid w:val="007C0F3D"/>
    <w:rsid w:val="007C3F7A"/>
    <w:rsid w:val="007C4D80"/>
    <w:rsid w:val="007C5F09"/>
    <w:rsid w:val="007D1A71"/>
    <w:rsid w:val="007D256E"/>
    <w:rsid w:val="007D6257"/>
    <w:rsid w:val="007D6F98"/>
    <w:rsid w:val="007D713C"/>
    <w:rsid w:val="007E0FEE"/>
    <w:rsid w:val="007E11B1"/>
    <w:rsid w:val="007E2A4D"/>
    <w:rsid w:val="007E3822"/>
    <w:rsid w:val="007E7023"/>
    <w:rsid w:val="007F58EF"/>
    <w:rsid w:val="007F7870"/>
    <w:rsid w:val="0080002E"/>
    <w:rsid w:val="00800925"/>
    <w:rsid w:val="0080245B"/>
    <w:rsid w:val="008036CE"/>
    <w:rsid w:val="0080456E"/>
    <w:rsid w:val="00806C22"/>
    <w:rsid w:val="008102A8"/>
    <w:rsid w:val="00810B6F"/>
    <w:rsid w:val="00810BEC"/>
    <w:rsid w:val="00811379"/>
    <w:rsid w:val="0081427F"/>
    <w:rsid w:val="00814FE8"/>
    <w:rsid w:val="00817C14"/>
    <w:rsid w:val="00822CE0"/>
    <w:rsid w:val="00823575"/>
    <w:rsid w:val="008241D0"/>
    <w:rsid w:val="00826537"/>
    <w:rsid w:val="00826DE9"/>
    <w:rsid w:val="008331A0"/>
    <w:rsid w:val="00841AB1"/>
    <w:rsid w:val="0084400F"/>
    <w:rsid w:val="008469A3"/>
    <w:rsid w:val="00851C20"/>
    <w:rsid w:val="0085204C"/>
    <w:rsid w:val="00865BAF"/>
    <w:rsid w:val="00873659"/>
    <w:rsid w:val="0087469C"/>
    <w:rsid w:val="00880320"/>
    <w:rsid w:val="00891442"/>
    <w:rsid w:val="00894F39"/>
    <w:rsid w:val="00897484"/>
    <w:rsid w:val="008A0743"/>
    <w:rsid w:val="008A5108"/>
    <w:rsid w:val="008A7D46"/>
    <w:rsid w:val="008B2DC8"/>
    <w:rsid w:val="008B3ADC"/>
    <w:rsid w:val="008B3B20"/>
    <w:rsid w:val="008B4A5D"/>
    <w:rsid w:val="008B522C"/>
    <w:rsid w:val="008B7876"/>
    <w:rsid w:val="008C0E99"/>
    <w:rsid w:val="008C110B"/>
    <w:rsid w:val="008C32FB"/>
    <w:rsid w:val="008C4460"/>
    <w:rsid w:val="008C68F1"/>
    <w:rsid w:val="008D389B"/>
    <w:rsid w:val="008D3FD8"/>
    <w:rsid w:val="008D479A"/>
    <w:rsid w:val="008E1508"/>
    <w:rsid w:val="008E689A"/>
    <w:rsid w:val="008E712C"/>
    <w:rsid w:val="008F0F22"/>
    <w:rsid w:val="008F4AD9"/>
    <w:rsid w:val="008F7C8E"/>
    <w:rsid w:val="00901A59"/>
    <w:rsid w:val="0090419C"/>
    <w:rsid w:val="00904C00"/>
    <w:rsid w:val="00906E02"/>
    <w:rsid w:val="00907A1D"/>
    <w:rsid w:val="00914E78"/>
    <w:rsid w:val="009168E0"/>
    <w:rsid w:val="00921803"/>
    <w:rsid w:val="0092391A"/>
    <w:rsid w:val="00924CC6"/>
    <w:rsid w:val="00924F68"/>
    <w:rsid w:val="00926503"/>
    <w:rsid w:val="00927106"/>
    <w:rsid w:val="009303A1"/>
    <w:rsid w:val="009317EF"/>
    <w:rsid w:val="00937B20"/>
    <w:rsid w:val="00946CD3"/>
    <w:rsid w:val="0094754E"/>
    <w:rsid w:val="00947F77"/>
    <w:rsid w:val="00951383"/>
    <w:rsid w:val="00953857"/>
    <w:rsid w:val="0095793D"/>
    <w:rsid w:val="00962244"/>
    <w:rsid w:val="0096601A"/>
    <w:rsid w:val="009726D8"/>
    <w:rsid w:val="00973A7A"/>
    <w:rsid w:val="00973DCE"/>
    <w:rsid w:val="00973F4A"/>
    <w:rsid w:val="00974990"/>
    <w:rsid w:val="00974C60"/>
    <w:rsid w:val="00977127"/>
    <w:rsid w:val="00981863"/>
    <w:rsid w:val="00983F6A"/>
    <w:rsid w:val="00986E3B"/>
    <w:rsid w:val="009944E9"/>
    <w:rsid w:val="00997CDD"/>
    <w:rsid w:val="009A39AB"/>
    <w:rsid w:val="009A5061"/>
    <w:rsid w:val="009A559A"/>
    <w:rsid w:val="009A565B"/>
    <w:rsid w:val="009A6970"/>
    <w:rsid w:val="009B04EF"/>
    <w:rsid w:val="009B444B"/>
    <w:rsid w:val="009B4664"/>
    <w:rsid w:val="009B4F60"/>
    <w:rsid w:val="009B6FF8"/>
    <w:rsid w:val="009C3035"/>
    <w:rsid w:val="009C367B"/>
    <w:rsid w:val="009C6580"/>
    <w:rsid w:val="009C76D9"/>
    <w:rsid w:val="009C7BF5"/>
    <w:rsid w:val="009D0797"/>
    <w:rsid w:val="009D0A5C"/>
    <w:rsid w:val="009D264C"/>
    <w:rsid w:val="009D4D71"/>
    <w:rsid w:val="009D4EC0"/>
    <w:rsid w:val="009E2B15"/>
    <w:rsid w:val="009E4263"/>
    <w:rsid w:val="009E5726"/>
    <w:rsid w:val="009E70A5"/>
    <w:rsid w:val="009E771F"/>
    <w:rsid w:val="009F421C"/>
    <w:rsid w:val="009F5037"/>
    <w:rsid w:val="009F720E"/>
    <w:rsid w:val="009F76DB"/>
    <w:rsid w:val="00A0161E"/>
    <w:rsid w:val="00A027B2"/>
    <w:rsid w:val="00A051B9"/>
    <w:rsid w:val="00A11020"/>
    <w:rsid w:val="00A11906"/>
    <w:rsid w:val="00A14285"/>
    <w:rsid w:val="00A205C3"/>
    <w:rsid w:val="00A21A66"/>
    <w:rsid w:val="00A22904"/>
    <w:rsid w:val="00A24C9D"/>
    <w:rsid w:val="00A25CB4"/>
    <w:rsid w:val="00A25E43"/>
    <w:rsid w:val="00A270D9"/>
    <w:rsid w:val="00A32C3B"/>
    <w:rsid w:val="00A37E5E"/>
    <w:rsid w:val="00A4350E"/>
    <w:rsid w:val="00A44C41"/>
    <w:rsid w:val="00A45F4F"/>
    <w:rsid w:val="00A46257"/>
    <w:rsid w:val="00A46D81"/>
    <w:rsid w:val="00A55FBB"/>
    <w:rsid w:val="00A56915"/>
    <w:rsid w:val="00A600A9"/>
    <w:rsid w:val="00A62865"/>
    <w:rsid w:val="00A64EBA"/>
    <w:rsid w:val="00A70448"/>
    <w:rsid w:val="00A71760"/>
    <w:rsid w:val="00A730BE"/>
    <w:rsid w:val="00A77AF1"/>
    <w:rsid w:val="00A81FDD"/>
    <w:rsid w:val="00A8368E"/>
    <w:rsid w:val="00A8443B"/>
    <w:rsid w:val="00A87D5F"/>
    <w:rsid w:val="00A91BAA"/>
    <w:rsid w:val="00A95BBE"/>
    <w:rsid w:val="00A96788"/>
    <w:rsid w:val="00AA189A"/>
    <w:rsid w:val="00AA4263"/>
    <w:rsid w:val="00AA55B7"/>
    <w:rsid w:val="00AA5B9E"/>
    <w:rsid w:val="00AA62E7"/>
    <w:rsid w:val="00AA7F22"/>
    <w:rsid w:val="00AB01C5"/>
    <w:rsid w:val="00AB1E11"/>
    <w:rsid w:val="00AB2407"/>
    <w:rsid w:val="00AB31C1"/>
    <w:rsid w:val="00AB3EEF"/>
    <w:rsid w:val="00AB53DF"/>
    <w:rsid w:val="00AB5DAA"/>
    <w:rsid w:val="00AB5E95"/>
    <w:rsid w:val="00AB699E"/>
    <w:rsid w:val="00AC0CCB"/>
    <w:rsid w:val="00AC1591"/>
    <w:rsid w:val="00AC2363"/>
    <w:rsid w:val="00AC285A"/>
    <w:rsid w:val="00AC2BD8"/>
    <w:rsid w:val="00AC2D40"/>
    <w:rsid w:val="00AC3A24"/>
    <w:rsid w:val="00AC7B53"/>
    <w:rsid w:val="00AD1F3E"/>
    <w:rsid w:val="00AD4B24"/>
    <w:rsid w:val="00AD552F"/>
    <w:rsid w:val="00AD567E"/>
    <w:rsid w:val="00AE4684"/>
    <w:rsid w:val="00AE4F0F"/>
    <w:rsid w:val="00AE5B5C"/>
    <w:rsid w:val="00AE5FD4"/>
    <w:rsid w:val="00AF430B"/>
    <w:rsid w:val="00B02007"/>
    <w:rsid w:val="00B0355F"/>
    <w:rsid w:val="00B05885"/>
    <w:rsid w:val="00B07E5C"/>
    <w:rsid w:val="00B106C0"/>
    <w:rsid w:val="00B143D1"/>
    <w:rsid w:val="00B14AD1"/>
    <w:rsid w:val="00B14FE9"/>
    <w:rsid w:val="00B20D74"/>
    <w:rsid w:val="00B25403"/>
    <w:rsid w:val="00B3071B"/>
    <w:rsid w:val="00B30D0E"/>
    <w:rsid w:val="00B31722"/>
    <w:rsid w:val="00B34A22"/>
    <w:rsid w:val="00B44CFF"/>
    <w:rsid w:val="00B44DC8"/>
    <w:rsid w:val="00B44EC5"/>
    <w:rsid w:val="00B466A7"/>
    <w:rsid w:val="00B46DDD"/>
    <w:rsid w:val="00B5014D"/>
    <w:rsid w:val="00B53730"/>
    <w:rsid w:val="00B53F1C"/>
    <w:rsid w:val="00B579F9"/>
    <w:rsid w:val="00B616DE"/>
    <w:rsid w:val="00B63DE5"/>
    <w:rsid w:val="00B65889"/>
    <w:rsid w:val="00B65C76"/>
    <w:rsid w:val="00B6644E"/>
    <w:rsid w:val="00B72DB6"/>
    <w:rsid w:val="00B74A2F"/>
    <w:rsid w:val="00B811F7"/>
    <w:rsid w:val="00B83B22"/>
    <w:rsid w:val="00B85709"/>
    <w:rsid w:val="00B93676"/>
    <w:rsid w:val="00B96F7C"/>
    <w:rsid w:val="00B97F24"/>
    <w:rsid w:val="00BA0AC7"/>
    <w:rsid w:val="00BA5DC6"/>
    <w:rsid w:val="00BA6196"/>
    <w:rsid w:val="00BA6761"/>
    <w:rsid w:val="00BB2300"/>
    <w:rsid w:val="00BB56A3"/>
    <w:rsid w:val="00BC0319"/>
    <w:rsid w:val="00BC0E0B"/>
    <w:rsid w:val="00BC6D8C"/>
    <w:rsid w:val="00BC7C5E"/>
    <w:rsid w:val="00BD0815"/>
    <w:rsid w:val="00BD44C0"/>
    <w:rsid w:val="00BE1970"/>
    <w:rsid w:val="00BE1A4B"/>
    <w:rsid w:val="00BE71CA"/>
    <w:rsid w:val="00BE7DBD"/>
    <w:rsid w:val="00BF2A44"/>
    <w:rsid w:val="00BF55D6"/>
    <w:rsid w:val="00BF6B03"/>
    <w:rsid w:val="00C01418"/>
    <w:rsid w:val="00C0237B"/>
    <w:rsid w:val="00C066E8"/>
    <w:rsid w:val="00C12332"/>
    <w:rsid w:val="00C172A6"/>
    <w:rsid w:val="00C2066F"/>
    <w:rsid w:val="00C275B6"/>
    <w:rsid w:val="00C34006"/>
    <w:rsid w:val="00C36026"/>
    <w:rsid w:val="00C40240"/>
    <w:rsid w:val="00C426B1"/>
    <w:rsid w:val="00C5107A"/>
    <w:rsid w:val="00C52E42"/>
    <w:rsid w:val="00C52E5E"/>
    <w:rsid w:val="00C5476D"/>
    <w:rsid w:val="00C6104C"/>
    <w:rsid w:val="00C64F4D"/>
    <w:rsid w:val="00C66160"/>
    <w:rsid w:val="00C71216"/>
    <w:rsid w:val="00C7212D"/>
    <w:rsid w:val="00C721AC"/>
    <w:rsid w:val="00C731F9"/>
    <w:rsid w:val="00C77566"/>
    <w:rsid w:val="00C77B3F"/>
    <w:rsid w:val="00C77CB9"/>
    <w:rsid w:val="00C845DA"/>
    <w:rsid w:val="00C87777"/>
    <w:rsid w:val="00C90D6A"/>
    <w:rsid w:val="00C92C69"/>
    <w:rsid w:val="00C976C8"/>
    <w:rsid w:val="00CA247E"/>
    <w:rsid w:val="00CA50BB"/>
    <w:rsid w:val="00CB6548"/>
    <w:rsid w:val="00CC003D"/>
    <w:rsid w:val="00CC15C0"/>
    <w:rsid w:val="00CC35C6"/>
    <w:rsid w:val="00CC4538"/>
    <w:rsid w:val="00CC72B6"/>
    <w:rsid w:val="00CD70B8"/>
    <w:rsid w:val="00CF4089"/>
    <w:rsid w:val="00CF41C1"/>
    <w:rsid w:val="00CF56D2"/>
    <w:rsid w:val="00D0202A"/>
    <w:rsid w:val="00D020A1"/>
    <w:rsid w:val="00D0218D"/>
    <w:rsid w:val="00D022BC"/>
    <w:rsid w:val="00D13064"/>
    <w:rsid w:val="00D15D28"/>
    <w:rsid w:val="00D16AA3"/>
    <w:rsid w:val="00D23692"/>
    <w:rsid w:val="00D2410E"/>
    <w:rsid w:val="00D25FB5"/>
    <w:rsid w:val="00D273EE"/>
    <w:rsid w:val="00D31E23"/>
    <w:rsid w:val="00D358A7"/>
    <w:rsid w:val="00D360AE"/>
    <w:rsid w:val="00D36B0D"/>
    <w:rsid w:val="00D408B2"/>
    <w:rsid w:val="00D420E7"/>
    <w:rsid w:val="00D44223"/>
    <w:rsid w:val="00D4643C"/>
    <w:rsid w:val="00D554E4"/>
    <w:rsid w:val="00D565C7"/>
    <w:rsid w:val="00D57E8F"/>
    <w:rsid w:val="00D66019"/>
    <w:rsid w:val="00D66380"/>
    <w:rsid w:val="00D701F7"/>
    <w:rsid w:val="00D727CD"/>
    <w:rsid w:val="00D72F26"/>
    <w:rsid w:val="00D75A7B"/>
    <w:rsid w:val="00D7762F"/>
    <w:rsid w:val="00D80426"/>
    <w:rsid w:val="00D80F71"/>
    <w:rsid w:val="00D96947"/>
    <w:rsid w:val="00DA2529"/>
    <w:rsid w:val="00DA4A32"/>
    <w:rsid w:val="00DA556C"/>
    <w:rsid w:val="00DA771E"/>
    <w:rsid w:val="00DB0403"/>
    <w:rsid w:val="00DB130A"/>
    <w:rsid w:val="00DB2EBB"/>
    <w:rsid w:val="00DB668D"/>
    <w:rsid w:val="00DC10A1"/>
    <w:rsid w:val="00DC4C1C"/>
    <w:rsid w:val="00DC5BF4"/>
    <w:rsid w:val="00DC5CA8"/>
    <w:rsid w:val="00DC655F"/>
    <w:rsid w:val="00DC73A1"/>
    <w:rsid w:val="00DD0B59"/>
    <w:rsid w:val="00DD1844"/>
    <w:rsid w:val="00DD282A"/>
    <w:rsid w:val="00DD7EBD"/>
    <w:rsid w:val="00DE01F9"/>
    <w:rsid w:val="00DE0FC3"/>
    <w:rsid w:val="00DE1C4D"/>
    <w:rsid w:val="00DF1EF9"/>
    <w:rsid w:val="00DF3921"/>
    <w:rsid w:val="00DF4F11"/>
    <w:rsid w:val="00DF539E"/>
    <w:rsid w:val="00DF62B6"/>
    <w:rsid w:val="00E00162"/>
    <w:rsid w:val="00E02212"/>
    <w:rsid w:val="00E04A6B"/>
    <w:rsid w:val="00E07225"/>
    <w:rsid w:val="00E07952"/>
    <w:rsid w:val="00E10244"/>
    <w:rsid w:val="00E1178F"/>
    <w:rsid w:val="00E12E18"/>
    <w:rsid w:val="00E15EBE"/>
    <w:rsid w:val="00E16B3D"/>
    <w:rsid w:val="00E20326"/>
    <w:rsid w:val="00E233EB"/>
    <w:rsid w:val="00E25F94"/>
    <w:rsid w:val="00E35FBC"/>
    <w:rsid w:val="00E368A1"/>
    <w:rsid w:val="00E410AC"/>
    <w:rsid w:val="00E41A29"/>
    <w:rsid w:val="00E448F9"/>
    <w:rsid w:val="00E47EAC"/>
    <w:rsid w:val="00E523B0"/>
    <w:rsid w:val="00E5409F"/>
    <w:rsid w:val="00E57D9D"/>
    <w:rsid w:val="00E620B7"/>
    <w:rsid w:val="00E646F0"/>
    <w:rsid w:val="00E677DD"/>
    <w:rsid w:val="00E72401"/>
    <w:rsid w:val="00E72E3F"/>
    <w:rsid w:val="00E73408"/>
    <w:rsid w:val="00E767E6"/>
    <w:rsid w:val="00E8558D"/>
    <w:rsid w:val="00E91A2F"/>
    <w:rsid w:val="00E934CE"/>
    <w:rsid w:val="00E94A0E"/>
    <w:rsid w:val="00EA0964"/>
    <w:rsid w:val="00EA117B"/>
    <w:rsid w:val="00EA179D"/>
    <w:rsid w:val="00EA1B1B"/>
    <w:rsid w:val="00EA3D02"/>
    <w:rsid w:val="00EA6C56"/>
    <w:rsid w:val="00EA72A2"/>
    <w:rsid w:val="00EA7ACA"/>
    <w:rsid w:val="00EA7D9D"/>
    <w:rsid w:val="00EB01ED"/>
    <w:rsid w:val="00EB1A3A"/>
    <w:rsid w:val="00EB261C"/>
    <w:rsid w:val="00EB3C7B"/>
    <w:rsid w:val="00EC0677"/>
    <w:rsid w:val="00EC5992"/>
    <w:rsid w:val="00EC67FB"/>
    <w:rsid w:val="00ED0452"/>
    <w:rsid w:val="00ED397A"/>
    <w:rsid w:val="00ED7D4B"/>
    <w:rsid w:val="00EE20E1"/>
    <w:rsid w:val="00EE23EF"/>
    <w:rsid w:val="00EE6488"/>
    <w:rsid w:val="00EF2209"/>
    <w:rsid w:val="00EF2825"/>
    <w:rsid w:val="00EF316C"/>
    <w:rsid w:val="00EF677A"/>
    <w:rsid w:val="00F0056C"/>
    <w:rsid w:val="00F01443"/>
    <w:rsid w:val="00F021FA"/>
    <w:rsid w:val="00F05DE9"/>
    <w:rsid w:val="00F06629"/>
    <w:rsid w:val="00F12DE7"/>
    <w:rsid w:val="00F16BC5"/>
    <w:rsid w:val="00F21509"/>
    <w:rsid w:val="00F231B7"/>
    <w:rsid w:val="00F30416"/>
    <w:rsid w:val="00F3287A"/>
    <w:rsid w:val="00F350A5"/>
    <w:rsid w:val="00F3635F"/>
    <w:rsid w:val="00F411B9"/>
    <w:rsid w:val="00F41E5A"/>
    <w:rsid w:val="00F43689"/>
    <w:rsid w:val="00F45D7E"/>
    <w:rsid w:val="00F5116E"/>
    <w:rsid w:val="00F531E9"/>
    <w:rsid w:val="00F61D87"/>
    <w:rsid w:val="00F62E97"/>
    <w:rsid w:val="00F632E6"/>
    <w:rsid w:val="00F64209"/>
    <w:rsid w:val="00F71211"/>
    <w:rsid w:val="00F72E5A"/>
    <w:rsid w:val="00F74366"/>
    <w:rsid w:val="00F75D7A"/>
    <w:rsid w:val="00F768AE"/>
    <w:rsid w:val="00F80490"/>
    <w:rsid w:val="00F8458B"/>
    <w:rsid w:val="00F86EE6"/>
    <w:rsid w:val="00F87F38"/>
    <w:rsid w:val="00F90537"/>
    <w:rsid w:val="00F90A96"/>
    <w:rsid w:val="00F90ECF"/>
    <w:rsid w:val="00F93BF5"/>
    <w:rsid w:val="00F946CF"/>
    <w:rsid w:val="00F95069"/>
    <w:rsid w:val="00F95E68"/>
    <w:rsid w:val="00F9660A"/>
    <w:rsid w:val="00F975D7"/>
    <w:rsid w:val="00FA0059"/>
    <w:rsid w:val="00FA4A61"/>
    <w:rsid w:val="00FB2AC6"/>
    <w:rsid w:val="00FB37C4"/>
    <w:rsid w:val="00FB5CF1"/>
    <w:rsid w:val="00FB74A4"/>
    <w:rsid w:val="00FC026F"/>
    <w:rsid w:val="00FC1683"/>
    <w:rsid w:val="00FC2140"/>
    <w:rsid w:val="00FD13F7"/>
    <w:rsid w:val="00FD1E71"/>
    <w:rsid w:val="00FD3581"/>
    <w:rsid w:val="00FD6332"/>
    <w:rsid w:val="00FD6CD4"/>
    <w:rsid w:val="00FE3949"/>
    <w:rsid w:val="00FE6151"/>
    <w:rsid w:val="00FE6200"/>
    <w:rsid w:val="00FF0280"/>
    <w:rsid w:val="00FF0BFA"/>
    <w:rsid w:val="00FF2D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89A"/>
    <w:pPr>
      <w:widowControl w:val="0"/>
    </w:pPr>
    <w:rPr>
      <w:snapToGrid w:val="0"/>
      <w:kern w:val="28"/>
      <w:sz w:val="22"/>
    </w:rPr>
  </w:style>
  <w:style w:type="paragraph" w:styleId="Heading1">
    <w:name w:val="heading 1"/>
    <w:basedOn w:val="Normal"/>
    <w:next w:val="ParaNum"/>
    <w:qFormat/>
    <w:rsid w:val="008E689A"/>
    <w:pPr>
      <w:keepNext/>
      <w:numPr>
        <w:numId w:val="24"/>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E689A"/>
    <w:pPr>
      <w:keepNext/>
      <w:numPr>
        <w:ilvl w:val="1"/>
        <w:numId w:val="24"/>
      </w:numPr>
      <w:spacing w:after="120"/>
      <w:outlineLvl w:val="1"/>
    </w:pPr>
    <w:rPr>
      <w:b/>
    </w:rPr>
  </w:style>
  <w:style w:type="paragraph" w:styleId="Heading3">
    <w:name w:val="heading 3"/>
    <w:basedOn w:val="Normal"/>
    <w:next w:val="ParaNum"/>
    <w:qFormat/>
    <w:rsid w:val="008E689A"/>
    <w:pPr>
      <w:keepNext/>
      <w:numPr>
        <w:ilvl w:val="2"/>
        <w:numId w:val="24"/>
      </w:numPr>
      <w:tabs>
        <w:tab w:val="left" w:pos="2160"/>
      </w:tabs>
      <w:spacing w:after="120"/>
      <w:outlineLvl w:val="2"/>
    </w:pPr>
    <w:rPr>
      <w:b/>
    </w:rPr>
  </w:style>
  <w:style w:type="paragraph" w:styleId="Heading4">
    <w:name w:val="heading 4"/>
    <w:basedOn w:val="Normal"/>
    <w:next w:val="ParaNum"/>
    <w:qFormat/>
    <w:rsid w:val="008E689A"/>
    <w:pPr>
      <w:keepNext/>
      <w:numPr>
        <w:ilvl w:val="3"/>
        <w:numId w:val="24"/>
      </w:numPr>
      <w:tabs>
        <w:tab w:val="left" w:pos="2880"/>
      </w:tabs>
      <w:spacing w:after="120"/>
      <w:outlineLvl w:val="3"/>
    </w:pPr>
    <w:rPr>
      <w:b/>
    </w:rPr>
  </w:style>
  <w:style w:type="paragraph" w:styleId="Heading5">
    <w:name w:val="heading 5"/>
    <w:basedOn w:val="Normal"/>
    <w:next w:val="ParaNum"/>
    <w:qFormat/>
    <w:rsid w:val="008E689A"/>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8E689A"/>
    <w:pPr>
      <w:numPr>
        <w:ilvl w:val="5"/>
        <w:numId w:val="24"/>
      </w:numPr>
      <w:tabs>
        <w:tab w:val="left" w:pos="4320"/>
      </w:tabs>
      <w:spacing w:after="120"/>
      <w:outlineLvl w:val="5"/>
    </w:pPr>
    <w:rPr>
      <w:b/>
    </w:rPr>
  </w:style>
  <w:style w:type="paragraph" w:styleId="Heading7">
    <w:name w:val="heading 7"/>
    <w:basedOn w:val="Normal"/>
    <w:next w:val="ParaNum"/>
    <w:qFormat/>
    <w:rsid w:val="008E689A"/>
    <w:pPr>
      <w:numPr>
        <w:ilvl w:val="6"/>
        <w:numId w:val="24"/>
      </w:numPr>
      <w:tabs>
        <w:tab w:val="left" w:pos="5040"/>
      </w:tabs>
      <w:spacing w:after="120"/>
      <w:outlineLvl w:val="6"/>
    </w:pPr>
    <w:rPr>
      <w:b/>
    </w:rPr>
  </w:style>
  <w:style w:type="paragraph" w:styleId="Heading8">
    <w:name w:val="heading 8"/>
    <w:basedOn w:val="Normal"/>
    <w:next w:val="ParaNum"/>
    <w:qFormat/>
    <w:rsid w:val="008E689A"/>
    <w:pPr>
      <w:numPr>
        <w:ilvl w:val="7"/>
        <w:numId w:val="24"/>
      </w:numPr>
      <w:tabs>
        <w:tab w:val="left" w:pos="5760"/>
      </w:tabs>
      <w:spacing w:after="120"/>
      <w:outlineLvl w:val="7"/>
    </w:pPr>
    <w:rPr>
      <w:b/>
    </w:rPr>
  </w:style>
  <w:style w:type="paragraph" w:styleId="Heading9">
    <w:name w:val="heading 9"/>
    <w:basedOn w:val="Normal"/>
    <w:next w:val="ParaNum"/>
    <w:qFormat/>
    <w:rsid w:val="008E689A"/>
    <w:pPr>
      <w:numPr>
        <w:ilvl w:val="8"/>
        <w:numId w:val="24"/>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8E689A"/>
    <w:pPr>
      <w:numPr>
        <w:numId w:val="25"/>
      </w:numPr>
      <w:tabs>
        <w:tab w:val="clear" w:pos="1080"/>
        <w:tab w:val="num" w:pos="1440"/>
      </w:tabs>
      <w:spacing w:after="120"/>
    </w:pPr>
  </w:style>
  <w:style w:type="paragraph" w:styleId="EndnoteText">
    <w:name w:val="endnote text"/>
    <w:basedOn w:val="Normal"/>
    <w:semiHidden/>
    <w:rsid w:val="008E689A"/>
    <w:rPr>
      <w:sz w:val="20"/>
    </w:rPr>
  </w:style>
  <w:style w:type="character" w:styleId="EndnoteReference">
    <w:name w:val="endnote reference"/>
    <w:semiHidden/>
    <w:rsid w:val="008E689A"/>
    <w:rPr>
      <w:vertAlign w:val="superscript"/>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rsid w:val="008E689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8E689A"/>
    <w:rPr>
      <w:rFonts w:ascii="Times New Roman" w:hAnsi="Times New Roman"/>
      <w:dstrike w:val="0"/>
      <w:color w:val="auto"/>
      <w:sz w:val="20"/>
      <w:vertAlign w:val="superscript"/>
    </w:rPr>
  </w:style>
  <w:style w:type="paragraph" w:styleId="TOC1">
    <w:name w:val="toc 1"/>
    <w:basedOn w:val="Normal"/>
    <w:next w:val="Normal"/>
    <w:semiHidden/>
    <w:rsid w:val="008E689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E689A"/>
    <w:pPr>
      <w:tabs>
        <w:tab w:val="left" w:pos="720"/>
        <w:tab w:val="right" w:leader="dot" w:pos="9360"/>
      </w:tabs>
      <w:suppressAutoHyphens/>
      <w:ind w:left="720" w:right="720" w:hanging="360"/>
    </w:pPr>
    <w:rPr>
      <w:noProof/>
    </w:rPr>
  </w:style>
  <w:style w:type="paragraph" w:styleId="TOC3">
    <w:name w:val="toc 3"/>
    <w:basedOn w:val="Normal"/>
    <w:next w:val="Normal"/>
    <w:semiHidden/>
    <w:rsid w:val="008E689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E689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E689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E689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E689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E689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E689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E689A"/>
    <w:pPr>
      <w:tabs>
        <w:tab w:val="right" w:pos="9360"/>
      </w:tabs>
      <w:suppressAutoHyphens/>
    </w:pPr>
  </w:style>
  <w:style w:type="character" w:customStyle="1" w:styleId="EquationCaption">
    <w:name w:val="_Equation Caption"/>
    <w:rsid w:val="008E689A"/>
  </w:style>
  <w:style w:type="paragraph" w:styleId="Header">
    <w:name w:val="header"/>
    <w:basedOn w:val="Normal"/>
    <w:link w:val="HeaderChar"/>
    <w:autoRedefine/>
    <w:uiPriority w:val="99"/>
    <w:rsid w:val="008E689A"/>
    <w:pPr>
      <w:tabs>
        <w:tab w:val="center" w:pos="4680"/>
        <w:tab w:val="right" w:pos="9360"/>
      </w:tabs>
    </w:pPr>
    <w:rPr>
      <w:b/>
    </w:rPr>
  </w:style>
  <w:style w:type="paragraph" w:styleId="Footer">
    <w:name w:val="footer"/>
    <w:basedOn w:val="Normal"/>
    <w:rsid w:val="008E689A"/>
    <w:pPr>
      <w:tabs>
        <w:tab w:val="center" w:pos="4320"/>
        <w:tab w:val="right" w:pos="8640"/>
      </w:tabs>
    </w:pPr>
  </w:style>
  <w:style w:type="character" w:styleId="PageNumber">
    <w:name w:val="page number"/>
    <w:basedOn w:val="DefaultParagraphFont"/>
    <w:rsid w:val="008E689A"/>
  </w:style>
  <w:style w:type="paragraph" w:styleId="BlockText">
    <w:name w:val="Block Text"/>
    <w:basedOn w:val="Normal"/>
    <w:rsid w:val="008E689A"/>
    <w:pPr>
      <w:spacing w:after="240"/>
      <w:ind w:left="1440" w:right="1440"/>
    </w:pPr>
  </w:style>
  <w:style w:type="paragraph" w:customStyle="1" w:styleId="Paratitle">
    <w:name w:val="Para title"/>
    <w:basedOn w:val="Normal"/>
    <w:rsid w:val="008E689A"/>
    <w:pPr>
      <w:tabs>
        <w:tab w:val="center" w:pos="9270"/>
      </w:tabs>
      <w:spacing w:after="240"/>
    </w:pPr>
    <w:rPr>
      <w:spacing w:val="-2"/>
    </w:rPr>
  </w:style>
  <w:style w:type="paragraph" w:customStyle="1" w:styleId="Bullet">
    <w:name w:val="Bullet"/>
    <w:basedOn w:val="Normal"/>
    <w:rsid w:val="008E689A"/>
    <w:pPr>
      <w:tabs>
        <w:tab w:val="left" w:pos="2160"/>
      </w:tabs>
      <w:spacing w:after="220"/>
      <w:ind w:left="2160" w:hanging="720"/>
    </w:pPr>
  </w:style>
  <w:style w:type="paragraph" w:customStyle="1" w:styleId="TableFormat">
    <w:name w:val="TableFormat"/>
    <w:basedOn w:val="Bullet"/>
    <w:rsid w:val="008E689A"/>
    <w:pPr>
      <w:tabs>
        <w:tab w:val="clear" w:pos="2160"/>
        <w:tab w:val="left" w:pos="5040"/>
      </w:tabs>
      <w:ind w:left="5040" w:hanging="3600"/>
    </w:pPr>
  </w:style>
  <w:style w:type="paragraph" w:customStyle="1" w:styleId="TOCTitle">
    <w:name w:val="TOC Title"/>
    <w:basedOn w:val="Normal"/>
    <w:rsid w:val="008E689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E689A"/>
    <w:pPr>
      <w:jc w:val="center"/>
    </w:pPr>
    <w:rPr>
      <w:rFonts w:ascii="Times New Roman Bold" w:hAnsi="Times New Roman Bold"/>
      <w:b/>
      <w:bCs/>
      <w:caps/>
      <w:szCs w:val="22"/>
    </w:rPr>
  </w:style>
  <w:style w:type="character" w:styleId="Hyperlink">
    <w:name w:val="Hyperlink"/>
    <w:rsid w:val="008E689A"/>
    <w:rPr>
      <w:color w:val="0000FF"/>
      <w:u w:val="single"/>
    </w:rPr>
  </w:style>
  <w:style w:type="paragraph" w:customStyle="1" w:styleId="StyleNumbered">
    <w:name w:val="Style Numbered"/>
    <w:basedOn w:val="Normal"/>
    <w:rsid w:val="00AD567E"/>
    <w:pPr>
      <w:numPr>
        <w:numId w:val="7"/>
      </w:numPr>
      <w:suppressAutoHyphens/>
      <w:spacing w:after="220"/>
      <w:jc w:val="both"/>
    </w:pPr>
  </w:style>
  <w:style w:type="paragraph" w:customStyle="1" w:styleId="Style30">
    <w:name w:val="Style3"/>
    <w:basedOn w:val="ParaNum"/>
    <w:rsid w:val="005B6E32"/>
    <w:pPr>
      <w:numPr>
        <w:numId w:val="0"/>
      </w:numPr>
      <w:tabs>
        <w:tab w:val="left" w:pos="720"/>
        <w:tab w:val="left" w:pos="1440"/>
      </w:tabs>
      <w:spacing w:after="220"/>
      <w:ind w:firstLine="720"/>
    </w:pPr>
  </w:style>
  <w:style w:type="paragraph" w:customStyle="1" w:styleId="StyleParaNumLeft">
    <w:name w:val="Style ParaNum + Left"/>
    <w:basedOn w:val="ParaNum"/>
    <w:rsid w:val="005B6E32"/>
    <w:pPr>
      <w:numPr>
        <w:numId w:val="0"/>
      </w:numPr>
      <w:tabs>
        <w:tab w:val="left" w:pos="1080"/>
        <w:tab w:val="left" w:pos="1440"/>
        <w:tab w:val="left" w:pos="1800"/>
      </w:tabs>
      <w:spacing w:after="220"/>
    </w:pPr>
  </w:style>
  <w:style w:type="character" w:styleId="CommentReference">
    <w:name w:val="annotation reference"/>
    <w:basedOn w:val="DefaultParagraphFont"/>
    <w:rsid w:val="00E12E18"/>
    <w:rPr>
      <w:sz w:val="16"/>
      <w:szCs w:val="16"/>
    </w:rPr>
  </w:style>
  <w:style w:type="paragraph" w:styleId="CommentText">
    <w:name w:val="annotation text"/>
    <w:basedOn w:val="Normal"/>
    <w:link w:val="CommentTextChar"/>
    <w:rsid w:val="00E12E18"/>
    <w:rPr>
      <w:sz w:val="20"/>
    </w:rPr>
  </w:style>
  <w:style w:type="character" w:customStyle="1" w:styleId="CommentTextChar">
    <w:name w:val="Comment Text Char"/>
    <w:basedOn w:val="DefaultParagraphFont"/>
    <w:link w:val="CommentText"/>
    <w:rsid w:val="00E12E18"/>
    <w:rPr>
      <w:snapToGrid w:val="0"/>
      <w:kern w:val="28"/>
    </w:rPr>
  </w:style>
  <w:style w:type="paragraph" w:styleId="CommentSubject">
    <w:name w:val="annotation subject"/>
    <w:basedOn w:val="CommentText"/>
    <w:next w:val="CommentText"/>
    <w:link w:val="CommentSubjectChar"/>
    <w:rsid w:val="00E12E18"/>
    <w:rPr>
      <w:b/>
      <w:bCs/>
    </w:rPr>
  </w:style>
  <w:style w:type="character" w:customStyle="1" w:styleId="CommentSubjectChar">
    <w:name w:val="Comment Subject Char"/>
    <w:basedOn w:val="CommentTextChar"/>
    <w:link w:val="CommentSubject"/>
    <w:rsid w:val="00E12E18"/>
    <w:rPr>
      <w:b/>
      <w:bCs/>
      <w:snapToGrid w:val="0"/>
      <w:kern w:val="28"/>
    </w:rPr>
  </w:style>
  <w:style w:type="paragraph" w:styleId="BalloonText">
    <w:name w:val="Balloon Text"/>
    <w:basedOn w:val="Normal"/>
    <w:link w:val="BalloonTextChar"/>
    <w:rsid w:val="00E12E18"/>
    <w:rPr>
      <w:rFonts w:ascii="Segoe UI" w:hAnsi="Segoe UI" w:cs="Segoe UI"/>
      <w:sz w:val="18"/>
      <w:szCs w:val="18"/>
    </w:rPr>
  </w:style>
  <w:style w:type="character" w:customStyle="1" w:styleId="BalloonTextChar">
    <w:name w:val="Balloon Text Char"/>
    <w:basedOn w:val="DefaultParagraphFont"/>
    <w:link w:val="BalloonText"/>
    <w:rsid w:val="00E12E18"/>
    <w:rPr>
      <w:rFonts w:ascii="Segoe UI" w:hAnsi="Segoe UI" w:cs="Segoe UI"/>
      <w:snapToGrid w:val="0"/>
      <w:kern w:val="28"/>
      <w:sz w:val="18"/>
      <w:szCs w:val="18"/>
    </w:rPr>
  </w:style>
  <w:style w:type="paragraph" w:styleId="Revision">
    <w:name w:val="Revision"/>
    <w:hidden/>
    <w:uiPriority w:val="99"/>
    <w:semiHidden/>
    <w:rsid w:val="00C066E8"/>
    <w:rPr>
      <w:snapToGrid w:val="0"/>
      <w:kern w:val="28"/>
      <w:sz w:val="22"/>
    </w:rPr>
  </w:style>
  <w:style w:type="paragraph" w:customStyle="1" w:styleId="Default">
    <w:name w:val="Default"/>
    <w:rsid w:val="006F43E2"/>
    <w:pPr>
      <w:autoSpaceDE w:val="0"/>
      <w:autoSpaceDN w:val="0"/>
      <w:adjustRightInd w:val="0"/>
    </w:pPr>
    <w:rPr>
      <w:color w:val="000000"/>
      <w:sz w:val="24"/>
      <w:szCs w:val="24"/>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link w:val="FootnoteText"/>
    <w:uiPriority w:val="99"/>
    <w:rsid w:val="008E689A"/>
  </w:style>
  <w:style w:type="character" w:styleId="FollowedHyperlink">
    <w:name w:val="FollowedHyperlink"/>
    <w:basedOn w:val="DefaultParagraphFont"/>
    <w:semiHidden/>
    <w:unhideWhenUsed/>
    <w:rsid w:val="00405784"/>
    <w:rPr>
      <w:color w:val="954F72" w:themeColor="followedHyperlink"/>
      <w:u w:val="single"/>
    </w:rPr>
  </w:style>
  <w:style w:type="character" w:customStyle="1" w:styleId="HeaderChar">
    <w:name w:val="Header Char"/>
    <w:basedOn w:val="DefaultParagraphFont"/>
    <w:link w:val="Header"/>
    <w:uiPriority w:val="99"/>
    <w:rsid w:val="003B2D3C"/>
    <w:rPr>
      <w:b/>
      <w:snapToGrid w:val="0"/>
      <w:kern w:val="28"/>
      <w:sz w:val="22"/>
    </w:rPr>
  </w:style>
  <w:style w:type="paragraph" w:styleId="ListParagraph">
    <w:name w:val="List Paragraph"/>
    <w:basedOn w:val="Normal"/>
    <w:uiPriority w:val="34"/>
    <w:qFormat/>
    <w:rsid w:val="008F4AD9"/>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 Id="rId7" Type="http://schemas.openxmlformats.org/officeDocument/2006/relationships/hyperlink" Target="https://www.itu.int/dms_pubrec/itu-r/rec/p/R-REC-P.2109-1-201908-I!!PDF-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