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F7AC2" w14:paraId="3CFC3DC6" w14:textId="77777777">
      <w:pPr>
        <w:jc w:val="center"/>
        <w:rPr>
          <w:b/>
        </w:rPr>
      </w:pPr>
      <w:r>
        <w:rPr>
          <w:rFonts w:ascii="Times New Roman Bold" w:hAnsi="Times New Roman Bold"/>
          <w:b/>
          <w:kern w:val="0"/>
          <w:szCs w:val="22"/>
        </w:rPr>
        <w:t>Before</w:t>
      </w:r>
      <w:r>
        <w:rPr>
          <w:b/>
        </w:rPr>
        <w:t xml:space="preserve"> the</w:t>
      </w:r>
    </w:p>
    <w:p w:rsidR="007F7AC2" w14:paraId="33DA97C4" w14:textId="77777777">
      <w:pPr>
        <w:pStyle w:val="StyleBoldCentered"/>
      </w:pPr>
      <w:r>
        <w:t>F</w:t>
      </w:r>
      <w:r>
        <w:rPr>
          <w:caps w:val="0"/>
        </w:rPr>
        <w:t>ederal Communications Commission</w:t>
      </w:r>
    </w:p>
    <w:p w:rsidR="007F7AC2" w14:paraId="63FD14F0" w14:textId="77777777">
      <w:pPr>
        <w:pStyle w:val="StyleBoldCentered"/>
      </w:pPr>
      <w:r>
        <w:rPr>
          <w:caps w:val="0"/>
        </w:rPr>
        <w:t>Washington, D.C. 20554</w:t>
      </w:r>
      <w:bookmarkStart w:id="0" w:name="_GoBack"/>
      <w:bookmarkEnd w:id="0"/>
    </w:p>
    <w:p w:rsidR="007F7AC2" w14:paraId="7F193A1D" w14:textId="77777777"/>
    <w:p w:rsidR="007F7AC2" w14:paraId="05D75F34" w14:textId="77777777"/>
    <w:tbl>
      <w:tblPr>
        <w:tblW w:w="0" w:type="auto"/>
        <w:tblLayout w:type="fixed"/>
        <w:tblLook w:val="0000"/>
      </w:tblPr>
      <w:tblGrid>
        <w:gridCol w:w="4698"/>
        <w:gridCol w:w="630"/>
        <w:gridCol w:w="4248"/>
      </w:tblGrid>
      <w:tr w14:paraId="58CC7745" w14:textId="77777777">
        <w:tblPrEx>
          <w:tblW w:w="0" w:type="auto"/>
          <w:tblLayout w:type="fixed"/>
          <w:tblLook w:val="0000"/>
        </w:tblPrEx>
        <w:tc>
          <w:tcPr>
            <w:tcW w:w="4698" w:type="dxa"/>
          </w:tcPr>
          <w:p w:rsidR="007F7AC2" w14:paraId="326BFA53" w14:textId="77777777">
            <w:pPr>
              <w:tabs>
                <w:tab w:val="center" w:pos="4680"/>
              </w:tabs>
              <w:suppressAutoHyphens/>
              <w:rPr>
                <w:spacing w:val="-2"/>
              </w:rPr>
            </w:pPr>
            <w:r>
              <w:rPr>
                <w:spacing w:val="-2"/>
              </w:rPr>
              <w:t>In the Matter of Online Political Files of</w:t>
            </w:r>
          </w:p>
          <w:p w:rsidR="007F7AC2" w14:paraId="736F10F9" w14:textId="77777777">
            <w:pPr>
              <w:tabs>
                <w:tab w:val="center" w:pos="4680"/>
              </w:tabs>
              <w:suppressAutoHyphens/>
              <w:rPr>
                <w:spacing w:val="-2"/>
              </w:rPr>
            </w:pPr>
          </w:p>
          <w:p w:rsidR="007F7AC2" w14:paraId="05CF3F74" w14:textId="446D19A7">
            <w:pPr>
              <w:tabs>
                <w:tab w:val="center" w:pos="4680"/>
              </w:tabs>
              <w:suppressAutoHyphens/>
              <w:rPr>
                <w:rFonts w:ascii="Times New Roman Bold" w:hAnsi="Times New Roman Bold"/>
                <w:b/>
                <w:bCs/>
                <w:caps/>
                <w:spacing w:val="-2"/>
              </w:rPr>
            </w:pPr>
            <w:r w:rsidRPr="00FF27F5">
              <w:rPr>
                <w:rFonts w:ascii="Times New Roman Bold" w:hAnsi="Times New Roman Bold"/>
                <w:b/>
                <w:bCs/>
                <w:caps/>
                <w:spacing w:val="-2"/>
              </w:rPr>
              <w:t>Thornburg Communications, Inc.</w:t>
            </w:r>
          </w:p>
          <w:p w:rsidR="00976F97" w14:paraId="287DF403" w14:textId="77777777">
            <w:pPr>
              <w:tabs>
                <w:tab w:val="center" w:pos="4680"/>
              </w:tabs>
              <w:suppressAutoHyphens/>
              <w:rPr>
                <w:spacing w:val="-2"/>
              </w:rPr>
            </w:pPr>
          </w:p>
          <w:p w:rsidR="007F7AC2" w14:paraId="300BC1A9" w14:textId="3A5E78DF">
            <w:pPr>
              <w:tabs>
                <w:tab w:val="center" w:pos="4680"/>
              </w:tabs>
              <w:suppressAutoHyphens/>
              <w:rPr>
                <w:spacing w:val="-2"/>
              </w:rPr>
            </w:pPr>
            <w:r>
              <w:rPr>
                <w:spacing w:val="-2"/>
              </w:rPr>
              <w:t xml:space="preserve">Licensee of </w:t>
            </w:r>
            <w:r w:rsidR="00BD3D21">
              <w:rPr>
                <w:spacing w:val="-2"/>
              </w:rPr>
              <w:t xml:space="preserve">a </w:t>
            </w:r>
            <w:r>
              <w:rPr>
                <w:spacing w:val="-2"/>
              </w:rPr>
              <w:t>Commercial Radio Station</w:t>
            </w:r>
          </w:p>
        </w:tc>
        <w:tc>
          <w:tcPr>
            <w:tcW w:w="630" w:type="dxa"/>
          </w:tcPr>
          <w:p w:rsidR="007F7AC2" w14:paraId="4E11327B" w14:textId="77777777">
            <w:pPr>
              <w:tabs>
                <w:tab w:val="center" w:pos="4680"/>
              </w:tabs>
              <w:suppressAutoHyphens/>
              <w:rPr>
                <w:b/>
                <w:spacing w:val="-2"/>
              </w:rPr>
            </w:pPr>
            <w:r>
              <w:rPr>
                <w:b/>
                <w:spacing w:val="-2"/>
              </w:rPr>
              <w:t>)</w:t>
            </w:r>
          </w:p>
          <w:p w:rsidR="007F7AC2" w14:paraId="04CA7A78" w14:textId="77777777">
            <w:pPr>
              <w:tabs>
                <w:tab w:val="center" w:pos="4680"/>
              </w:tabs>
              <w:suppressAutoHyphens/>
              <w:rPr>
                <w:b/>
                <w:spacing w:val="-2"/>
              </w:rPr>
            </w:pPr>
            <w:r>
              <w:rPr>
                <w:b/>
                <w:spacing w:val="-2"/>
              </w:rPr>
              <w:t>)</w:t>
            </w:r>
          </w:p>
          <w:p w:rsidR="007F7AC2" w14:paraId="66C902A4" w14:textId="77777777">
            <w:pPr>
              <w:tabs>
                <w:tab w:val="center" w:pos="4680"/>
              </w:tabs>
              <w:suppressAutoHyphens/>
              <w:rPr>
                <w:b/>
                <w:spacing w:val="-2"/>
              </w:rPr>
            </w:pPr>
            <w:r>
              <w:rPr>
                <w:b/>
                <w:spacing w:val="-2"/>
              </w:rPr>
              <w:t>)</w:t>
            </w:r>
          </w:p>
          <w:p w:rsidR="007F7AC2" w14:paraId="48773E7F" w14:textId="77777777">
            <w:pPr>
              <w:tabs>
                <w:tab w:val="center" w:pos="4680"/>
              </w:tabs>
              <w:suppressAutoHyphens/>
              <w:rPr>
                <w:b/>
                <w:spacing w:val="-2"/>
              </w:rPr>
            </w:pPr>
            <w:r>
              <w:rPr>
                <w:b/>
                <w:spacing w:val="-2"/>
              </w:rPr>
              <w:t>)</w:t>
            </w:r>
          </w:p>
          <w:p w:rsidR="007F7AC2" w14:paraId="5EDAA7B4" w14:textId="77777777">
            <w:pPr>
              <w:tabs>
                <w:tab w:val="center" w:pos="4680"/>
              </w:tabs>
              <w:suppressAutoHyphens/>
              <w:rPr>
                <w:b/>
                <w:bCs/>
                <w:spacing w:val="-2"/>
              </w:rPr>
            </w:pPr>
            <w:r>
              <w:rPr>
                <w:b/>
                <w:bCs/>
                <w:spacing w:val="-2"/>
              </w:rPr>
              <w:t>)</w:t>
            </w:r>
          </w:p>
          <w:p w:rsidR="007F7AC2" w14:paraId="58ABF3A1" w14:textId="5DD0DDBE">
            <w:pPr>
              <w:tabs>
                <w:tab w:val="center" w:pos="4680"/>
              </w:tabs>
              <w:suppressAutoHyphens/>
              <w:rPr>
                <w:b/>
                <w:bCs/>
                <w:spacing w:val="-2"/>
              </w:rPr>
            </w:pPr>
          </w:p>
        </w:tc>
        <w:tc>
          <w:tcPr>
            <w:tcW w:w="4248" w:type="dxa"/>
          </w:tcPr>
          <w:p w:rsidR="00FF27F5" w14:paraId="1DE17682" w14:textId="77777777">
            <w:pPr>
              <w:tabs>
                <w:tab w:val="center" w:pos="4680"/>
              </w:tabs>
              <w:suppressAutoHyphens/>
              <w:rPr>
                <w:spacing w:val="-2"/>
              </w:rPr>
            </w:pPr>
            <w:r w:rsidRPr="00FF27F5">
              <w:rPr>
                <w:spacing w:val="-2"/>
              </w:rPr>
              <w:t xml:space="preserve">File No.: POL-072120-5011903 </w:t>
            </w:r>
          </w:p>
          <w:p w:rsidR="00976F97" w14:paraId="37790422" w14:textId="77777777">
            <w:pPr>
              <w:tabs>
                <w:tab w:val="center" w:pos="4680"/>
              </w:tabs>
              <w:suppressAutoHyphens/>
              <w:rPr>
                <w:spacing w:val="-2"/>
              </w:rPr>
            </w:pPr>
          </w:p>
          <w:p w:rsidR="007F7AC2" w14:paraId="18D54445" w14:textId="0306D07D">
            <w:pPr>
              <w:tabs>
                <w:tab w:val="center" w:pos="4680"/>
              </w:tabs>
              <w:suppressAutoHyphens/>
              <w:rPr>
                <w:spacing w:val="-2"/>
              </w:rPr>
            </w:pPr>
            <w:r w:rsidRPr="00FF27F5">
              <w:rPr>
                <w:spacing w:val="-2"/>
              </w:rPr>
              <w:t>FRN: 5011903</w:t>
            </w:r>
          </w:p>
          <w:p w:rsidR="007F7AC2" w14:paraId="48A8D9F7" w14:textId="77777777">
            <w:pPr>
              <w:tabs>
                <w:tab w:val="center" w:pos="4680"/>
              </w:tabs>
              <w:suppressAutoHyphens/>
              <w:rPr>
                <w:spacing w:val="-2"/>
              </w:rPr>
            </w:pPr>
          </w:p>
          <w:p w:rsidR="007F7AC2" w14:paraId="745E1805" w14:textId="1DEFD19F">
            <w:pPr>
              <w:tabs>
                <w:tab w:val="center" w:pos="4680"/>
              </w:tabs>
              <w:suppressAutoHyphens/>
              <w:rPr>
                <w:spacing w:val="-2"/>
              </w:rPr>
            </w:pPr>
          </w:p>
        </w:tc>
      </w:tr>
    </w:tbl>
    <w:p w:rsidR="007F7AC2" w14:paraId="37086ADB" w14:textId="77777777"/>
    <w:p w:rsidR="007F7AC2" w14:paraId="58F836C3" w14:textId="77777777">
      <w:pPr>
        <w:pStyle w:val="StyleBoldCentered"/>
      </w:pPr>
      <w:r>
        <w:t>Order</w:t>
      </w:r>
    </w:p>
    <w:p w:rsidR="007F7AC2" w14:paraId="4559C390" w14:textId="77777777">
      <w:pPr>
        <w:tabs>
          <w:tab w:val="left" w:pos="-720"/>
        </w:tabs>
        <w:suppressAutoHyphens/>
        <w:spacing w:line="227" w:lineRule="auto"/>
        <w:rPr>
          <w:spacing w:val="-2"/>
        </w:rPr>
      </w:pPr>
    </w:p>
    <w:p w:rsidR="007F7AC2" w14:paraId="1FB0344C" w14:textId="16CC384D">
      <w:pPr>
        <w:tabs>
          <w:tab w:val="left" w:pos="720"/>
          <w:tab w:val="right" w:pos="9360"/>
        </w:tabs>
        <w:suppressAutoHyphens/>
        <w:spacing w:line="227" w:lineRule="auto"/>
        <w:rPr>
          <w:spacing w:val="-2"/>
        </w:rPr>
      </w:pPr>
      <w:r>
        <w:rPr>
          <w:b/>
          <w:spacing w:val="-2"/>
        </w:rPr>
        <w:t xml:space="preserve">Adopted:  </w:t>
      </w:r>
      <w:r w:rsidR="007A41B9">
        <w:rPr>
          <w:b/>
          <w:spacing w:val="-2"/>
        </w:rPr>
        <w:t>September 4, 2020</w:t>
      </w:r>
      <w:r>
        <w:rPr>
          <w:b/>
          <w:spacing w:val="-2"/>
        </w:rPr>
        <w:tab/>
        <w:t xml:space="preserve">Released:  </w:t>
      </w:r>
      <w:bookmarkStart w:id="1" w:name="_Hlk50104653"/>
      <w:r w:rsidR="007A41B9">
        <w:rPr>
          <w:b/>
          <w:spacing w:val="-2"/>
        </w:rPr>
        <w:t>September 4, 2020</w:t>
      </w:r>
      <w:bookmarkEnd w:id="1"/>
    </w:p>
    <w:p w:rsidR="007F7AC2" w14:paraId="45D2F7F0" w14:textId="77777777"/>
    <w:p w:rsidR="007F7AC2" w14:paraId="497E9218" w14:textId="77777777"/>
    <w:p w:rsidR="007F7AC2" w14:paraId="17B78FBE" w14:textId="77777777">
      <w:pPr>
        <w:rPr>
          <w:spacing w:val="-2"/>
        </w:rPr>
      </w:pPr>
      <w:r>
        <w:t xml:space="preserve">By the </w:t>
      </w:r>
      <w:r>
        <w:rPr>
          <w:spacing w:val="-2"/>
        </w:rPr>
        <w:t>Chief, Media Bureau:</w:t>
      </w:r>
    </w:p>
    <w:p w:rsidR="007F7AC2" w14:paraId="78122A83" w14:textId="77777777">
      <w:pPr>
        <w:rPr>
          <w:spacing w:val="-2"/>
        </w:rPr>
      </w:pPr>
    </w:p>
    <w:p w:rsidR="007F7AC2" w14:paraId="6BF5D029" w14:textId="1AF246FB">
      <w:pPr>
        <w:pStyle w:val="ParaNum"/>
        <w:numPr>
          <w:ilvl w:val="0"/>
          <w:numId w:val="7"/>
        </w:numPr>
        <w:tabs>
          <w:tab w:val="clear" w:pos="1080"/>
          <w:tab w:val="left" w:pos="1440"/>
        </w:tabs>
        <w:rPr>
          <w:szCs w:val="22"/>
        </w:rPr>
      </w:pPr>
      <w:r>
        <w:rPr>
          <w:szCs w:val="22"/>
        </w:rPr>
        <w:t xml:space="preserve">The Media Bureau recently released </w:t>
      </w:r>
      <w:r w:rsidR="00976F97">
        <w:rPr>
          <w:szCs w:val="22"/>
        </w:rPr>
        <w:t xml:space="preserve">an </w:t>
      </w:r>
      <w:r>
        <w:rPr>
          <w:szCs w:val="22"/>
        </w:rPr>
        <w:t xml:space="preserve">Order that adopted </w:t>
      </w:r>
      <w:r w:rsidR="00976F97">
        <w:rPr>
          <w:szCs w:val="22"/>
        </w:rPr>
        <w:t xml:space="preserve">a </w:t>
      </w:r>
      <w:r>
        <w:rPr>
          <w:szCs w:val="22"/>
        </w:rPr>
        <w:t>Consent Decree involving the above captioned licensee.</w:t>
      </w:r>
      <w:r>
        <w:rPr>
          <w:szCs w:val="22"/>
          <w:vertAlign w:val="superscript"/>
        </w:rPr>
        <w:footnoteReference w:id="3"/>
      </w:r>
      <w:r>
        <w:rPr>
          <w:szCs w:val="22"/>
        </w:rPr>
        <w:t xml:space="preserve">  </w:t>
      </w:r>
      <w:r w:rsidR="00976F97">
        <w:rPr>
          <w:szCs w:val="22"/>
        </w:rPr>
        <w:t xml:space="preserve">The </w:t>
      </w:r>
      <w:r>
        <w:rPr>
          <w:szCs w:val="22"/>
        </w:rPr>
        <w:t>Consent Decree related to the maintenance of online political files.  The licensee ha</w:t>
      </w:r>
      <w:r w:rsidR="00976F97">
        <w:rPr>
          <w:szCs w:val="22"/>
        </w:rPr>
        <w:t>s</w:t>
      </w:r>
      <w:r>
        <w:rPr>
          <w:szCs w:val="22"/>
        </w:rPr>
        <w:t xml:space="preserve"> since demonstrated to the Media Bureau’s satisfaction that the radio station identified in </w:t>
      </w:r>
      <w:r w:rsidR="0023156F">
        <w:rPr>
          <w:szCs w:val="22"/>
        </w:rPr>
        <w:t xml:space="preserve">the </w:t>
      </w:r>
      <w:r>
        <w:rPr>
          <w:szCs w:val="22"/>
        </w:rPr>
        <w:t xml:space="preserve">Consent Decree substantially complied with </w:t>
      </w:r>
      <w:r w:rsidR="00976F97">
        <w:rPr>
          <w:szCs w:val="22"/>
        </w:rPr>
        <w:t xml:space="preserve">its </w:t>
      </w:r>
      <w:r>
        <w:rPr>
          <w:szCs w:val="22"/>
        </w:rPr>
        <w:t xml:space="preserve">political file obligations and that the Consent Decree should be cancelled.   </w:t>
      </w:r>
    </w:p>
    <w:p w:rsidR="007F7AC2" w14:paraId="503F9660" w14:textId="34AF2B51">
      <w:pPr>
        <w:pStyle w:val="ParaNum"/>
        <w:numPr>
          <w:ilvl w:val="0"/>
          <w:numId w:val="7"/>
        </w:numPr>
        <w:tabs>
          <w:tab w:val="clear" w:pos="1080"/>
          <w:tab w:val="left" w:pos="1440"/>
        </w:tabs>
        <w:rPr>
          <w:szCs w:val="22"/>
        </w:rPr>
      </w:pPr>
      <w:r>
        <w:rPr>
          <w:b/>
          <w:bCs/>
        </w:rPr>
        <w:t>ACCORDINGLY</w:t>
      </w:r>
      <w:r>
        <w:t>, for good cause show and pursuant to section 1.113(a) of the Commission’s rules,</w:t>
      </w:r>
      <w:r>
        <w:rPr>
          <w:rStyle w:val="FootnoteReference"/>
        </w:rPr>
        <w:footnoteReference w:id="4"/>
      </w:r>
      <w:r>
        <w:t xml:space="preserve"> </w:t>
      </w:r>
      <w:r>
        <w:rPr>
          <w:b/>
          <w:bCs/>
        </w:rPr>
        <w:t>IT IS ORDERED</w:t>
      </w:r>
      <w:r>
        <w:t xml:space="preserve"> that the referenced Order adopting the subject Consent Decree </w:t>
      </w:r>
      <w:r w:rsidR="00976F97">
        <w:t xml:space="preserve">is </w:t>
      </w:r>
      <w:r>
        <w:rPr>
          <w:b/>
          <w:bCs/>
        </w:rPr>
        <w:t>SET ASIDE.</w:t>
      </w:r>
    </w:p>
    <w:p w:rsidR="007F7AC2" w14:paraId="3278C6DB" w14:textId="6725DD5D">
      <w:pPr>
        <w:pStyle w:val="ParaNum"/>
        <w:numPr>
          <w:ilvl w:val="0"/>
          <w:numId w:val="7"/>
        </w:numPr>
        <w:tabs>
          <w:tab w:val="clear" w:pos="1080"/>
          <w:tab w:val="left" w:pos="1440"/>
        </w:tabs>
        <w:rPr>
          <w:szCs w:val="22"/>
        </w:rPr>
      </w:pPr>
      <w:r>
        <w:rPr>
          <w:b/>
          <w:bCs/>
        </w:rPr>
        <w:t>IT IS FURTHER ORDERED</w:t>
      </w:r>
      <w:r>
        <w:t xml:space="preserve"> that the Consent Decree</w:t>
      </w:r>
      <w:r w:rsidR="00976F97">
        <w:t xml:space="preserve"> is </w:t>
      </w:r>
      <w:r>
        <w:rPr>
          <w:b/>
          <w:bCs/>
        </w:rPr>
        <w:t>CANCELLED</w:t>
      </w:r>
    </w:p>
    <w:p w:rsidR="007F7AC2" w14:paraId="5E717B33" w14:textId="01A6E606">
      <w:pPr>
        <w:pStyle w:val="ParaNum"/>
        <w:numPr>
          <w:ilvl w:val="0"/>
          <w:numId w:val="7"/>
        </w:numPr>
        <w:tabs>
          <w:tab w:val="clear" w:pos="1080"/>
          <w:tab w:val="left" w:pos="1440"/>
        </w:tabs>
        <w:rPr>
          <w:szCs w:val="22"/>
        </w:rPr>
      </w:pPr>
      <w:r>
        <w:rPr>
          <w:b/>
          <w:bCs/>
        </w:rPr>
        <w:t xml:space="preserve">IT IS FURTHER ORDERED </w:t>
      </w:r>
      <w:r>
        <w:t>that th</w:t>
      </w:r>
      <w:r w:rsidR="00976F97">
        <w:t xml:space="preserve">is </w:t>
      </w:r>
      <w:r>
        <w:t>proceeding</w:t>
      </w:r>
      <w:r w:rsidR="00976F97">
        <w:t xml:space="preserve"> i</w:t>
      </w:r>
      <w:r>
        <w:t xml:space="preserve">s </w:t>
      </w:r>
      <w:r>
        <w:rPr>
          <w:b/>
          <w:bCs/>
        </w:rPr>
        <w:t>TERMINATED.</w:t>
      </w:r>
    </w:p>
    <w:p w:rsidR="00976F97" w:rsidRPr="00976F97" w:rsidP="00575F17" w14:paraId="43792103" w14:textId="6CC5637B">
      <w:pPr>
        <w:pStyle w:val="ParaNum"/>
        <w:numPr>
          <w:ilvl w:val="0"/>
          <w:numId w:val="7"/>
        </w:numPr>
        <w:tabs>
          <w:tab w:val="clear" w:pos="1080"/>
          <w:tab w:val="left" w:pos="1440"/>
        </w:tabs>
        <w:rPr>
          <w:szCs w:val="22"/>
        </w:rPr>
      </w:pPr>
      <w:r w:rsidRPr="00976F97">
        <w:rPr>
          <w:b/>
        </w:rPr>
        <w:t>IT IS FURTHER ORDERED</w:t>
      </w:r>
      <w:r>
        <w:t xml:space="preserve"> that </w:t>
      </w:r>
      <w:r>
        <w:t xml:space="preserve">a </w:t>
      </w:r>
      <w:r>
        <w:t>cop</w:t>
      </w:r>
      <w:r>
        <w:t xml:space="preserve">y </w:t>
      </w:r>
      <w:r>
        <w:t xml:space="preserve">of this Order </w:t>
      </w:r>
      <w:r w:rsidRPr="00976F97">
        <w:rPr>
          <w:color w:val="000000"/>
          <w:szCs w:val="22"/>
        </w:rPr>
        <w:t>shall be sent via electronic mail to</w:t>
      </w:r>
      <w:r w:rsidRPr="00976F97">
        <w:rPr>
          <w:color w:val="000000"/>
          <w:szCs w:val="22"/>
        </w:rPr>
        <w:t xml:space="preserve"> Thornburg Communications, Inc. at </w:t>
      </w:r>
      <w:hyperlink r:id="rId5" w:history="1">
        <w:r w:rsidRPr="00976F97">
          <w:rPr>
            <w:rStyle w:val="Hyperlink"/>
            <w:szCs w:val="22"/>
          </w:rPr>
          <w:t>tnt@WWBF.com</w:t>
        </w:r>
      </w:hyperlink>
      <w:r w:rsidRPr="00976F97">
        <w:rPr>
          <w:color w:val="000000"/>
          <w:szCs w:val="22"/>
        </w:rPr>
        <w:t xml:space="preserve"> and to its counsel, Joseph A. Belisle III, Esq., Belisle Law Firm P.A.</w:t>
      </w:r>
      <w:r>
        <w:rPr>
          <w:color w:val="000000"/>
          <w:szCs w:val="22"/>
        </w:rPr>
        <w:t xml:space="preserve">, at </w:t>
      </w:r>
      <w:hyperlink r:id="rId6" w:history="1">
        <w:r w:rsidRPr="0087545E">
          <w:rPr>
            <w:rStyle w:val="Hyperlink"/>
            <w:szCs w:val="22"/>
          </w:rPr>
          <w:t>joe@belislelaw.com</w:t>
        </w:r>
      </w:hyperlink>
      <w:r>
        <w:rPr>
          <w:color w:val="000000"/>
          <w:szCs w:val="22"/>
        </w:rPr>
        <w:t>.</w:t>
      </w:r>
    </w:p>
    <w:p w:rsidR="007F7AC2" w14:paraId="33879A06" w14:textId="77777777">
      <w:pPr>
        <w:outlineLvl w:val="0"/>
        <w:rPr>
          <w:szCs w:val="22"/>
          <w:lang w:val="fr-FR"/>
        </w:rPr>
      </w:pPr>
    </w:p>
    <w:p w:rsidR="007F7AC2" w14:paraId="742CA8E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7F7AC2" w14:paraId="70578B43" w14:textId="77777777">
      <w:pPr>
        <w:rPr>
          <w:szCs w:val="22"/>
          <w:lang w:val="fr-FR"/>
        </w:rPr>
      </w:pPr>
    </w:p>
    <w:p w:rsidR="007F7AC2" w14:paraId="69868D23" w14:textId="77777777">
      <w:pPr>
        <w:rPr>
          <w:szCs w:val="22"/>
          <w:lang w:val="fr-FR"/>
        </w:rPr>
      </w:pPr>
    </w:p>
    <w:p w:rsidR="007F7AC2" w14:paraId="69E16508" w14:textId="77777777">
      <w:pPr>
        <w:rPr>
          <w:szCs w:val="22"/>
          <w:lang w:val="fr-FR"/>
        </w:rPr>
      </w:pPr>
    </w:p>
    <w:p w:rsidR="007F7AC2" w14:paraId="06EDE4A3" w14:textId="77777777">
      <w:pPr>
        <w:outlineLvl w:val="0"/>
        <w:rPr>
          <w:szCs w:val="22"/>
          <w:lang w:val="fr-FR"/>
        </w:rPr>
      </w:pPr>
    </w:p>
    <w:p w:rsidR="007F7AC2" w14:paraId="6F68F6F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Michelle M. Carey</w:t>
      </w:r>
    </w:p>
    <w:p w:rsidR="007F7AC2" w14:paraId="28D63818" w14:textId="77777777">
      <w:pPr>
        <w:outlineLvl w:val="0"/>
        <w:rPr>
          <w:spacing w:val="-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03BEF5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7F7AC2" w14:paraId="4FDCB1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43EBFCE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F7AC2" w14:paraId="4F51757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3FEEEB5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357C" w14:paraId="0DEC32F0" w14:textId="77777777">
      <w:r>
        <w:separator/>
      </w:r>
    </w:p>
  </w:footnote>
  <w:footnote w:type="continuationSeparator" w:id="1">
    <w:p w:rsidR="002C357C" w14:paraId="5202F437" w14:textId="77777777">
      <w:pPr>
        <w:spacing w:before="120"/>
        <w:rPr>
          <w:sz w:val="20"/>
        </w:rPr>
      </w:pPr>
      <w:r>
        <w:rPr>
          <w:sz w:val="20"/>
        </w:rPr>
        <w:t xml:space="preserve">(Continued from previous page)  </w:t>
      </w:r>
      <w:r>
        <w:rPr>
          <w:sz w:val="20"/>
        </w:rPr>
        <w:separator/>
      </w:r>
    </w:p>
  </w:footnote>
  <w:footnote w:type="continuationNotice" w:id="2">
    <w:p w:rsidR="002C357C" w14:paraId="317E9B6B" w14:textId="77777777">
      <w:pPr>
        <w:jc w:val="right"/>
        <w:rPr>
          <w:sz w:val="20"/>
        </w:rPr>
      </w:pPr>
      <w:r>
        <w:rPr>
          <w:sz w:val="20"/>
        </w:rPr>
        <w:t>(continued….)</w:t>
      </w:r>
    </w:p>
  </w:footnote>
  <w:footnote w:id="3">
    <w:p w:rsidR="007F7AC2" w14:paraId="797C0E49" w14:textId="4065B6A1">
      <w:pPr>
        <w:pStyle w:val="FootnoteText"/>
      </w:pPr>
      <w:r>
        <w:rPr>
          <w:rStyle w:val="FootnoteReference"/>
        </w:rPr>
        <w:footnoteRef/>
      </w:r>
      <w:r>
        <w:t xml:space="preserve"> </w:t>
      </w:r>
      <w:r>
        <w:rPr>
          <w:i/>
          <w:iCs/>
        </w:rPr>
        <w:t xml:space="preserve">See </w:t>
      </w:r>
      <w:r>
        <w:rPr>
          <w:i/>
          <w:iCs/>
        </w:rPr>
        <w:t>In</w:t>
      </w:r>
      <w:r>
        <w:rPr>
          <w:i/>
          <w:iCs/>
        </w:rPr>
        <w:t xml:space="preserve"> the Matter of Political Files of </w:t>
      </w:r>
      <w:r w:rsidRPr="00976F97" w:rsidR="00976F97">
        <w:rPr>
          <w:i/>
          <w:iCs/>
        </w:rPr>
        <w:t>Thornburg Communications, Inc.</w:t>
      </w:r>
      <w:r>
        <w:t xml:space="preserve">, Order, </w:t>
      </w:r>
      <w:r w:rsidRPr="00976F97" w:rsidR="00976F97">
        <w:t xml:space="preserve">DA 20-869 </w:t>
      </w:r>
      <w:r>
        <w:t xml:space="preserve">(MB, rel. Aug. </w:t>
      </w:r>
      <w:r w:rsidR="00976F97">
        <w:t>12</w:t>
      </w:r>
      <w:r>
        <w:t>, 2020)</w:t>
      </w:r>
      <w:r w:rsidR="00976F97">
        <w:t>.</w:t>
      </w:r>
    </w:p>
  </w:footnote>
  <w:footnote w:id="4">
    <w:p w:rsidR="007F7AC2" w14:paraId="273D0E37" w14:textId="77777777">
      <w:pPr>
        <w:pStyle w:val="FootnoteText"/>
      </w:pPr>
      <w:r>
        <w:rPr>
          <w:rStyle w:val="FootnoteReference"/>
        </w:rPr>
        <w:footnoteRef/>
      </w:r>
      <w:r>
        <w:t xml:space="preserve"> 47 CFR § 1.113(a).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57D6127D" w14:textId="7777777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20-xx</w:t>
    </w:r>
  </w:p>
  <w:p w:rsidR="007F7AC2" w14:paraId="4A902EC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3D6A3BD3" w14:textId="22AC4A8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7A41B9">
      <w:rPr>
        <w:spacing w:val="-2"/>
      </w:rPr>
      <w:t>1036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5"/>
  </w:num>
  <w:num w:numId="2">
    <w:abstractNumId w:val="10"/>
  </w:num>
  <w:num w:numId="3">
    <w:abstractNumId w:val="7"/>
  </w:num>
  <w:num w:numId="4">
    <w:abstractNumId w:val="9"/>
  </w:num>
  <w:num w:numId="5">
    <w:abstractNumId w:val="6"/>
  </w:num>
  <w:num w:numId="6">
    <w:abstractNumId w:val="0"/>
  </w:num>
  <w:num w:numId="7">
    <w:abstractNumId w:val="8"/>
  </w:num>
  <w:num w:numId="8">
    <w:abstractNumId w:val="2"/>
  </w:num>
  <w:num w:numId="9">
    <w:abstractNumId w:val="11"/>
  </w:num>
  <w:num w:numId="10">
    <w:abstractNumId w:val="1"/>
  </w:num>
  <w:num w:numId="11">
    <w:abstractNumId w:val="3"/>
  </w:num>
  <w:num w:numId="12">
    <w:abstractNumId w:val="4"/>
  </w:num>
  <w:num w:numId="13">
    <w:abstractNumId w:val="4"/>
    <w:lvlOverride w:ilvl="0">
      <w:startOverride w:val="1"/>
    </w:lvlOverride>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C2"/>
    <w:rsid w:val="00183ADC"/>
    <w:rsid w:val="0023156F"/>
    <w:rsid w:val="002C357C"/>
    <w:rsid w:val="002C7ADF"/>
    <w:rsid w:val="0038320F"/>
    <w:rsid w:val="004F5968"/>
    <w:rsid w:val="00575F17"/>
    <w:rsid w:val="007A41B9"/>
    <w:rsid w:val="007F7AC2"/>
    <w:rsid w:val="0087545E"/>
    <w:rsid w:val="00976F97"/>
    <w:rsid w:val="00BD3D21"/>
    <w:rsid w:val="00FF27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HeaderChar">
    <w:name w:val="Header Char"/>
    <w:link w:val="Header"/>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ParanumChar0">
    <w:name w:val="Paranum Char"/>
    <w:uiPriority w:val="99"/>
    <w:rPr>
      <w:sz w:val="22"/>
      <w:lang w:val="en-US" w:eastAsia="en-US"/>
    </w:rPr>
  </w:style>
  <w:style w:type="character" w:customStyle="1" w:styleId="Heading1Char">
    <w:name w:val="Heading 1 Char"/>
    <w:link w:val="Heading1"/>
    <w:locked/>
    <w:rPr>
      <w:rFonts w:ascii="Times New Roman Bold" w:hAnsi="Times New Roman Bold"/>
      <w:b/>
      <w:caps/>
      <w:snapToGrid w:val="0"/>
      <w:kern w:val="28"/>
      <w:sz w:val="22"/>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nt@WWBF.com" TargetMode="External" /><Relationship Id="rId6" Type="http://schemas.openxmlformats.org/officeDocument/2006/relationships/hyperlink" Target="mailto:joe@belislelaw.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