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F55D70" w:rsidP="00013A8B" w14:paraId="5047BD77" w14:textId="77777777">
      <w:pPr>
        <w:jc w:val="right"/>
        <w:rPr>
          <w:b/>
          <w:szCs w:val="22"/>
        </w:rPr>
      </w:pPr>
      <w:r w:rsidRPr="00F55D70">
        <w:rPr>
          <w:b/>
          <w:szCs w:val="22"/>
        </w:rPr>
        <w:t>DA 20-</w:t>
      </w:r>
      <w:r w:rsidR="00D85678">
        <w:rPr>
          <w:b/>
          <w:szCs w:val="22"/>
        </w:rPr>
        <w:t>1037</w:t>
      </w:r>
    </w:p>
    <w:p w:rsidR="00013A8B" w:rsidRPr="00F55D70" w:rsidP="00013A8B" w14:paraId="6B3C4CE7" w14:textId="77777777">
      <w:pPr>
        <w:spacing w:before="60"/>
        <w:jc w:val="right"/>
        <w:rPr>
          <w:b/>
          <w:szCs w:val="22"/>
        </w:rPr>
      </w:pPr>
      <w:r w:rsidRPr="00F55D70">
        <w:rPr>
          <w:b/>
          <w:szCs w:val="22"/>
        </w:rPr>
        <w:t xml:space="preserve">Released:  </w:t>
      </w:r>
      <w:r w:rsidR="0059760C">
        <w:rPr>
          <w:b/>
          <w:szCs w:val="22"/>
        </w:rPr>
        <w:t xml:space="preserve">September </w:t>
      </w:r>
      <w:r w:rsidR="009B42B5">
        <w:rPr>
          <w:b/>
          <w:szCs w:val="22"/>
        </w:rPr>
        <w:t>4</w:t>
      </w:r>
      <w:r w:rsidRPr="00F55D70" w:rsidR="00F748D2">
        <w:rPr>
          <w:b/>
          <w:szCs w:val="22"/>
        </w:rPr>
        <w:t>, 2020</w:t>
      </w:r>
    </w:p>
    <w:p w:rsidR="00013A8B" w:rsidRPr="00F55D70" w:rsidP="00013A8B" w14:paraId="035F2F7C" w14:textId="77777777">
      <w:pPr>
        <w:jc w:val="right"/>
        <w:rPr>
          <w:szCs w:val="22"/>
        </w:rPr>
      </w:pPr>
    </w:p>
    <w:p w:rsidR="00F748D2" w:rsidRPr="00F55D70" w:rsidP="00013A8B" w14:paraId="75AD5B5F" w14:textId="77777777">
      <w:pPr>
        <w:spacing w:after="240"/>
        <w:jc w:val="center"/>
        <w:rPr>
          <w:rFonts w:ascii="Times New Roman Bold" w:hAnsi="Times New Roman Bold"/>
          <w:b/>
          <w:caps/>
          <w:szCs w:val="22"/>
        </w:rPr>
      </w:pPr>
      <w:r w:rsidRPr="00F55D70">
        <w:rPr>
          <w:rFonts w:ascii="Times New Roman Bold" w:hAnsi="Times New Roman Bold"/>
          <w:b/>
          <w:caps/>
          <w:szCs w:val="22"/>
        </w:rPr>
        <w:t xml:space="preserve">Wireline competition bureau and office of economics and analytics release </w:t>
      </w:r>
      <w:r w:rsidRPr="00F55D70" w:rsidR="00AF05AC">
        <w:rPr>
          <w:rFonts w:ascii="Times New Roman Bold" w:hAnsi="Times New Roman Bold"/>
          <w:b/>
          <w:caps/>
          <w:szCs w:val="22"/>
        </w:rPr>
        <w:t>Results</w:t>
      </w:r>
      <w:r w:rsidRPr="00F55D70">
        <w:rPr>
          <w:rFonts w:ascii="Times New Roman Bold" w:hAnsi="Times New Roman Bold"/>
          <w:b/>
          <w:caps/>
          <w:szCs w:val="22"/>
        </w:rPr>
        <w:t xml:space="preserve"> from supply chain security information collection</w:t>
      </w:r>
    </w:p>
    <w:p w:rsidR="00013A8B" w:rsidRPr="00F55D70" w:rsidP="00013A8B" w14:paraId="1697359D" w14:textId="77777777">
      <w:pPr>
        <w:spacing w:after="240"/>
        <w:jc w:val="center"/>
        <w:rPr>
          <w:b/>
          <w:i/>
          <w:iCs/>
          <w:szCs w:val="22"/>
        </w:rPr>
      </w:pPr>
      <w:r>
        <w:rPr>
          <w:b/>
          <w:i/>
          <w:iCs/>
          <w:szCs w:val="22"/>
        </w:rPr>
        <w:t>Univer</w:t>
      </w:r>
      <w:r w:rsidR="00316C39">
        <w:rPr>
          <w:b/>
          <w:i/>
          <w:iCs/>
          <w:szCs w:val="22"/>
        </w:rPr>
        <w:t xml:space="preserve">sal Service Fund Support </w:t>
      </w:r>
      <w:r>
        <w:rPr>
          <w:b/>
          <w:i/>
          <w:iCs/>
          <w:szCs w:val="22"/>
        </w:rPr>
        <w:t>Recipient Networks</w:t>
      </w:r>
      <w:r w:rsidRPr="00E477C0" w:rsidR="00E477C0">
        <w:rPr>
          <w:b/>
          <w:i/>
          <w:iCs/>
          <w:szCs w:val="22"/>
        </w:rPr>
        <w:t xml:space="preserve"> </w:t>
      </w:r>
      <w:r w:rsidR="00E477C0">
        <w:rPr>
          <w:b/>
          <w:i/>
          <w:iCs/>
          <w:szCs w:val="22"/>
        </w:rPr>
        <w:t>with</w:t>
      </w:r>
      <w:r w:rsidRPr="00F55D70" w:rsidR="00E477C0">
        <w:rPr>
          <w:b/>
          <w:i/>
          <w:iCs/>
          <w:szCs w:val="22"/>
        </w:rPr>
        <w:t xml:space="preserve"> Huawei and ZTE Equipment and Services</w:t>
      </w:r>
      <w:r>
        <w:rPr>
          <w:b/>
          <w:i/>
          <w:iCs/>
          <w:szCs w:val="22"/>
        </w:rPr>
        <w:t xml:space="preserve"> </w:t>
      </w:r>
      <w:r w:rsidR="000545C0">
        <w:rPr>
          <w:b/>
          <w:i/>
          <w:iCs/>
          <w:szCs w:val="22"/>
        </w:rPr>
        <w:t>Identified</w:t>
      </w:r>
    </w:p>
    <w:p w:rsidR="00013A8B" w:rsidRPr="00F55D70" w:rsidP="00013A8B" w14:paraId="41F0834E" w14:textId="77777777">
      <w:pPr>
        <w:jc w:val="center"/>
        <w:rPr>
          <w:b/>
          <w:szCs w:val="22"/>
        </w:rPr>
      </w:pPr>
      <w:r w:rsidRPr="00F55D70">
        <w:rPr>
          <w:b/>
          <w:szCs w:val="22"/>
        </w:rPr>
        <w:t>WC Docket No. 18-89</w:t>
      </w:r>
    </w:p>
    <w:p w:rsidR="00F96F63" w:rsidRPr="00F55D70" w:rsidP="00F96F63" w14:paraId="42EA14D0" w14:textId="77777777">
      <w:pPr>
        <w:rPr>
          <w:szCs w:val="22"/>
        </w:rPr>
      </w:pPr>
      <w:bookmarkStart w:id="0" w:name="TOChere"/>
    </w:p>
    <w:bookmarkEnd w:id="0"/>
    <w:p w:rsidR="00F748D2" w:rsidRPr="00F55D70" w:rsidP="00DE7DA0" w14:paraId="292D425C" w14:textId="77777777">
      <w:pPr>
        <w:spacing w:after="120"/>
        <w:ind w:firstLine="720"/>
        <w:rPr>
          <w:szCs w:val="22"/>
        </w:rPr>
      </w:pPr>
      <w:r w:rsidRPr="00F55D70">
        <w:rPr>
          <w:szCs w:val="22"/>
        </w:rPr>
        <w:t>By this Public Notice, the Wireline Competition Bureau (WCB) and the Office of Economics and Analytics (OEA) release</w:t>
      </w:r>
      <w:r w:rsidR="0066304E">
        <w:rPr>
          <w:szCs w:val="22"/>
        </w:rPr>
        <w:t xml:space="preserve"> </w:t>
      </w:r>
      <w:r w:rsidR="00DA2A28">
        <w:rPr>
          <w:szCs w:val="22"/>
        </w:rPr>
        <w:t>public</w:t>
      </w:r>
      <w:r w:rsidRPr="00F55D70">
        <w:rPr>
          <w:szCs w:val="22"/>
        </w:rPr>
        <w:t xml:space="preserve"> results from the Supply Chain Security Information Collection</w:t>
      </w:r>
      <w:r w:rsidRPr="00F55D70" w:rsidR="008B1737">
        <w:rPr>
          <w:szCs w:val="22"/>
        </w:rPr>
        <w:t xml:space="preserve">, </w:t>
      </w:r>
      <w:r w:rsidRPr="00F55D70" w:rsidR="00AF05AC">
        <w:rPr>
          <w:szCs w:val="22"/>
        </w:rPr>
        <w:t xml:space="preserve">which was </w:t>
      </w:r>
      <w:r w:rsidRPr="00F55D70" w:rsidR="008B1737">
        <w:rPr>
          <w:szCs w:val="22"/>
        </w:rPr>
        <w:t xml:space="preserve">conducted in response to the Commission’s </w:t>
      </w:r>
      <w:r w:rsidRPr="00F55D70" w:rsidR="008B1737">
        <w:rPr>
          <w:i/>
          <w:iCs/>
          <w:szCs w:val="22"/>
        </w:rPr>
        <w:t>2019 Supply Chain Order</w:t>
      </w:r>
      <w:r w:rsidRPr="00F55D70">
        <w:rPr>
          <w:szCs w:val="22"/>
        </w:rPr>
        <w:t>.</w:t>
      </w:r>
      <w:r>
        <w:rPr>
          <w:rStyle w:val="FootnoteReference"/>
          <w:szCs w:val="22"/>
        </w:rPr>
        <w:footnoteReference w:id="3"/>
      </w:r>
      <w:r w:rsidRPr="00F55D70">
        <w:rPr>
          <w:szCs w:val="22"/>
        </w:rPr>
        <w:t xml:space="preserve"> </w:t>
      </w:r>
    </w:p>
    <w:p w:rsidR="00316C39" w:rsidP="006B3C97" w14:paraId="4857923F" w14:textId="77777777">
      <w:pPr>
        <w:spacing w:after="120"/>
        <w:ind w:firstLine="720"/>
        <w:rPr>
          <w:szCs w:val="22"/>
        </w:rPr>
      </w:pPr>
      <w:r>
        <w:rPr>
          <w:szCs w:val="22"/>
        </w:rPr>
        <w:t>I</w:t>
      </w:r>
      <w:r w:rsidR="004022DA">
        <w:rPr>
          <w:szCs w:val="22"/>
        </w:rPr>
        <w:t>n t</w:t>
      </w:r>
      <w:r w:rsidRPr="00F55D70" w:rsidR="004022DA">
        <w:rPr>
          <w:szCs w:val="22"/>
        </w:rPr>
        <w:t xml:space="preserve">he </w:t>
      </w:r>
      <w:r w:rsidR="004022DA">
        <w:rPr>
          <w:i/>
          <w:iCs/>
          <w:szCs w:val="22"/>
        </w:rPr>
        <w:t>2</w:t>
      </w:r>
      <w:r w:rsidRPr="00F55D70" w:rsidR="004022DA">
        <w:rPr>
          <w:i/>
          <w:iCs/>
          <w:szCs w:val="22"/>
        </w:rPr>
        <w:t>019 Supply Chain Order</w:t>
      </w:r>
      <w:r w:rsidRPr="00F55D70" w:rsidR="004022DA">
        <w:rPr>
          <w:szCs w:val="22"/>
        </w:rPr>
        <w:t xml:space="preserve">, the Commission directed </w:t>
      </w:r>
      <w:r w:rsidR="005022FD">
        <w:rPr>
          <w:szCs w:val="22"/>
        </w:rPr>
        <w:t>WCB</w:t>
      </w:r>
      <w:r w:rsidRPr="00F55D70" w:rsidR="004022DA">
        <w:rPr>
          <w:szCs w:val="22"/>
        </w:rPr>
        <w:t xml:space="preserve"> and </w:t>
      </w:r>
      <w:r w:rsidR="005022FD">
        <w:rPr>
          <w:szCs w:val="22"/>
        </w:rPr>
        <w:t>OEA</w:t>
      </w:r>
      <w:r w:rsidRPr="00F55D70" w:rsidR="004022DA">
        <w:rPr>
          <w:szCs w:val="22"/>
        </w:rPr>
        <w:t xml:space="preserve"> to conduct an information collection to determine whether Eligible Telecommunications Carriers (ETCs)</w:t>
      </w:r>
      <w:r w:rsidR="00F87C6B">
        <w:rPr>
          <w:szCs w:val="22"/>
        </w:rPr>
        <w:t>, or their affiliates and subsidiaries,</w:t>
      </w:r>
      <w:r w:rsidRPr="00F55D70" w:rsidR="004022DA">
        <w:rPr>
          <w:szCs w:val="22"/>
        </w:rPr>
        <w:t xml:space="preserve"> own equipment or services from </w:t>
      </w:r>
      <w:r w:rsidRPr="00F55D70" w:rsidR="00890AE9">
        <w:rPr>
          <w:szCs w:val="22"/>
        </w:rPr>
        <w:t xml:space="preserve">Huawei Technologies Company </w:t>
      </w:r>
      <w:r w:rsidR="00E014ED">
        <w:rPr>
          <w:szCs w:val="22"/>
        </w:rPr>
        <w:t xml:space="preserve">(Huawei) </w:t>
      </w:r>
      <w:r w:rsidRPr="00F55D70" w:rsidR="004022DA">
        <w:rPr>
          <w:szCs w:val="22"/>
        </w:rPr>
        <w:t xml:space="preserve">and </w:t>
      </w:r>
      <w:r w:rsidRPr="00F55D70" w:rsidR="00E014ED">
        <w:rPr>
          <w:szCs w:val="22"/>
        </w:rPr>
        <w:t>ZTE Corporation</w:t>
      </w:r>
      <w:r w:rsidR="00E014ED">
        <w:rPr>
          <w:szCs w:val="22"/>
        </w:rPr>
        <w:t xml:space="preserve"> (ZTE)</w:t>
      </w:r>
      <w:r w:rsidRPr="00F55D70" w:rsidR="004022DA">
        <w:rPr>
          <w:szCs w:val="22"/>
        </w:rPr>
        <w:t>, or their</w:t>
      </w:r>
      <w:r w:rsidR="00FD6499">
        <w:rPr>
          <w:szCs w:val="22"/>
        </w:rPr>
        <w:t xml:space="preserve"> respective</w:t>
      </w:r>
      <w:r w:rsidRPr="00F55D70" w:rsidR="004022DA">
        <w:rPr>
          <w:szCs w:val="22"/>
        </w:rPr>
        <w:t xml:space="preserve"> subsidiaries, parents, or affiliates</w:t>
      </w:r>
      <w:r w:rsidR="00156839">
        <w:rPr>
          <w:szCs w:val="22"/>
        </w:rPr>
        <w:t xml:space="preserve">.  The </w:t>
      </w:r>
      <w:r w:rsidRPr="006B3C97" w:rsidR="0055493E">
        <w:rPr>
          <w:i/>
          <w:iCs/>
          <w:szCs w:val="22"/>
        </w:rPr>
        <w:t>Order</w:t>
      </w:r>
      <w:r w:rsidR="0055493E">
        <w:rPr>
          <w:szCs w:val="22"/>
        </w:rPr>
        <w:t xml:space="preserve"> also directed WCB and OEA to collect information about the nature of </w:t>
      </w:r>
      <w:r w:rsidR="009A3C8E">
        <w:rPr>
          <w:szCs w:val="22"/>
        </w:rPr>
        <w:t xml:space="preserve">the </w:t>
      </w:r>
      <w:r w:rsidRPr="00F55D70" w:rsidR="004022DA">
        <w:rPr>
          <w:szCs w:val="22"/>
        </w:rPr>
        <w:t>equipment and services</w:t>
      </w:r>
      <w:r w:rsidR="000545C0">
        <w:rPr>
          <w:szCs w:val="22"/>
        </w:rPr>
        <w:t>,</w:t>
      </w:r>
      <w:r w:rsidRPr="00F55D70" w:rsidR="004022DA">
        <w:rPr>
          <w:szCs w:val="22"/>
        </w:rPr>
        <w:t xml:space="preserve"> the costs associated with purchasing and/or installing such equipment and services</w:t>
      </w:r>
      <w:r w:rsidR="00BA6EC7">
        <w:rPr>
          <w:szCs w:val="22"/>
        </w:rPr>
        <w:t>,</w:t>
      </w:r>
      <w:r w:rsidRPr="00F55D70" w:rsidR="004022DA">
        <w:rPr>
          <w:szCs w:val="22"/>
        </w:rPr>
        <w:t xml:space="preserve"> and the costs associated with removing and replacing such equipment and services.</w:t>
      </w:r>
      <w:r>
        <w:rPr>
          <w:rStyle w:val="FootnoteReference"/>
          <w:szCs w:val="22"/>
        </w:rPr>
        <w:footnoteReference w:id="4"/>
      </w:r>
      <w:r w:rsidRPr="00F55D70" w:rsidR="004022DA">
        <w:rPr>
          <w:szCs w:val="22"/>
        </w:rPr>
        <w:t xml:space="preserve">  </w:t>
      </w:r>
    </w:p>
    <w:p w:rsidR="005B502A" w14:paraId="62925805" w14:textId="77777777">
      <w:pPr>
        <w:spacing w:after="120"/>
        <w:ind w:firstLine="720"/>
        <w:rPr>
          <w:szCs w:val="22"/>
        </w:rPr>
      </w:pPr>
      <w:r>
        <w:rPr>
          <w:szCs w:val="22"/>
        </w:rPr>
        <w:t xml:space="preserve">The </w:t>
      </w:r>
      <w:r w:rsidR="00530D5E">
        <w:rPr>
          <w:i/>
          <w:iCs/>
          <w:szCs w:val="22"/>
        </w:rPr>
        <w:t>2</w:t>
      </w:r>
      <w:r w:rsidRPr="00F55D70" w:rsidR="00530D5E">
        <w:rPr>
          <w:i/>
          <w:iCs/>
          <w:szCs w:val="22"/>
        </w:rPr>
        <w:t>019 Supply Chain Order</w:t>
      </w:r>
      <w:r w:rsidRPr="00F55D70" w:rsidR="00530D5E">
        <w:rPr>
          <w:szCs w:val="22"/>
        </w:rPr>
        <w:t xml:space="preserve"> </w:t>
      </w:r>
      <w:r>
        <w:rPr>
          <w:szCs w:val="22"/>
        </w:rPr>
        <w:t xml:space="preserve">further </w:t>
      </w:r>
      <w:r w:rsidRPr="00F55D70" w:rsidR="004022DA">
        <w:rPr>
          <w:szCs w:val="22"/>
        </w:rPr>
        <w:t>directed WCB</w:t>
      </w:r>
      <w:r>
        <w:rPr>
          <w:szCs w:val="22"/>
        </w:rPr>
        <w:t>, after receiving and evaluating ETC submissions,</w:t>
      </w:r>
      <w:r w:rsidRPr="00F55D70" w:rsidR="004022DA">
        <w:rPr>
          <w:szCs w:val="22"/>
        </w:rPr>
        <w:t xml:space="preserve"> to consider </w:t>
      </w:r>
      <w:r w:rsidR="00530D5E">
        <w:rPr>
          <w:szCs w:val="22"/>
        </w:rPr>
        <w:t xml:space="preserve">making this information public.  The Commission </w:t>
      </w:r>
      <w:r>
        <w:rPr>
          <w:szCs w:val="22"/>
        </w:rPr>
        <w:t xml:space="preserve">directed </w:t>
      </w:r>
      <w:r w:rsidR="00530D5E">
        <w:rPr>
          <w:szCs w:val="22"/>
        </w:rPr>
        <w:t xml:space="preserve">staff to consider </w:t>
      </w:r>
      <w:r w:rsidRPr="00F55D70" w:rsidR="004022DA">
        <w:rPr>
          <w:szCs w:val="22"/>
        </w:rPr>
        <w:t xml:space="preserve">the “potential confidentiality of any information submitted, particularly where public release of such information could raise security concerns . . .” </w:t>
      </w:r>
      <w:r w:rsidR="00316C39">
        <w:rPr>
          <w:szCs w:val="22"/>
        </w:rPr>
        <w:t xml:space="preserve">but </w:t>
      </w:r>
      <w:r w:rsidR="00A35F7C">
        <w:rPr>
          <w:szCs w:val="22"/>
        </w:rPr>
        <w:t>also</w:t>
      </w:r>
      <w:r w:rsidRPr="00F55D70" w:rsidR="004022DA">
        <w:rPr>
          <w:szCs w:val="22"/>
        </w:rPr>
        <w:t xml:space="preserve"> </w:t>
      </w:r>
      <w:r w:rsidR="00316C39">
        <w:rPr>
          <w:szCs w:val="22"/>
        </w:rPr>
        <w:t xml:space="preserve">directed </w:t>
      </w:r>
      <w:r w:rsidR="00A35F7C">
        <w:rPr>
          <w:szCs w:val="22"/>
        </w:rPr>
        <w:t xml:space="preserve">that </w:t>
      </w:r>
      <w:r w:rsidRPr="00F55D70" w:rsidR="004022DA">
        <w:rPr>
          <w:szCs w:val="22"/>
        </w:rPr>
        <w:t>“the public interest in knowing whether a carrier uses equipment or services from Huawei or ZTE would significantly outweigh any interest the carrier would have in keeping such information confidential.”</w:t>
      </w:r>
      <w:r>
        <w:rPr>
          <w:rStyle w:val="FootnoteReference"/>
          <w:szCs w:val="22"/>
        </w:rPr>
        <w:footnoteReference w:id="5"/>
      </w:r>
      <w:r w:rsidR="003B15D9">
        <w:rPr>
          <w:szCs w:val="22"/>
        </w:rPr>
        <w:t xml:space="preserve">  </w:t>
      </w:r>
    </w:p>
    <w:p w:rsidR="005C6448" w:rsidP="00AA7F4E" w14:paraId="2347AF8E" w14:textId="77777777">
      <w:pPr>
        <w:spacing w:after="120"/>
        <w:ind w:firstLine="720"/>
        <w:rPr>
          <w:szCs w:val="22"/>
        </w:rPr>
      </w:pPr>
      <w:r>
        <w:rPr>
          <w:szCs w:val="22"/>
        </w:rPr>
        <w:t xml:space="preserve">Consistent with the </w:t>
      </w:r>
      <w:r>
        <w:rPr>
          <w:i/>
          <w:iCs/>
          <w:szCs w:val="22"/>
        </w:rPr>
        <w:t>2019 Supply Chain Order</w:t>
      </w:r>
      <w:r>
        <w:rPr>
          <w:szCs w:val="22"/>
        </w:rPr>
        <w:t xml:space="preserve">, </w:t>
      </w:r>
      <w:r w:rsidR="0082329C">
        <w:rPr>
          <w:szCs w:val="22"/>
        </w:rPr>
        <w:t>a</w:t>
      </w:r>
      <w:r w:rsidR="00E477C0">
        <w:rPr>
          <w:szCs w:val="22"/>
        </w:rPr>
        <w:t>ttach</w:t>
      </w:r>
      <w:r w:rsidR="00AA7F4E">
        <w:rPr>
          <w:szCs w:val="22"/>
        </w:rPr>
        <w:t>ed</w:t>
      </w:r>
      <w:r w:rsidR="00530D5E">
        <w:rPr>
          <w:szCs w:val="22"/>
        </w:rPr>
        <w:t xml:space="preserve"> is a </w:t>
      </w:r>
      <w:r w:rsidRPr="00F55D70" w:rsidR="001D2A90">
        <w:rPr>
          <w:szCs w:val="22"/>
        </w:rPr>
        <w:t xml:space="preserve">list </w:t>
      </w:r>
      <w:r w:rsidR="00530D5E">
        <w:rPr>
          <w:szCs w:val="22"/>
        </w:rPr>
        <w:t xml:space="preserve">of </w:t>
      </w:r>
      <w:r w:rsidRPr="00F55D70" w:rsidR="001D2A90">
        <w:rPr>
          <w:szCs w:val="22"/>
        </w:rPr>
        <w:t>ETCs that have reported the presence or use of Huawei or ZTE equipment and/or services in their networks</w:t>
      </w:r>
      <w:r w:rsidR="001B14BC">
        <w:rPr>
          <w:szCs w:val="22"/>
        </w:rPr>
        <w:t xml:space="preserve">, or in </w:t>
      </w:r>
      <w:r w:rsidR="00440614">
        <w:rPr>
          <w:szCs w:val="22"/>
        </w:rPr>
        <w:t xml:space="preserve">the </w:t>
      </w:r>
      <w:r w:rsidR="009978E8">
        <w:rPr>
          <w:szCs w:val="22"/>
        </w:rPr>
        <w:t>net</w:t>
      </w:r>
      <w:r w:rsidR="00440614">
        <w:rPr>
          <w:szCs w:val="22"/>
        </w:rPr>
        <w:t>works of their</w:t>
      </w:r>
      <w:r w:rsidR="001B14BC">
        <w:rPr>
          <w:szCs w:val="22"/>
        </w:rPr>
        <w:t xml:space="preserve"> affiliates or subsidiaries. </w:t>
      </w:r>
      <w:r w:rsidR="000E7ED2">
        <w:rPr>
          <w:szCs w:val="22"/>
        </w:rPr>
        <w:t xml:space="preserve"> </w:t>
      </w:r>
      <w:r w:rsidR="00927488">
        <w:rPr>
          <w:szCs w:val="22"/>
        </w:rPr>
        <w:t>Ba</w:t>
      </w:r>
      <w:r w:rsidR="00FB573D">
        <w:rPr>
          <w:szCs w:val="22"/>
        </w:rPr>
        <w:t xml:space="preserve">sed </w:t>
      </w:r>
      <w:r w:rsidR="000B3150">
        <w:rPr>
          <w:szCs w:val="22"/>
        </w:rPr>
        <w:t xml:space="preserve">on information </w:t>
      </w:r>
      <w:r w:rsidR="00E26A76">
        <w:rPr>
          <w:szCs w:val="22"/>
        </w:rPr>
        <w:t xml:space="preserve">WCB and OEA </w:t>
      </w:r>
      <w:r w:rsidR="009B42B5">
        <w:rPr>
          <w:szCs w:val="22"/>
        </w:rPr>
        <w:t>collected</w:t>
      </w:r>
      <w:r w:rsidR="000B3150">
        <w:rPr>
          <w:szCs w:val="22"/>
        </w:rPr>
        <w:t xml:space="preserve"> through the </w:t>
      </w:r>
      <w:r w:rsidR="005F74B7">
        <w:rPr>
          <w:szCs w:val="22"/>
        </w:rPr>
        <w:t>information</w:t>
      </w:r>
      <w:r w:rsidR="000B3150">
        <w:rPr>
          <w:szCs w:val="22"/>
        </w:rPr>
        <w:t xml:space="preserve"> </w:t>
      </w:r>
      <w:r w:rsidR="000B3150">
        <w:rPr>
          <w:szCs w:val="22"/>
        </w:rPr>
        <w:t>collection</w:t>
      </w:r>
      <w:r w:rsidR="005F74B7">
        <w:rPr>
          <w:szCs w:val="22"/>
        </w:rPr>
        <w:t>,</w:t>
      </w:r>
      <w:r w:rsidR="000B3150">
        <w:rPr>
          <w:szCs w:val="22"/>
        </w:rPr>
        <w:t xml:space="preserve"> </w:t>
      </w:r>
      <w:r w:rsidR="009B42B5">
        <w:rPr>
          <w:szCs w:val="22"/>
        </w:rPr>
        <w:t xml:space="preserve">all filers report it could cost an </w:t>
      </w:r>
      <w:r w:rsidR="00DE7DA0">
        <w:rPr>
          <w:szCs w:val="22"/>
        </w:rPr>
        <w:t>estimate</w:t>
      </w:r>
      <w:r w:rsidR="00E07C25">
        <w:rPr>
          <w:szCs w:val="22"/>
        </w:rPr>
        <w:t>d</w:t>
      </w:r>
      <w:r w:rsidR="00DE7DA0">
        <w:rPr>
          <w:szCs w:val="22"/>
        </w:rPr>
        <w:t xml:space="preserve"> </w:t>
      </w:r>
      <w:r w:rsidR="009B42B5">
        <w:rPr>
          <w:szCs w:val="22"/>
        </w:rPr>
        <w:t xml:space="preserve">$1.837 billion to </w:t>
      </w:r>
      <w:r w:rsidRPr="00B706F0" w:rsidR="009B42B5">
        <w:rPr>
          <w:szCs w:val="22"/>
        </w:rPr>
        <w:t>remov</w:t>
      </w:r>
      <w:r w:rsidR="009B42B5">
        <w:rPr>
          <w:szCs w:val="22"/>
        </w:rPr>
        <w:t>e</w:t>
      </w:r>
      <w:r w:rsidRPr="00B706F0" w:rsidR="009B42B5">
        <w:rPr>
          <w:szCs w:val="22"/>
        </w:rPr>
        <w:t xml:space="preserve"> and replac</w:t>
      </w:r>
      <w:r w:rsidR="009B42B5">
        <w:rPr>
          <w:szCs w:val="22"/>
        </w:rPr>
        <w:t>e</w:t>
      </w:r>
      <w:r w:rsidRPr="00B706F0" w:rsidR="009B42B5">
        <w:rPr>
          <w:szCs w:val="22"/>
        </w:rPr>
        <w:t xml:space="preserve"> Huawei and ZTE equipment in </w:t>
      </w:r>
      <w:r w:rsidR="009B42B5">
        <w:rPr>
          <w:szCs w:val="22"/>
        </w:rPr>
        <w:t>their networks</w:t>
      </w:r>
      <w:r w:rsidR="00DE7DA0">
        <w:rPr>
          <w:szCs w:val="22"/>
        </w:rPr>
        <w:t>.</w:t>
      </w:r>
      <w:r w:rsidR="009B42B5">
        <w:rPr>
          <w:szCs w:val="22"/>
        </w:rPr>
        <w:t xml:space="preserve">  </w:t>
      </w:r>
      <w:r w:rsidR="00DE7DA0">
        <w:rPr>
          <w:szCs w:val="22"/>
        </w:rPr>
        <w:t xml:space="preserve">Of that total, </w:t>
      </w:r>
      <w:r w:rsidR="005A57C0">
        <w:rPr>
          <w:szCs w:val="22"/>
        </w:rPr>
        <w:t>filers</w:t>
      </w:r>
      <w:r w:rsidR="009B42B5">
        <w:rPr>
          <w:szCs w:val="22"/>
        </w:rPr>
        <w:t xml:space="preserve"> that appear to initially qualify for reimbursement under the Secure and Trusted Communications Networks Act of 2019</w:t>
      </w:r>
      <w:r w:rsidR="005A57C0">
        <w:rPr>
          <w:szCs w:val="22"/>
        </w:rPr>
        <w:t xml:space="preserve"> report </w:t>
      </w:r>
      <w:r w:rsidR="009B42B5">
        <w:rPr>
          <w:szCs w:val="22"/>
        </w:rPr>
        <w:t>it could require approximately $</w:t>
      </w:r>
      <w:r w:rsidRPr="00DE7DA0" w:rsidR="00DE7DA0">
        <w:rPr>
          <w:szCs w:val="22"/>
        </w:rPr>
        <w:t>1</w:t>
      </w:r>
      <w:r w:rsidR="0059760C">
        <w:rPr>
          <w:szCs w:val="22"/>
        </w:rPr>
        <w:t>.</w:t>
      </w:r>
      <w:r w:rsidRPr="00DE7DA0" w:rsidR="00DE7DA0">
        <w:rPr>
          <w:szCs w:val="22"/>
        </w:rPr>
        <w:t>61</w:t>
      </w:r>
      <w:r w:rsidR="0059760C">
        <w:rPr>
          <w:szCs w:val="22"/>
        </w:rPr>
        <w:t>8 billion</w:t>
      </w:r>
      <w:r w:rsidR="00DE7DA0">
        <w:rPr>
          <w:szCs w:val="22"/>
        </w:rPr>
        <w:t xml:space="preserve"> </w:t>
      </w:r>
      <w:r w:rsidR="009B42B5">
        <w:rPr>
          <w:szCs w:val="22"/>
        </w:rPr>
        <w:t>to</w:t>
      </w:r>
      <w:r w:rsidR="00DE7DA0">
        <w:rPr>
          <w:szCs w:val="22"/>
        </w:rPr>
        <w:t xml:space="preserve"> remove and replace such equipment.</w:t>
      </w:r>
      <w:r>
        <w:rPr>
          <w:rStyle w:val="FootnoteReference"/>
          <w:szCs w:val="22"/>
        </w:rPr>
        <w:footnoteReference w:id="6"/>
      </w:r>
      <w:r w:rsidR="00DE7DA0">
        <w:rPr>
          <w:szCs w:val="22"/>
        </w:rPr>
        <w:t xml:space="preserve">  WCB and OEA note that other providers of advanced communications may not have participated in the information collection and yet still be eligible for reimbursement under the terms of that Act.  </w:t>
      </w:r>
      <w:r w:rsidR="000E7ED2">
        <w:rPr>
          <w:szCs w:val="22"/>
        </w:rPr>
        <w:t xml:space="preserve">WCB and OEA </w:t>
      </w:r>
      <w:r w:rsidR="00AA0EA6">
        <w:rPr>
          <w:szCs w:val="22"/>
        </w:rPr>
        <w:t xml:space="preserve">are </w:t>
      </w:r>
      <w:r w:rsidR="000E7ED2">
        <w:rPr>
          <w:szCs w:val="22"/>
        </w:rPr>
        <w:t>continu</w:t>
      </w:r>
      <w:r w:rsidR="00AA0EA6">
        <w:rPr>
          <w:szCs w:val="22"/>
        </w:rPr>
        <w:t>ing</w:t>
      </w:r>
      <w:r w:rsidR="000E7ED2">
        <w:rPr>
          <w:szCs w:val="22"/>
        </w:rPr>
        <w:t xml:space="preserve"> to </w:t>
      </w:r>
      <w:r w:rsidR="00E477C0">
        <w:rPr>
          <w:szCs w:val="22"/>
        </w:rPr>
        <w:t xml:space="preserve">review </w:t>
      </w:r>
      <w:r w:rsidR="00812A5E">
        <w:rPr>
          <w:szCs w:val="22"/>
        </w:rPr>
        <w:t xml:space="preserve">the </w:t>
      </w:r>
      <w:r w:rsidR="00490855">
        <w:rPr>
          <w:szCs w:val="22"/>
        </w:rPr>
        <w:t xml:space="preserve">cost </w:t>
      </w:r>
      <w:r w:rsidR="00AA0EA6">
        <w:rPr>
          <w:szCs w:val="22"/>
        </w:rPr>
        <w:t xml:space="preserve">data submitted </w:t>
      </w:r>
      <w:r w:rsidR="00812A5E">
        <w:rPr>
          <w:szCs w:val="22"/>
        </w:rPr>
        <w:t>in the Supply Chain Security Information Collection</w:t>
      </w:r>
      <w:r w:rsidR="00E477C0">
        <w:rPr>
          <w:szCs w:val="22"/>
        </w:rPr>
        <w:t xml:space="preserve"> as part of our ongoing proceeding</w:t>
      </w:r>
      <w:r w:rsidR="00812A5E">
        <w:rPr>
          <w:szCs w:val="22"/>
        </w:rPr>
        <w:t>, which will support the Commission’s efforts to implement the Secure and Trusted Communications Networks Act of 2019</w:t>
      </w:r>
      <w:r w:rsidR="00192D90">
        <w:rPr>
          <w:szCs w:val="22"/>
        </w:rPr>
        <w:t xml:space="preserve">, including </w:t>
      </w:r>
      <w:r w:rsidR="005400BB">
        <w:rPr>
          <w:szCs w:val="22"/>
        </w:rPr>
        <w:t>establishing the Secure and Trusted Communications Reimbursement Program</w:t>
      </w:r>
      <w:r w:rsidR="00812A5E">
        <w:rPr>
          <w:szCs w:val="22"/>
        </w:rPr>
        <w:t>.</w:t>
      </w:r>
      <w:r>
        <w:rPr>
          <w:rStyle w:val="FootnoteReference"/>
          <w:szCs w:val="22"/>
        </w:rPr>
        <w:footnoteReference w:id="7"/>
      </w:r>
    </w:p>
    <w:p w:rsidR="00AF05AC" w:rsidRPr="00F55D70" w:rsidP="006B3C97" w14:paraId="1026981B" w14:textId="77777777">
      <w:pPr>
        <w:spacing w:after="120"/>
        <w:ind w:firstLine="720"/>
        <w:rPr>
          <w:szCs w:val="22"/>
        </w:rPr>
      </w:pPr>
      <w:r>
        <w:rPr>
          <w:szCs w:val="22"/>
        </w:rPr>
        <w:t>F</w:t>
      </w:r>
      <w:r w:rsidRPr="00F55D70">
        <w:rPr>
          <w:szCs w:val="22"/>
        </w:rPr>
        <w:t xml:space="preserve">or additional information, visit the FCC’s Supply Chain Data Collection webpage at </w:t>
      </w:r>
      <w:hyperlink r:id="rId5" w:history="1">
        <w:r w:rsidRPr="00F55D70">
          <w:rPr>
            <w:rStyle w:val="Hyperlink"/>
            <w:szCs w:val="22"/>
          </w:rPr>
          <w:t>www.fcc.gov/supplychain</w:t>
        </w:r>
      </w:hyperlink>
      <w:r w:rsidR="00AD7126">
        <w:rPr>
          <w:szCs w:val="22"/>
        </w:rPr>
        <w:t xml:space="preserve">, </w:t>
      </w:r>
      <w:r w:rsidRPr="00F55D70">
        <w:rPr>
          <w:szCs w:val="22"/>
        </w:rPr>
        <w:t xml:space="preserve">or </w:t>
      </w:r>
      <w:r w:rsidR="004B7399">
        <w:rPr>
          <w:szCs w:val="22"/>
        </w:rPr>
        <w:t>contact Brian Cr</w:t>
      </w:r>
      <w:r w:rsidR="00026980">
        <w:rPr>
          <w:szCs w:val="22"/>
        </w:rPr>
        <w:t>uikshank at (202) 418</w:t>
      </w:r>
      <w:r w:rsidR="009C547C">
        <w:rPr>
          <w:szCs w:val="22"/>
        </w:rPr>
        <w:t xml:space="preserve">-3623 or via email at </w:t>
      </w:r>
      <w:hyperlink r:id="rId6" w:history="1">
        <w:r w:rsidRPr="00D7415E" w:rsidR="009C547C">
          <w:rPr>
            <w:rStyle w:val="Hyperlink"/>
            <w:szCs w:val="22"/>
          </w:rPr>
          <w:t>Brian.Cruikshank@fcc.gov</w:t>
        </w:r>
      </w:hyperlink>
      <w:r w:rsidR="009C547C">
        <w:rPr>
          <w:szCs w:val="22"/>
        </w:rPr>
        <w:t xml:space="preserve">. </w:t>
      </w:r>
    </w:p>
    <w:p w:rsidR="00AF05AC" w:rsidRPr="00F55D70" w:rsidP="00AF05AC" w14:paraId="33A5FC28" w14:textId="77777777">
      <w:pPr>
        <w:rPr>
          <w:szCs w:val="22"/>
        </w:rPr>
      </w:pPr>
    </w:p>
    <w:p w:rsidR="00AF05AC" w:rsidRPr="00F55D70" w:rsidP="00AF05AC" w14:paraId="01C754CA" w14:textId="77777777">
      <w:pPr>
        <w:rPr>
          <w:szCs w:val="22"/>
        </w:rPr>
      </w:pPr>
    </w:p>
    <w:p w:rsidR="00AF05AC" w:rsidRPr="00F55D70" w:rsidP="00AF05AC" w14:paraId="570C7D15" w14:textId="77777777">
      <w:pPr>
        <w:jc w:val="center"/>
        <w:rPr>
          <w:b/>
          <w:bCs/>
          <w:szCs w:val="22"/>
        </w:rPr>
      </w:pPr>
      <w:r w:rsidRPr="00F55D70">
        <w:rPr>
          <w:b/>
          <w:bCs/>
          <w:szCs w:val="22"/>
        </w:rPr>
        <w:t>-FCC-</w:t>
      </w:r>
    </w:p>
    <w:p w:rsidR="00AF05AC" w:rsidRPr="00F55D70" w:rsidP="00AF05AC" w14:paraId="15277536" w14:textId="77777777">
      <w:pPr>
        <w:jc w:val="center"/>
        <w:rPr>
          <w:szCs w:val="22"/>
        </w:rPr>
      </w:pPr>
    </w:p>
    <w:p w:rsidR="0060245F" w:rsidRPr="00153794" w:rsidP="00E738EE" w14:paraId="3B373D8F" w14:textId="60C327D5">
      <w:pPr>
        <w:jc w:val="center"/>
        <w:rPr>
          <w:bCs/>
          <w:szCs w:val="22"/>
        </w:rPr>
      </w:pPr>
      <w:r>
        <w:rPr>
          <w:szCs w:val="22"/>
        </w:rPr>
        <w:br w:type="page"/>
      </w:r>
      <w:bookmarkStart w:id="1" w:name="_GoBack"/>
      <w:r w:rsidRPr="00E738EE">
        <w:rPr>
          <w:noProof/>
        </w:rPr>
        <w:drawing>
          <wp:inline distT="0" distB="0" distL="0" distR="0">
            <wp:extent cx="5943600" cy="8510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77671" name="Picture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510270"/>
                    </a:xfrm>
                    <a:prstGeom prst="rect">
                      <a:avLst/>
                    </a:prstGeom>
                    <a:noFill/>
                    <a:ln>
                      <a:noFill/>
                    </a:ln>
                  </pic:spPr>
                </pic:pic>
              </a:graphicData>
            </a:graphic>
          </wp:inline>
        </w:drawing>
      </w:r>
      <w:bookmarkEnd w:id="1"/>
    </w:p>
    <w:sectPr w:rsidSect="00E738EE">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E79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376D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755E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8E43F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4B64" w14:paraId="748525DE" w14:textId="77777777">
      <w:r>
        <w:separator/>
      </w:r>
    </w:p>
  </w:footnote>
  <w:footnote w:type="continuationSeparator" w:id="1">
    <w:p w:rsidR="00924B64" w14:paraId="3CA4814E" w14:textId="77777777">
      <w:pPr>
        <w:rPr>
          <w:sz w:val="20"/>
        </w:rPr>
      </w:pPr>
      <w:r>
        <w:rPr>
          <w:sz w:val="20"/>
        </w:rPr>
        <w:t xml:space="preserve">(Continued from previous page)  </w:t>
      </w:r>
      <w:r>
        <w:rPr>
          <w:sz w:val="20"/>
        </w:rPr>
        <w:separator/>
      </w:r>
    </w:p>
  </w:footnote>
  <w:footnote w:type="continuationNotice" w:id="2">
    <w:p w:rsidR="00924B64" w:rsidP="00910F12" w14:paraId="66A95D7A" w14:textId="77777777">
      <w:pPr>
        <w:jc w:val="right"/>
        <w:rPr>
          <w:sz w:val="20"/>
        </w:rPr>
      </w:pPr>
      <w:r>
        <w:rPr>
          <w:sz w:val="20"/>
        </w:rPr>
        <w:t>(continued….)</w:t>
      </w:r>
    </w:p>
  </w:footnote>
  <w:footnote w:id="3">
    <w:p w:rsidR="008B1737" w:rsidRPr="008B1737" w14:paraId="1D1B0622" w14:textId="77777777">
      <w:pPr>
        <w:pStyle w:val="FootnoteText"/>
      </w:pPr>
      <w:r>
        <w:rPr>
          <w:rStyle w:val="FootnoteReference"/>
        </w:rPr>
        <w:footnoteRef/>
      </w:r>
      <w:r>
        <w:t xml:space="preserve"> </w:t>
      </w:r>
      <w:r>
        <w:rPr>
          <w:i/>
          <w:iCs/>
        </w:rPr>
        <w:t>See Protecting Against National Security Threats to the Communications Supply Chain Through FCC Programs</w:t>
      </w:r>
      <w:r>
        <w:t>, WC Docket No. 18-89, Report and Order, Further Notice of Proposed Rulemaking, and Order, 34 FCC Rcd 11423, 11481-82, para. 162 (2019) (</w:t>
      </w:r>
      <w:r>
        <w:rPr>
          <w:i/>
          <w:iCs/>
        </w:rPr>
        <w:t>2019 Supply Chain Order</w:t>
      </w:r>
      <w:r>
        <w:t>).</w:t>
      </w:r>
      <w:r w:rsidR="00067AA8">
        <w:t xml:space="preserve">  </w:t>
      </w:r>
      <w:r w:rsidR="004B5197">
        <w:t xml:space="preserve">In the </w:t>
      </w:r>
      <w:r w:rsidR="004B5197">
        <w:rPr>
          <w:i/>
          <w:iCs/>
        </w:rPr>
        <w:t>2019 Supply Chain Order</w:t>
      </w:r>
      <w:r w:rsidR="007C7902">
        <w:t>,</w:t>
      </w:r>
      <w:r w:rsidR="004B5197">
        <w:t xml:space="preserve"> </w:t>
      </w:r>
      <w:r w:rsidR="004B5197">
        <w:rPr>
          <w:szCs w:val="22"/>
        </w:rPr>
        <w:t>t</w:t>
      </w:r>
      <w:r w:rsidRPr="00F55D70" w:rsidR="00067AA8">
        <w:rPr>
          <w:szCs w:val="22"/>
        </w:rPr>
        <w:t>he Commission initially designated Huawei Technologies Company (Huawei) and ZTE Corporation (ZTE), and their affiliates, subsidiaries, and parents, as covered companies for the purposes of this prohibition</w:t>
      </w:r>
      <w:r w:rsidR="00067AA8">
        <w:rPr>
          <w:szCs w:val="22"/>
        </w:rPr>
        <w:t xml:space="preserve">. </w:t>
      </w:r>
      <w:r w:rsidR="00C70F51">
        <w:rPr>
          <w:i/>
          <w:iCs/>
        </w:rPr>
        <w:t>Id.</w:t>
      </w:r>
      <w:r w:rsidR="00067AA8">
        <w:t xml:space="preserve"> at 11442, para. 47; </w:t>
      </w:r>
      <w:r w:rsidR="00C70F51">
        <w:rPr>
          <w:i/>
          <w:iCs/>
        </w:rPr>
        <w:t>id.</w:t>
      </w:r>
      <w:r w:rsidR="00C70F51">
        <w:rPr>
          <w:szCs w:val="22"/>
        </w:rPr>
        <w:t xml:space="preserve"> at 11447, para. 59.  </w:t>
      </w:r>
      <w:r w:rsidR="0090439C">
        <w:rPr>
          <w:szCs w:val="22"/>
        </w:rPr>
        <w:t>On June 30</w:t>
      </w:r>
      <w:r w:rsidR="00493FEB">
        <w:rPr>
          <w:szCs w:val="22"/>
        </w:rPr>
        <w:t>, 2020,</w:t>
      </w:r>
      <w:r w:rsidR="0090439C">
        <w:rPr>
          <w:szCs w:val="22"/>
        </w:rPr>
        <w:t xml:space="preserve"> </w:t>
      </w:r>
      <w:r w:rsidR="00C70F51">
        <w:rPr>
          <w:szCs w:val="22"/>
        </w:rPr>
        <w:t xml:space="preserve">the Public Safety and Homeland Security Bureau released final designation orders </w:t>
      </w:r>
      <w:r w:rsidR="009F7CD3">
        <w:rPr>
          <w:szCs w:val="22"/>
        </w:rPr>
        <w:t>designating Huawei and ZTE as covered companies for the purposes of the Commission’s rules</w:t>
      </w:r>
      <w:r w:rsidR="00C70F51">
        <w:rPr>
          <w:szCs w:val="22"/>
        </w:rPr>
        <w:t xml:space="preserve">.  </w:t>
      </w:r>
      <w:r w:rsidRPr="00CE75F8" w:rsidR="00C70F51">
        <w:rPr>
          <w:i/>
          <w:iCs/>
        </w:rPr>
        <w:t>See generally Protecting Against National Security Threats to the Communications Supply Chain Through FCC Programs – Huawei Designation</w:t>
      </w:r>
      <w:r w:rsidR="00C70F51">
        <w:t xml:space="preserve">, PS Docket No. 19-351, Order, DA 20-690 (PSHSB Jun. 30, 2020); </w:t>
      </w:r>
      <w:r w:rsidRPr="00CE75F8" w:rsidR="00C70F51">
        <w:rPr>
          <w:i/>
          <w:iCs/>
        </w:rPr>
        <w:t>Protecting Against National Security Threats to the Communications Supply Chain Through FCC Programs – ZTE Designation</w:t>
      </w:r>
      <w:r w:rsidR="00C70F51">
        <w:t>, PS Docket No. 19-352, Order, DA 20-691 (PSHSB Jun. 30, 2020).</w:t>
      </w:r>
    </w:p>
  </w:footnote>
  <w:footnote w:id="4">
    <w:p w:rsidR="004022DA" w:rsidRPr="008B1737" w:rsidP="004022DA" w14:paraId="30C6FE79" w14:textId="77777777">
      <w:pPr>
        <w:pStyle w:val="FootnoteText"/>
      </w:pPr>
      <w:r>
        <w:rPr>
          <w:rStyle w:val="FootnoteReference"/>
        </w:rPr>
        <w:footnoteRef/>
      </w:r>
      <w:r>
        <w:t xml:space="preserve"> </w:t>
      </w:r>
      <w:r w:rsidR="00CA3C4C">
        <w:rPr>
          <w:i/>
          <w:iCs/>
        </w:rPr>
        <w:t>2019 Supply Chain Order,</w:t>
      </w:r>
      <w:r w:rsidR="00CA3C4C">
        <w:t xml:space="preserve"> 34 FCC Rcd</w:t>
      </w:r>
      <w:r>
        <w:rPr>
          <w:i/>
          <w:iCs/>
        </w:rPr>
        <w:t xml:space="preserve"> </w:t>
      </w:r>
      <w:r w:rsidRPr="008B1737">
        <w:t>at 11482, para. 165.</w:t>
      </w:r>
      <w:r>
        <w:rPr>
          <w:i/>
          <w:iCs/>
        </w:rPr>
        <w:t xml:space="preserve">  </w:t>
      </w:r>
      <w:r>
        <w:t xml:space="preserve"> </w:t>
      </w:r>
    </w:p>
  </w:footnote>
  <w:footnote w:id="5">
    <w:p w:rsidR="004022DA" w:rsidRPr="00AF05AC" w:rsidP="004022DA" w14:paraId="5D1D43AB" w14:textId="77777777">
      <w:pPr>
        <w:pStyle w:val="FootnoteText"/>
      </w:pPr>
      <w:r>
        <w:rPr>
          <w:rStyle w:val="FootnoteReference"/>
        </w:rPr>
        <w:footnoteRef/>
      </w:r>
      <w:r>
        <w:t xml:space="preserve"> </w:t>
      </w:r>
      <w:r>
        <w:rPr>
          <w:i/>
          <w:iCs/>
        </w:rPr>
        <w:t>Id.</w:t>
      </w:r>
      <w:r>
        <w:t xml:space="preserve"> at 11482, para. 166. </w:t>
      </w:r>
    </w:p>
  </w:footnote>
  <w:footnote w:id="6">
    <w:p w:rsidR="00DE7DA0" w14:paraId="46B9DD8C" w14:textId="77777777">
      <w:pPr>
        <w:pStyle w:val="FootnoteText"/>
      </w:pPr>
      <w:r>
        <w:rPr>
          <w:rStyle w:val="FootnoteReference"/>
        </w:rPr>
        <w:footnoteRef/>
      </w:r>
      <w:r>
        <w:t xml:space="preserve"> For purposes of this estimate, staff did not include the costs associated with educational entities that have not yet shown that they are “providers of advanced communications” nor those providers that appear to have more than 2,000,000 customers.  </w:t>
      </w:r>
      <w:r w:rsidRPr="00135332" w:rsidR="0059760C">
        <w:rPr>
          <w:i/>
          <w:iCs/>
        </w:rPr>
        <w:t>See</w:t>
      </w:r>
      <w:r w:rsidR="0059760C">
        <w:t xml:space="preserve"> </w:t>
      </w:r>
      <w:r w:rsidR="0059760C">
        <w:rPr>
          <w:szCs w:val="22"/>
        </w:rPr>
        <w:t>Secure and Trusted Communications Networks Act of 2019 § 4(b)</w:t>
      </w:r>
      <w:r w:rsidR="00EF3901">
        <w:rPr>
          <w:szCs w:val="22"/>
        </w:rPr>
        <w:t xml:space="preserve"> (</w:t>
      </w:r>
      <w:r w:rsidR="0059760C">
        <w:rPr>
          <w:szCs w:val="22"/>
        </w:rPr>
        <w:t>codified at 47 U.S.C. § 1603(b)</w:t>
      </w:r>
      <w:r w:rsidR="00EF3901">
        <w:rPr>
          <w:szCs w:val="22"/>
        </w:rPr>
        <w:t>)</w:t>
      </w:r>
      <w:r w:rsidR="0059760C">
        <w:rPr>
          <w:szCs w:val="22"/>
        </w:rPr>
        <w:t>.</w:t>
      </w:r>
    </w:p>
  </w:footnote>
  <w:footnote w:id="7">
    <w:p w:rsidR="00AC54DB" w14:paraId="6375294F" w14:textId="77777777">
      <w:pPr>
        <w:pStyle w:val="FootnoteText"/>
      </w:pPr>
      <w:r>
        <w:rPr>
          <w:rStyle w:val="FootnoteReference"/>
        </w:rPr>
        <w:footnoteRef/>
      </w:r>
      <w:r>
        <w:t xml:space="preserve"> </w:t>
      </w:r>
      <w:r w:rsidR="00441568">
        <w:t xml:space="preserve">Pub. L. No. 116-124, 133 Stat. 158 (2020) (codified as amended at 47 U.S.C. §§ 1601–1609).  </w:t>
      </w:r>
      <w:r w:rsidRPr="006B3C97" w:rsidR="00441568">
        <w:rPr>
          <w:i/>
          <w:iCs/>
        </w:rPr>
        <w:t>See</w:t>
      </w:r>
      <w:r w:rsidR="00441568">
        <w:t xml:space="preserve"> </w:t>
      </w:r>
      <w:r w:rsidR="00BD4F7D">
        <w:rPr>
          <w:i/>
          <w:iCs/>
        </w:rPr>
        <w:t>Protecting Against National Security Threats to the Communications Supply Chain Through FCC Programs</w:t>
      </w:r>
      <w:r w:rsidR="00BD4F7D">
        <w:t xml:space="preserve">, WC Docket No. 18-89, Declaratory Ruling and Second Further Notice of Proposed Rulemaking, </w:t>
      </w:r>
      <w:r w:rsidR="00373342">
        <w:t>FCC 20-99</w:t>
      </w:r>
      <w:r w:rsidR="005B4ADA">
        <w:t>, paras. 54-55</w:t>
      </w:r>
      <w:r w:rsidR="00373342">
        <w:t xml:space="preserve"> (July 16, 2020)</w:t>
      </w:r>
      <w:r w:rsidR="005B4A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36C74D" w14:textId="77777777">
    <w:pPr>
      <w:tabs>
        <w:tab w:val="center" w:pos="4680"/>
        <w:tab w:val="right" w:pos="9360"/>
      </w:tabs>
    </w:pPr>
    <w:r w:rsidRPr="009838BC">
      <w:rPr>
        <w:b/>
      </w:rPr>
      <w:tab/>
      <w:t>Federal Communications Commission</w:t>
    </w:r>
    <w:r w:rsidRPr="009838BC">
      <w:rPr>
        <w:b/>
      </w:rPr>
      <w:tab/>
    </w:r>
    <w:r w:rsidR="00AF05AC">
      <w:rPr>
        <w:b/>
      </w:rPr>
      <w:t>DA 20-</w:t>
    </w:r>
    <w:r w:rsidR="00D85678">
      <w:rPr>
        <w:b/>
      </w:rPr>
      <w:t>1037</w:t>
    </w:r>
  </w:p>
  <w:p w:rsidR="009838BC" w:rsidRPr="009838BC" w:rsidP="009838BC" w14:paraId="2888B0D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EF4CFB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79C71C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FE52278" w14:textId="77777777">
                          <w:pPr>
                            <w:rPr>
                              <w:rFonts w:ascii="Arial" w:hAnsi="Arial"/>
                              <w:b/>
                            </w:rPr>
                          </w:pPr>
                          <w:r>
                            <w:rPr>
                              <w:rFonts w:ascii="Arial" w:hAnsi="Arial"/>
                              <w:b/>
                            </w:rPr>
                            <w:t>Federal Communications Commission</w:t>
                          </w:r>
                        </w:p>
                        <w:p w:rsidR="009838BC" w:rsidP="009838BC" w14:paraId="246837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26F90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FFBCA02" w14:textId="77777777">
                    <w:pPr>
                      <w:rPr>
                        <w:rFonts w:ascii="Arial" w:hAnsi="Arial"/>
                        <w:b/>
                      </w:rPr>
                    </w:pPr>
                    <w:r>
                      <w:rPr>
                        <w:rFonts w:ascii="Arial" w:hAnsi="Arial"/>
                        <w:b/>
                      </w:rPr>
                      <w:t>Federal Communications Commission</w:t>
                    </w:r>
                  </w:p>
                  <w:p w:rsidR="009838BC" w:rsidP="009838BC" w14:paraId="7981A74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DFB7F6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22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7C5C13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1F3B6AB" w14:textId="77777777">
                          <w:pPr>
                            <w:spacing w:before="40"/>
                            <w:jc w:val="right"/>
                            <w:rPr>
                              <w:rFonts w:ascii="Arial" w:hAnsi="Arial"/>
                              <w:b/>
                              <w:sz w:val="16"/>
                            </w:rPr>
                          </w:pPr>
                          <w:r>
                            <w:rPr>
                              <w:rFonts w:ascii="Arial" w:hAnsi="Arial"/>
                              <w:b/>
                              <w:sz w:val="16"/>
                            </w:rPr>
                            <w:t>News Media Information 202 / 418-0500</w:t>
                          </w:r>
                        </w:p>
                        <w:p w:rsidR="009838BC" w:rsidP="009838BC" w14:paraId="1DB38D2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C3B9CA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A6AEB66" w14:textId="77777777">
                    <w:pPr>
                      <w:spacing w:before="40"/>
                      <w:jc w:val="right"/>
                      <w:rPr>
                        <w:rFonts w:ascii="Arial" w:hAnsi="Arial"/>
                        <w:b/>
                        <w:sz w:val="16"/>
                      </w:rPr>
                    </w:pPr>
                    <w:r>
                      <w:rPr>
                        <w:rFonts w:ascii="Arial" w:hAnsi="Arial"/>
                        <w:b/>
                        <w:sz w:val="16"/>
                      </w:rPr>
                      <w:t>News Media Information 202 / 418-0500</w:t>
                    </w:r>
                  </w:p>
                  <w:p w:rsidR="009838BC" w:rsidP="009838BC" w14:paraId="72D5AB5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A1A985A" w14:textId="77777777">
                    <w:pPr>
                      <w:jc w:val="right"/>
                    </w:pPr>
                    <w:r>
                      <w:rPr>
                        <w:rFonts w:ascii="Arial" w:hAnsi="Arial"/>
                        <w:b/>
                        <w:sz w:val="16"/>
                      </w:rPr>
                      <w:t>TTY: 1-888-835-5322</w:t>
                    </w:r>
                  </w:p>
                </w:txbxContent>
              </v:textbox>
            </v:shape>
          </w:pict>
        </mc:Fallback>
      </mc:AlternateContent>
    </w:r>
  </w:p>
  <w:p w:rsidR="006F7393" w:rsidRPr="009838BC" w:rsidP="009838BC" w14:paraId="5892910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C89087D"/>
    <w:multiLevelType w:val="hybridMultilevel"/>
    <w:tmpl w:val="E9EEFBA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2"/>
    <w:rsid w:val="000072CE"/>
    <w:rsid w:val="00007F3F"/>
    <w:rsid w:val="00013A8B"/>
    <w:rsid w:val="00021445"/>
    <w:rsid w:val="00026980"/>
    <w:rsid w:val="00036039"/>
    <w:rsid w:val="00037F90"/>
    <w:rsid w:val="00047DCE"/>
    <w:rsid w:val="000545C0"/>
    <w:rsid w:val="00067AA8"/>
    <w:rsid w:val="000875BF"/>
    <w:rsid w:val="00096D8C"/>
    <w:rsid w:val="000B3150"/>
    <w:rsid w:val="000C0B65"/>
    <w:rsid w:val="000C0EE5"/>
    <w:rsid w:val="000C7C99"/>
    <w:rsid w:val="000E3D42"/>
    <w:rsid w:val="000E5884"/>
    <w:rsid w:val="000E7ED2"/>
    <w:rsid w:val="00122BD5"/>
    <w:rsid w:val="00135332"/>
    <w:rsid w:val="00140D6A"/>
    <w:rsid w:val="00142D0E"/>
    <w:rsid w:val="00153794"/>
    <w:rsid w:val="001542EA"/>
    <w:rsid w:val="00156839"/>
    <w:rsid w:val="00192D90"/>
    <w:rsid w:val="001979D9"/>
    <w:rsid w:val="001B14BC"/>
    <w:rsid w:val="001B4EE0"/>
    <w:rsid w:val="001D2A90"/>
    <w:rsid w:val="001D6BCF"/>
    <w:rsid w:val="001E01CA"/>
    <w:rsid w:val="002060D9"/>
    <w:rsid w:val="00226822"/>
    <w:rsid w:val="00244FA0"/>
    <w:rsid w:val="00260594"/>
    <w:rsid w:val="00263F1F"/>
    <w:rsid w:val="002662B3"/>
    <w:rsid w:val="002723A5"/>
    <w:rsid w:val="00285017"/>
    <w:rsid w:val="002A2D2E"/>
    <w:rsid w:val="002D4906"/>
    <w:rsid w:val="002F42E9"/>
    <w:rsid w:val="00316C39"/>
    <w:rsid w:val="0033081B"/>
    <w:rsid w:val="00343749"/>
    <w:rsid w:val="00352550"/>
    <w:rsid w:val="00357D50"/>
    <w:rsid w:val="00373342"/>
    <w:rsid w:val="003925DC"/>
    <w:rsid w:val="0039680D"/>
    <w:rsid w:val="003A3A31"/>
    <w:rsid w:val="003B0550"/>
    <w:rsid w:val="003B15D9"/>
    <w:rsid w:val="003B694F"/>
    <w:rsid w:val="003C52E4"/>
    <w:rsid w:val="003F171C"/>
    <w:rsid w:val="004022DA"/>
    <w:rsid w:val="00412FC5"/>
    <w:rsid w:val="00415691"/>
    <w:rsid w:val="00422276"/>
    <w:rsid w:val="004242F1"/>
    <w:rsid w:val="00431276"/>
    <w:rsid w:val="00440614"/>
    <w:rsid w:val="00441568"/>
    <w:rsid w:val="00445A00"/>
    <w:rsid w:val="00451B0F"/>
    <w:rsid w:val="0046125F"/>
    <w:rsid w:val="00462CDD"/>
    <w:rsid w:val="00486525"/>
    <w:rsid w:val="00487524"/>
    <w:rsid w:val="00490855"/>
    <w:rsid w:val="00490C63"/>
    <w:rsid w:val="00493FEB"/>
    <w:rsid w:val="00496106"/>
    <w:rsid w:val="00496A09"/>
    <w:rsid w:val="004A6846"/>
    <w:rsid w:val="004B5197"/>
    <w:rsid w:val="004B7399"/>
    <w:rsid w:val="004B7EE4"/>
    <w:rsid w:val="004C12D0"/>
    <w:rsid w:val="004C1A0B"/>
    <w:rsid w:val="004C2EE3"/>
    <w:rsid w:val="004E4269"/>
    <w:rsid w:val="004E4A22"/>
    <w:rsid w:val="004F48E3"/>
    <w:rsid w:val="005022FD"/>
    <w:rsid w:val="00511968"/>
    <w:rsid w:val="00530D5E"/>
    <w:rsid w:val="005400BB"/>
    <w:rsid w:val="0055493E"/>
    <w:rsid w:val="0055614C"/>
    <w:rsid w:val="0057675C"/>
    <w:rsid w:val="0059760C"/>
    <w:rsid w:val="005A375B"/>
    <w:rsid w:val="005A57C0"/>
    <w:rsid w:val="005A7BF7"/>
    <w:rsid w:val="005B4ADA"/>
    <w:rsid w:val="005B502A"/>
    <w:rsid w:val="005C6448"/>
    <w:rsid w:val="005F74B7"/>
    <w:rsid w:val="0060245F"/>
    <w:rsid w:val="006031DA"/>
    <w:rsid w:val="00607BA5"/>
    <w:rsid w:val="00626EB6"/>
    <w:rsid w:val="00627E58"/>
    <w:rsid w:val="006316FA"/>
    <w:rsid w:val="006353A3"/>
    <w:rsid w:val="00655D03"/>
    <w:rsid w:val="0066304E"/>
    <w:rsid w:val="00665063"/>
    <w:rsid w:val="00665B89"/>
    <w:rsid w:val="00683F84"/>
    <w:rsid w:val="006A6A81"/>
    <w:rsid w:val="006B3C97"/>
    <w:rsid w:val="006C7F4B"/>
    <w:rsid w:val="006E26AF"/>
    <w:rsid w:val="006E56A9"/>
    <w:rsid w:val="006F7393"/>
    <w:rsid w:val="0070224F"/>
    <w:rsid w:val="00703C16"/>
    <w:rsid w:val="007115F7"/>
    <w:rsid w:val="00761EAA"/>
    <w:rsid w:val="00764743"/>
    <w:rsid w:val="00782CF6"/>
    <w:rsid w:val="00785689"/>
    <w:rsid w:val="00796F82"/>
    <w:rsid w:val="0079754B"/>
    <w:rsid w:val="007A1E6D"/>
    <w:rsid w:val="007B111C"/>
    <w:rsid w:val="007C7902"/>
    <w:rsid w:val="007D1E56"/>
    <w:rsid w:val="008026FC"/>
    <w:rsid w:val="00812A5E"/>
    <w:rsid w:val="00822CE0"/>
    <w:rsid w:val="0082329C"/>
    <w:rsid w:val="00837C62"/>
    <w:rsid w:val="00841AB1"/>
    <w:rsid w:val="00877E8D"/>
    <w:rsid w:val="00890AE9"/>
    <w:rsid w:val="008B1737"/>
    <w:rsid w:val="008C22FD"/>
    <w:rsid w:val="008C3F8B"/>
    <w:rsid w:val="008F5108"/>
    <w:rsid w:val="0090439C"/>
    <w:rsid w:val="00910F12"/>
    <w:rsid w:val="00924B64"/>
    <w:rsid w:val="00926503"/>
    <w:rsid w:val="00927488"/>
    <w:rsid w:val="00930ECF"/>
    <w:rsid w:val="009770CD"/>
    <w:rsid w:val="009838BC"/>
    <w:rsid w:val="009978E8"/>
    <w:rsid w:val="009A3C8E"/>
    <w:rsid w:val="009B42B5"/>
    <w:rsid w:val="009C547C"/>
    <w:rsid w:val="009E0384"/>
    <w:rsid w:val="009F7CD3"/>
    <w:rsid w:val="00A35F7C"/>
    <w:rsid w:val="00A45F4F"/>
    <w:rsid w:val="00A600A9"/>
    <w:rsid w:val="00A7596B"/>
    <w:rsid w:val="00A866AC"/>
    <w:rsid w:val="00AA0EA6"/>
    <w:rsid w:val="00AA55B7"/>
    <w:rsid w:val="00AA5B9E"/>
    <w:rsid w:val="00AA7F4E"/>
    <w:rsid w:val="00AB2407"/>
    <w:rsid w:val="00AB53DF"/>
    <w:rsid w:val="00AC54DB"/>
    <w:rsid w:val="00AD7126"/>
    <w:rsid w:val="00AF05AC"/>
    <w:rsid w:val="00B07E5C"/>
    <w:rsid w:val="00B326E3"/>
    <w:rsid w:val="00B706F0"/>
    <w:rsid w:val="00B811F7"/>
    <w:rsid w:val="00B95F41"/>
    <w:rsid w:val="00BA5DC6"/>
    <w:rsid w:val="00BA6196"/>
    <w:rsid w:val="00BA6EC7"/>
    <w:rsid w:val="00BB5CD5"/>
    <w:rsid w:val="00BC67EE"/>
    <w:rsid w:val="00BC6D8C"/>
    <w:rsid w:val="00BD4F7D"/>
    <w:rsid w:val="00C16AF2"/>
    <w:rsid w:val="00C21A73"/>
    <w:rsid w:val="00C34006"/>
    <w:rsid w:val="00C426B1"/>
    <w:rsid w:val="00C70F51"/>
    <w:rsid w:val="00C82B6B"/>
    <w:rsid w:val="00C8721B"/>
    <w:rsid w:val="00C8764B"/>
    <w:rsid w:val="00C90D6A"/>
    <w:rsid w:val="00CA3C4C"/>
    <w:rsid w:val="00CC72B6"/>
    <w:rsid w:val="00CE4D7B"/>
    <w:rsid w:val="00CE75F8"/>
    <w:rsid w:val="00D01285"/>
    <w:rsid w:val="00D0218D"/>
    <w:rsid w:val="00D1174E"/>
    <w:rsid w:val="00D13649"/>
    <w:rsid w:val="00D17576"/>
    <w:rsid w:val="00D216CD"/>
    <w:rsid w:val="00D30003"/>
    <w:rsid w:val="00D35C95"/>
    <w:rsid w:val="00D55F48"/>
    <w:rsid w:val="00D64991"/>
    <w:rsid w:val="00D6732A"/>
    <w:rsid w:val="00D7415E"/>
    <w:rsid w:val="00D85678"/>
    <w:rsid w:val="00DA2529"/>
    <w:rsid w:val="00DA2A28"/>
    <w:rsid w:val="00DA501B"/>
    <w:rsid w:val="00DB130A"/>
    <w:rsid w:val="00DB3538"/>
    <w:rsid w:val="00DC10A1"/>
    <w:rsid w:val="00DC578C"/>
    <w:rsid w:val="00DC655F"/>
    <w:rsid w:val="00DD7EBD"/>
    <w:rsid w:val="00DE7DA0"/>
    <w:rsid w:val="00DF62B6"/>
    <w:rsid w:val="00E014ED"/>
    <w:rsid w:val="00E07225"/>
    <w:rsid w:val="00E07C25"/>
    <w:rsid w:val="00E155B7"/>
    <w:rsid w:val="00E26A76"/>
    <w:rsid w:val="00E477C0"/>
    <w:rsid w:val="00E51AD1"/>
    <w:rsid w:val="00E5409F"/>
    <w:rsid w:val="00E70BDB"/>
    <w:rsid w:val="00E738EE"/>
    <w:rsid w:val="00E83149"/>
    <w:rsid w:val="00EC0185"/>
    <w:rsid w:val="00EC56FA"/>
    <w:rsid w:val="00EF3901"/>
    <w:rsid w:val="00F021FA"/>
    <w:rsid w:val="00F10F33"/>
    <w:rsid w:val="00F55D70"/>
    <w:rsid w:val="00F5631F"/>
    <w:rsid w:val="00F57ACA"/>
    <w:rsid w:val="00F62E97"/>
    <w:rsid w:val="00F64209"/>
    <w:rsid w:val="00F6479B"/>
    <w:rsid w:val="00F67292"/>
    <w:rsid w:val="00F748D2"/>
    <w:rsid w:val="00F87586"/>
    <w:rsid w:val="00F87C6B"/>
    <w:rsid w:val="00F93BF5"/>
    <w:rsid w:val="00F96F63"/>
    <w:rsid w:val="00FB37FD"/>
    <w:rsid w:val="00FB573D"/>
    <w:rsid w:val="00FD6499"/>
    <w:rsid w:val="00FE12FC"/>
    <w:rsid w:val="00FE6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AA2AA7-FE6F-4BE1-B834-87F74BD1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F748D2"/>
    <w:rPr>
      <w:sz w:val="16"/>
      <w:szCs w:val="16"/>
    </w:rPr>
  </w:style>
  <w:style w:type="paragraph" w:styleId="CommentText">
    <w:name w:val="annotation text"/>
    <w:basedOn w:val="Normal"/>
    <w:link w:val="CommentTextChar"/>
    <w:uiPriority w:val="99"/>
    <w:semiHidden/>
    <w:unhideWhenUsed/>
    <w:rsid w:val="00F748D2"/>
    <w:rPr>
      <w:sz w:val="20"/>
    </w:rPr>
  </w:style>
  <w:style w:type="character" w:customStyle="1" w:styleId="CommentTextChar">
    <w:name w:val="Comment Text Char"/>
    <w:link w:val="CommentText"/>
    <w:uiPriority w:val="99"/>
    <w:semiHidden/>
    <w:rsid w:val="00F748D2"/>
    <w:rPr>
      <w:snapToGrid w:val="0"/>
      <w:kern w:val="28"/>
    </w:rPr>
  </w:style>
  <w:style w:type="paragraph" w:styleId="CommentSubject">
    <w:name w:val="annotation subject"/>
    <w:basedOn w:val="CommentText"/>
    <w:next w:val="CommentText"/>
    <w:link w:val="CommentSubjectChar"/>
    <w:uiPriority w:val="99"/>
    <w:semiHidden/>
    <w:unhideWhenUsed/>
    <w:rsid w:val="00F748D2"/>
    <w:rPr>
      <w:b/>
      <w:bCs/>
    </w:rPr>
  </w:style>
  <w:style w:type="character" w:customStyle="1" w:styleId="CommentSubjectChar">
    <w:name w:val="Comment Subject Char"/>
    <w:link w:val="CommentSubject"/>
    <w:uiPriority w:val="99"/>
    <w:semiHidden/>
    <w:rsid w:val="00F748D2"/>
    <w:rPr>
      <w:b/>
      <w:bCs/>
      <w:snapToGrid w:val="0"/>
      <w:kern w:val="28"/>
    </w:rPr>
  </w:style>
  <w:style w:type="paragraph" w:styleId="BalloonText">
    <w:name w:val="Balloon Text"/>
    <w:basedOn w:val="Normal"/>
    <w:link w:val="BalloonTextChar"/>
    <w:uiPriority w:val="99"/>
    <w:semiHidden/>
    <w:unhideWhenUsed/>
    <w:rsid w:val="00F748D2"/>
    <w:rPr>
      <w:rFonts w:ascii="Segoe UI" w:hAnsi="Segoe UI" w:cs="Segoe UI"/>
      <w:sz w:val="18"/>
      <w:szCs w:val="18"/>
    </w:rPr>
  </w:style>
  <w:style w:type="character" w:customStyle="1" w:styleId="BalloonTextChar">
    <w:name w:val="Balloon Text Char"/>
    <w:link w:val="BalloonText"/>
    <w:uiPriority w:val="99"/>
    <w:semiHidden/>
    <w:rsid w:val="00F748D2"/>
    <w:rPr>
      <w:rFonts w:ascii="Segoe UI" w:hAnsi="Segoe UI" w:cs="Segoe UI"/>
      <w:snapToGrid w:val="0"/>
      <w:kern w:val="28"/>
      <w:sz w:val="18"/>
      <w:szCs w:val="1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locked/>
    <w:rsid w:val="008B1737"/>
  </w:style>
  <w:style w:type="character" w:customStyle="1" w:styleId="UnresolvedMention1">
    <w:name w:val="Unresolved Mention1"/>
    <w:uiPriority w:val="99"/>
    <w:unhideWhenUsed/>
    <w:rsid w:val="00AF05AC"/>
    <w:rPr>
      <w:color w:val="605E5C"/>
      <w:shd w:val="clear" w:color="auto" w:fill="E1DFDD"/>
    </w:rPr>
  </w:style>
  <w:style w:type="character" w:customStyle="1" w:styleId="Mention1">
    <w:name w:val="Mention1"/>
    <w:uiPriority w:val="99"/>
    <w:unhideWhenUsed/>
    <w:rsid w:val="003A3A31"/>
    <w:rPr>
      <w:color w:val="2B579A"/>
      <w:shd w:val="clear" w:color="auto" w:fill="E1DFDD"/>
    </w:rPr>
  </w:style>
  <w:style w:type="paragraph" w:styleId="Revision">
    <w:name w:val="Revision"/>
    <w:hidden/>
    <w:uiPriority w:val="99"/>
    <w:semiHidden/>
    <w:rsid w:val="00316C3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upplychain" TargetMode="External" /><Relationship Id="rId6" Type="http://schemas.openxmlformats.org/officeDocument/2006/relationships/hyperlink" Target="mailto:Brian.Cruikshank@fcc.gov" TargetMode="External" /><Relationship Id="rId7" Type="http://schemas.openxmlformats.org/officeDocument/2006/relationships/image" Target="media/image1.emf"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