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555D" w:rsidP="00DE40B9" w14:paraId="57ACE614" w14:textId="4D26EC1E">
      <w:pPr>
        <w:jc w:val="right"/>
        <w:rPr>
          <w:b/>
          <w:szCs w:val="22"/>
        </w:rPr>
      </w:pPr>
      <w:r>
        <w:rPr>
          <w:b/>
          <w:szCs w:val="22"/>
        </w:rPr>
        <w:t xml:space="preserve">DA </w:t>
      </w:r>
      <w:r w:rsidR="003D74AB">
        <w:rPr>
          <w:b/>
          <w:szCs w:val="22"/>
        </w:rPr>
        <w:t>20-</w:t>
      </w:r>
      <w:r w:rsidR="004017EB">
        <w:rPr>
          <w:b/>
          <w:szCs w:val="22"/>
        </w:rPr>
        <w:t>104</w:t>
      </w:r>
      <w:bookmarkStart w:id="0" w:name="_GoBack"/>
      <w:bookmarkEnd w:id="0"/>
    </w:p>
    <w:p w:rsidR="005D2B63" w:rsidRPr="005D2B63" w:rsidP="005D2B63" w14:paraId="1F036D07" w14:textId="17762C01">
      <w:pPr>
        <w:spacing w:before="60"/>
        <w:jc w:val="right"/>
        <w:rPr>
          <w:sz w:val="24"/>
        </w:rPr>
      </w:pPr>
      <w:r>
        <w:rPr>
          <w:b/>
          <w:szCs w:val="22"/>
        </w:rPr>
        <w:t xml:space="preserve">Released:  </w:t>
      </w:r>
      <w:r w:rsidR="003D74AB">
        <w:rPr>
          <w:b/>
          <w:szCs w:val="22"/>
        </w:rPr>
        <w:t xml:space="preserve">January </w:t>
      </w:r>
      <w:r w:rsidR="00BD0DE9">
        <w:rPr>
          <w:b/>
          <w:szCs w:val="22"/>
        </w:rPr>
        <w:t>2</w:t>
      </w:r>
      <w:r w:rsidR="0049048D">
        <w:rPr>
          <w:b/>
          <w:szCs w:val="22"/>
        </w:rPr>
        <w:t>4</w:t>
      </w:r>
      <w:r>
        <w:rPr>
          <w:b/>
          <w:szCs w:val="22"/>
        </w:rPr>
        <w:t xml:space="preserve">, </w:t>
      </w:r>
      <w:r w:rsidR="00034310">
        <w:rPr>
          <w:b/>
          <w:szCs w:val="22"/>
        </w:rPr>
        <w:t>20</w:t>
      </w:r>
      <w:r w:rsidR="003D74AB">
        <w:rPr>
          <w:b/>
          <w:szCs w:val="22"/>
        </w:rPr>
        <w:t>20</w:t>
      </w:r>
    </w:p>
    <w:p w:rsidR="005D2B63" w:rsidRPr="005D2B63" w:rsidP="00DE40B9" w14:paraId="617A5E43" w14:textId="77777777">
      <w:pPr>
        <w:jc w:val="center"/>
        <w:rPr>
          <w:sz w:val="24"/>
        </w:rPr>
      </w:pPr>
    </w:p>
    <w:p w:rsidR="005D2B63" w:rsidRPr="005D2B63" w:rsidP="005D2B63" w14:paraId="2E7F1D70" w14:textId="77777777">
      <w:pPr>
        <w:jc w:val="center"/>
        <w:rPr>
          <w:b/>
          <w:szCs w:val="22"/>
        </w:rPr>
      </w:pPr>
      <w:r w:rsidRPr="005D2B63">
        <w:rPr>
          <w:b/>
          <w:szCs w:val="22"/>
        </w:rPr>
        <w:t xml:space="preserve">WIRELESS TELECOMMUNICATIONS BUREAU SEEKS COMMENT ON </w:t>
      </w:r>
      <w:r w:rsidR="00E75FA6">
        <w:rPr>
          <w:b/>
          <w:szCs w:val="22"/>
        </w:rPr>
        <w:t>D</w:t>
      </w:r>
      <w:r w:rsidR="00632D7D">
        <w:rPr>
          <w:b/>
          <w:szCs w:val="22"/>
        </w:rPr>
        <w:t xml:space="preserve">EPARTMENT OF </w:t>
      </w:r>
      <w:r w:rsidR="00E75FA6">
        <w:rPr>
          <w:b/>
          <w:szCs w:val="22"/>
        </w:rPr>
        <w:t>H</w:t>
      </w:r>
      <w:r w:rsidR="00632D7D">
        <w:rPr>
          <w:b/>
          <w:szCs w:val="22"/>
        </w:rPr>
        <w:t xml:space="preserve">AWAIIAN </w:t>
      </w:r>
      <w:r w:rsidR="00E75FA6">
        <w:rPr>
          <w:b/>
          <w:szCs w:val="22"/>
        </w:rPr>
        <w:t>H</w:t>
      </w:r>
      <w:r w:rsidR="00632D7D">
        <w:rPr>
          <w:b/>
          <w:szCs w:val="22"/>
        </w:rPr>
        <w:t>OME</w:t>
      </w:r>
      <w:r w:rsidR="00E75FA6">
        <w:rPr>
          <w:b/>
          <w:szCs w:val="22"/>
        </w:rPr>
        <w:t>L</w:t>
      </w:r>
      <w:r w:rsidR="00632D7D">
        <w:rPr>
          <w:b/>
          <w:szCs w:val="22"/>
        </w:rPr>
        <w:t>ANDS</w:t>
      </w:r>
      <w:r w:rsidR="00E75FA6">
        <w:rPr>
          <w:b/>
          <w:szCs w:val="22"/>
        </w:rPr>
        <w:t xml:space="preserve"> REQUEST FOR WAIVER TO FILE AS AN ELIGIBLE ENTITY IN THE 2.5 GHZ RURAL TRIBAL PRIORITY WINDOW</w:t>
      </w:r>
    </w:p>
    <w:p w:rsidR="005D2B63" w:rsidRPr="005D2B63" w:rsidP="005D2B63" w14:paraId="5D991725" w14:textId="77777777">
      <w:pPr>
        <w:jc w:val="center"/>
        <w:rPr>
          <w:b/>
          <w:szCs w:val="22"/>
        </w:rPr>
      </w:pPr>
    </w:p>
    <w:p w:rsidR="005D2B63" w:rsidRPr="005D2B63" w:rsidP="005D2B63" w14:paraId="5519CEE4" w14:textId="133E1ED8">
      <w:pPr>
        <w:jc w:val="center"/>
        <w:rPr>
          <w:b/>
          <w:szCs w:val="22"/>
        </w:rPr>
      </w:pPr>
      <w:r w:rsidRPr="005D2B63">
        <w:rPr>
          <w:b/>
          <w:szCs w:val="22"/>
        </w:rPr>
        <w:t xml:space="preserve">WT Docket No. </w:t>
      </w:r>
      <w:r w:rsidR="003D74AB">
        <w:rPr>
          <w:b/>
          <w:szCs w:val="22"/>
        </w:rPr>
        <w:t>20</w:t>
      </w:r>
      <w:r w:rsidR="00E9617D">
        <w:rPr>
          <w:b/>
          <w:szCs w:val="22"/>
        </w:rPr>
        <w:t>-</w:t>
      </w:r>
      <w:r w:rsidR="00BD0DE9">
        <w:rPr>
          <w:b/>
          <w:szCs w:val="22"/>
        </w:rPr>
        <w:t>21</w:t>
      </w:r>
    </w:p>
    <w:p w:rsidR="005D2B63" w:rsidRPr="005D2B63" w:rsidP="00DE40B9" w14:paraId="5A22E29C" w14:textId="77777777">
      <w:pPr>
        <w:rPr>
          <w:b/>
          <w:szCs w:val="22"/>
        </w:rPr>
      </w:pPr>
    </w:p>
    <w:p w:rsidR="00DE40B9" w:rsidP="005D2B63" w14:paraId="075C5617" w14:textId="18350F5A">
      <w:pPr>
        <w:rPr>
          <w:b/>
          <w:szCs w:val="22"/>
        </w:rPr>
      </w:pPr>
      <w:r w:rsidRPr="005D2B63">
        <w:rPr>
          <w:b/>
          <w:szCs w:val="22"/>
        </w:rPr>
        <w:t xml:space="preserve">Comment Date:  </w:t>
      </w:r>
      <w:r w:rsidR="003D74AB">
        <w:rPr>
          <w:b/>
          <w:szCs w:val="22"/>
        </w:rPr>
        <w:t>February</w:t>
      </w:r>
      <w:r w:rsidR="00113A72">
        <w:rPr>
          <w:b/>
          <w:szCs w:val="22"/>
        </w:rPr>
        <w:t xml:space="preserve"> </w:t>
      </w:r>
      <w:r w:rsidR="0049048D">
        <w:rPr>
          <w:b/>
          <w:szCs w:val="22"/>
        </w:rPr>
        <w:t>10</w:t>
      </w:r>
      <w:r w:rsidRPr="005D2B63">
        <w:rPr>
          <w:b/>
          <w:szCs w:val="22"/>
        </w:rPr>
        <w:t>, 20</w:t>
      </w:r>
      <w:r w:rsidR="00E75FA6">
        <w:rPr>
          <w:b/>
          <w:szCs w:val="22"/>
        </w:rPr>
        <w:t>20</w:t>
      </w:r>
    </w:p>
    <w:p w:rsidR="005D2B63" w:rsidP="005D2B63" w14:paraId="7C5F548B" w14:textId="1D7F4ABE">
      <w:pPr>
        <w:rPr>
          <w:b/>
          <w:szCs w:val="22"/>
        </w:rPr>
      </w:pPr>
      <w:r w:rsidRPr="005D2B63">
        <w:rPr>
          <w:b/>
          <w:szCs w:val="22"/>
        </w:rPr>
        <w:t xml:space="preserve">Reply </w:t>
      </w:r>
      <w:r w:rsidRPr="005D2B63" w:rsidR="00DE40B9">
        <w:rPr>
          <w:b/>
          <w:szCs w:val="22"/>
        </w:rPr>
        <w:t xml:space="preserve">Comment </w:t>
      </w:r>
      <w:r w:rsidRPr="005D2B63">
        <w:rPr>
          <w:b/>
          <w:szCs w:val="22"/>
        </w:rPr>
        <w:t xml:space="preserve">Date:  </w:t>
      </w:r>
      <w:r w:rsidR="003D74AB">
        <w:rPr>
          <w:b/>
          <w:szCs w:val="22"/>
        </w:rPr>
        <w:t>February</w:t>
      </w:r>
      <w:r w:rsidR="00113A72">
        <w:rPr>
          <w:b/>
          <w:szCs w:val="22"/>
        </w:rPr>
        <w:t xml:space="preserve"> </w:t>
      </w:r>
      <w:r w:rsidR="0049048D">
        <w:rPr>
          <w:b/>
          <w:szCs w:val="22"/>
        </w:rPr>
        <w:t>20</w:t>
      </w:r>
      <w:r w:rsidRPr="005D2B63">
        <w:rPr>
          <w:b/>
          <w:szCs w:val="22"/>
        </w:rPr>
        <w:t>, 20</w:t>
      </w:r>
      <w:r w:rsidR="00E75FA6">
        <w:rPr>
          <w:b/>
          <w:szCs w:val="22"/>
        </w:rPr>
        <w:t>20</w:t>
      </w:r>
    </w:p>
    <w:p w:rsidR="00DE40B9" w:rsidRPr="005D2B63" w:rsidP="00DE40B9" w14:paraId="703B4E6E" w14:textId="77777777">
      <w:pPr>
        <w:spacing w:after="120"/>
        <w:rPr>
          <w:b/>
          <w:szCs w:val="22"/>
        </w:rPr>
      </w:pPr>
    </w:p>
    <w:p w:rsidR="006C2704" w:rsidP="00DE40B9" w14:paraId="2E3CCE91" w14:textId="77777777">
      <w:pPr>
        <w:pStyle w:val="ParaNum0"/>
        <w:numPr>
          <w:ilvl w:val="0"/>
          <w:numId w:val="0"/>
        </w:numPr>
        <w:ind w:firstLine="720"/>
      </w:pPr>
      <w:r w:rsidRPr="005D2B63">
        <w:t xml:space="preserve">By this </w:t>
      </w:r>
      <w:r w:rsidRPr="005D2B63">
        <w:rPr>
          <w:i/>
        </w:rPr>
        <w:t>Public Notice</w:t>
      </w:r>
      <w:r w:rsidRPr="005D2B63">
        <w:t xml:space="preserve">, we seek comment on a request </w:t>
      </w:r>
      <w:r w:rsidRPr="005D2B63" w:rsidR="00B23C56">
        <w:t>for waiver</w:t>
      </w:r>
      <w:r w:rsidR="00B23C56">
        <w:t xml:space="preserve"> </w:t>
      </w:r>
      <w:r w:rsidRPr="005D2B63">
        <w:t xml:space="preserve">filed by </w:t>
      </w:r>
      <w:r w:rsidR="003B6617">
        <w:t>the Department of Hawaiian Home Lands (DHHL)</w:t>
      </w:r>
      <w:r w:rsidRPr="005D2B63">
        <w:rPr>
          <w:spacing w:val="-2"/>
        </w:rPr>
        <w:t xml:space="preserve"> </w:t>
      </w:r>
      <w:r w:rsidRPr="005D2B63">
        <w:t>to</w:t>
      </w:r>
      <w:r w:rsidR="00AD6A22">
        <w:t xml:space="preserve"> consider </w:t>
      </w:r>
      <w:r w:rsidR="003B6617">
        <w:t xml:space="preserve">the DHHL </w:t>
      </w:r>
      <w:r w:rsidR="00AD6A22">
        <w:t xml:space="preserve">an eligible entity for the purpose of </w:t>
      </w:r>
      <w:r w:rsidR="003B6617">
        <w:t>apply</w:t>
      </w:r>
      <w:r w:rsidR="00AD6A22">
        <w:t>ing</w:t>
      </w:r>
      <w:r w:rsidR="003B6617">
        <w:t xml:space="preserve"> for wireless spectrum licenses </w:t>
      </w:r>
      <w:r w:rsidR="0055588C">
        <w:t>in</w:t>
      </w:r>
      <w:r w:rsidR="007C7DCF">
        <w:t xml:space="preserve"> the upcoming 2.5 GHz Rural Tribal Priority Window.</w:t>
      </w:r>
      <w:r>
        <w:rPr>
          <w:vertAlign w:val="superscript"/>
        </w:rPr>
        <w:footnoteReference w:id="2"/>
      </w:r>
    </w:p>
    <w:p w:rsidR="00CF6A92" w:rsidP="00DE40B9" w14:paraId="6DCD6D36" w14:textId="7C112C35">
      <w:pPr>
        <w:pStyle w:val="ParaNum0"/>
        <w:numPr>
          <w:ilvl w:val="0"/>
          <w:numId w:val="0"/>
        </w:numPr>
        <w:ind w:firstLine="720"/>
      </w:pPr>
      <w:r>
        <w:t xml:space="preserve">The 2.5 GHz Rural Tribal Priority Window </w:t>
      </w:r>
      <w:r w:rsidR="00CA0BEB">
        <w:t xml:space="preserve">(Window) </w:t>
      </w:r>
      <w:r>
        <w:t xml:space="preserve">was established by the Commission in a July 2019 </w:t>
      </w:r>
      <w:r w:rsidRPr="00796BA0">
        <w:rPr>
          <w:i/>
        </w:rPr>
        <w:t>Report</w:t>
      </w:r>
      <w:r w:rsidRPr="00796BA0" w:rsidR="00796BA0">
        <w:rPr>
          <w:i/>
        </w:rPr>
        <w:t xml:space="preserve"> &amp; </w:t>
      </w:r>
      <w:r w:rsidRPr="00796BA0">
        <w:rPr>
          <w:i/>
        </w:rPr>
        <w:t>Order</w:t>
      </w:r>
      <w:r w:rsidR="00CA0BEB">
        <w:rPr>
          <w:i/>
          <w:iCs/>
        </w:rPr>
        <w:t xml:space="preserve">; </w:t>
      </w:r>
      <w:r w:rsidR="00CA0BEB">
        <w:t xml:space="preserve">the Window provides an opportunity for </w:t>
      </w:r>
      <w:r w:rsidR="00796BA0">
        <w:t>federally-recognized Native American Tribes, and certain other eligible entities, to obtain licenses for unassigned spectrum in the 2.5 GHz band over their eligible Tribal lands</w:t>
      </w:r>
      <w:r w:rsidR="00A36C33">
        <w:t>, subject to certain limitations</w:t>
      </w:r>
      <w:r w:rsidR="00796BA0">
        <w:t>.</w:t>
      </w:r>
      <w:r>
        <w:rPr>
          <w:rStyle w:val="FootnoteReference"/>
        </w:rPr>
        <w:footnoteReference w:id="3"/>
      </w:r>
      <w:r w:rsidR="00796BA0">
        <w:t xml:space="preserve"> </w:t>
      </w:r>
      <w:r w:rsidR="00493340">
        <w:t xml:space="preserve"> </w:t>
      </w:r>
      <w:r w:rsidR="00796BA0">
        <w:t xml:space="preserve">The rules adopted in the </w:t>
      </w:r>
      <w:r w:rsidRPr="00DE786D" w:rsidR="00796BA0">
        <w:rPr>
          <w:i/>
        </w:rPr>
        <w:t>Report &amp; Order</w:t>
      </w:r>
      <w:r w:rsidR="00796BA0">
        <w:t xml:space="preserve"> define eligible </w:t>
      </w:r>
      <w:r w:rsidR="00AD6A22">
        <w:t>Tribal lands</w:t>
      </w:r>
      <w:r w:rsidR="00796BA0">
        <w:t xml:space="preserve"> as</w:t>
      </w:r>
      <w:r w:rsidR="00A36C33">
        <w:t>, among other things,</w:t>
      </w:r>
      <w:r w:rsidR="00796BA0">
        <w:t xml:space="preserve"> “</w:t>
      </w:r>
      <w:r w:rsidRPr="00A36C33" w:rsidR="00A36C33">
        <w:t>any federally recognized Indian Tribe's reservation, pueblo or colony, including former reservations in Oklahoma, Alaska Native regions established pursuant to the Alaska Native Claims Settlement Act (85 Stat. 688) and Indian Allotments, see §</w:t>
      </w:r>
      <w:r w:rsidR="00493340">
        <w:t xml:space="preserve"> </w:t>
      </w:r>
      <w:r w:rsidRPr="00A36C33" w:rsidR="00A36C33">
        <w:t>54.400(e) of this chapter, as well as Hawaiian Home Lands—areas held in trust for native Hawaiians by the State of Hawaii, pursuant to the Hawaiian Homes Commission Act, 1920, July 9, 1921, 42 Stat 108, et seq., as amended</w:t>
      </w:r>
      <w:r w:rsidR="00796BA0">
        <w:t>.</w:t>
      </w:r>
      <w:r w:rsidR="00DD31D3">
        <w:t xml:space="preserve"> . .</w:t>
      </w:r>
      <w:r w:rsidR="00A36C33">
        <w:t>”</w:t>
      </w:r>
      <w:r>
        <w:rPr>
          <w:rStyle w:val="FootnoteReference"/>
        </w:rPr>
        <w:footnoteReference w:id="4"/>
      </w:r>
      <w:r w:rsidR="00796BA0">
        <w:t xml:space="preserve"> </w:t>
      </w:r>
      <w:r w:rsidR="00493340">
        <w:t xml:space="preserve"> </w:t>
      </w:r>
      <w:r w:rsidR="00796BA0">
        <w:t xml:space="preserve">The same rules define eligible </w:t>
      </w:r>
      <w:r w:rsidR="00AD6A22">
        <w:t>entities</w:t>
      </w:r>
      <w:r w:rsidR="00796BA0">
        <w:t xml:space="preserve"> as “</w:t>
      </w:r>
      <w:r w:rsidRPr="00A36C33" w:rsidR="00A36C33">
        <w:t>federally recognized American Indian Tribe</w:t>
      </w:r>
      <w:r w:rsidR="00A36C33">
        <w:t>[s]</w:t>
      </w:r>
      <w:r w:rsidRPr="00A36C33" w:rsidR="00A36C33">
        <w:t xml:space="preserve"> or Alaska Native Village</w:t>
      </w:r>
      <w:r w:rsidR="00A36C33">
        <w:t>[s]</w:t>
      </w:r>
      <w:r w:rsidRPr="00A36C33" w:rsidR="00A36C33">
        <w:t>; or an entity that is owned and controlled by a federally-recognized Tribe or a consortium of federally-recognized Tribes</w:t>
      </w:r>
      <w:r w:rsidR="00796BA0">
        <w:t>.</w:t>
      </w:r>
      <w:r w:rsidR="00A36C33">
        <w:t>”</w:t>
      </w:r>
      <w:r>
        <w:rPr>
          <w:rStyle w:val="FootnoteReference"/>
        </w:rPr>
        <w:footnoteReference w:id="5"/>
      </w:r>
      <w:r w:rsidR="005972CF">
        <w:t xml:space="preserve"> </w:t>
      </w:r>
      <w:r w:rsidR="00493340">
        <w:t xml:space="preserve"> </w:t>
      </w:r>
      <w:r w:rsidR="005972CF">
        <w:t>The Bureau of Indian Affairs maintains a list of federally-recognized Tribal entities; the most recent version of this list was published in the Federal Register</w:t>
      </w:r>
      <w:r w:rsidR="00A36C33">
        <w:t xml:space="preserve"> on February 1, 2019, and contains no Tribal entities located in Hawaii.</w:t>
      </w:r>
      <w:r>
        <w:rPr>
          <w:rStyle w:val="FootnoteReference"/>
        </w:rPr>
        <w:footnoteReference w:id="6"/>
      </w:r>
    </w:p>
    <w:p w:rsidR="00796BA0" w:rsidP="00D93C9C" w14:paraId="7CE396F7" w14:textId="55DD250F">
      <w:pPr>
        <w:pStyle w:val="ParaNum0"/>
        <w:numPr>
          <w:ilvl w:val="0"/>
          <w:numId w:val="0"/>
        </w:numPr>
        <w:ind w:firstLine="720"/>
      </w:pPr>
      <w:r>
        <w:t>The DHHL argues that the Commission’s definition of eligible entities</w:t>
      </w:r>
      <w:r w:rsidR="00AD6A22">
        <w:t xml:space="preserve"> excludes native Hawaiians, and therefore </w:t>
      </w:r>
      <w:r>
        <w:t xml:space="preserve">leaves native Hawaiians with no path to obtaining the </w:t>
      </w:r>
      <w:r w:rsidR="00DC4612">
        <w:t xml:space="preserve">wireless </w:t>
      </w:r>
      <w:r>
        <w:t xml:space="preserve">spectrum </w:t>
      </w:r>
      <w:r>
        <w:t>licenses offered in the Rural Tribal Priority Window</w:t>
      </w:r>
      <w:r w:rsidR="007D08FB">
        <w:t>.</w:t>
      </w:r>
      <w:r>
        <w:rPr>
          <w:rStyle w:val="FootnoteReference"/>
        </w:rPr>
        <w:footnoteReference w:id="7"/>
      </w:r>
      <w:r w:rsidR="007D08FB">
        <w:t xml:space="preserve">  The DHHL notes </w:t>
      </w:r>
      <w:r>
        <w:t xml:space="preserve">the Commission’s </w:t>
      </w:r>
      <w:r w:rsidR="00DC4612">
        <w:t xml:space="preserve">explicit </w:t>
      </w:r>
      <w:r w:rsidR="00AD6A22">
        <w:t xml:space="preserve">inclusion of Hawaiian Home Lands in the </w:t>
      </w:r>
      <w:r>
        <w:t xml:space="preserve">definition of </w:t>
      </w:r>
      <w:r w:rsidR="00AD6A22">
        <w:t xml:space="preserve">eligible areas, and </w:t>
      </w:r>
      <w:r w:rsidR="00CA0BEB">
        <w:t xml:space="preserve">it </w:t>
      </w:r>
      <w:r w:rsidR="007D08FB">
        <w:t xml:space="preserve">argues </w:t>
      </w:r>
      <w:r w:rsidR="00AD6A22">
        <w:t xml:space="preserve">that </w:t>
      </w:r>
      <w:r w:rsidR="007D08FB">
        <w:t xml:space="preserve">the omission of native Hawaiians from the list of eligible entities therefore produces a </w:t>
      </w:r>
      <w:r w:rsidR="00AD6A22">
        <w:t xml:space="preserve">result </w:t>
      </w:r>
      <w:r w:rsidR="007D08FB">
        <w:t xml:space="preserve">that </w:t>
      </w:r>
      <w:r w:rsidR="00AD6A22">
        <w:t>is contrary to the Commission’s stated purpose of</w:t>
      </w:r>
      <w:r w:rsidR="00754460">
        <w:t xml:space="preserve"> “provid[ing] Tribal Nations with an opportunity to obtain unassigned [2.5 GHz] spectrum to address the communications needs of their communities.”</w:t>
      </w:r>
      <w:r>
        <w:rPr>
          <w:rStyle w:val="FootnoteReference"/>
        </w:rPr>
        <w:footnoteReference w:id="8"/>
      </w:r>
      <w:r w:rsidR="00AD6A22">
        <w:t xml:space="preserve"> </w:t>
      </w:r>
      <w:r w:rsidR="007D08FB">
        <w:t xml:space="preserve"> </w:t>
      </w:r>
      <w:r w:rsidR="00AD6A22">
        <w:t xml:space="preserve">The DHHL further argues that it is the appropriate entity to represent native Hawaiians in obtaining and managing this </w:t>
      </w:r>
      <w:r w:rsidR="00DC4612">
        <w:t>spectrum</w:t>
      </w:r>
      <w:r w:rsidR="00AD6A22">
        <w:t xml:space="preserve">, because of its </w:t>
      </w:r>
      <w:r w:rsidR="007D08FB">
        <w:t xml:space="preserve">designation by the </w:t>
      </w:r>
      <w:r w:rsidR="00500E20">
        <w:t>State of Hawai</w:t>
      </w:r>
      <w:r w:rsidR="00902471">
        <w:t>i as the entity responsible for managing Hawaiian Home Lands, including trust resources,</w:t>
      </w:r>
      <w:r>
        <w:rPr>
          <w:rStyle w:val="FootnoteReference"/>
        </w:rPr>
        <w:footnoteReference w:id="9"/>
      </w:r>
      <w:r w:rsidR="00902471">
        <w:t xml:space="preserve"> and because of its capabilities and operational history with regard to “managing and licensing utilities for expansion and service to rural Homestead communities.”</w:t>
      </w:r>
      <w:r>
        <w:rPr>
          <w:rStyle w:val="FootnoteReference"/>
        </w:rPr>
        <w:footnoteReference w:id="10"/>
      </w:r>
      <w:r w:rsidR="00095B02">
        <w:t xml:space="preserve">  DHHL provides a Memorandum of Understanding </w:t>
      </w:r>
      <w:r w:rsidR="00E15E48">
        <w:t xml:space="preserve">signed by </w:t>
      </w:r>
      <w:r w:rsidR="00095B02">
        <w:t xml:space="preserve">the Office of Hawaiian Affairs, and the Department of Business, Economic Development, and Tourism </w:t>
      </w:r>
      <w:r w:rsidR="00E15E48">
        <w:t xml:space="preserve">and itself </w:t>
      </w:r>
      <w:r w:rsidR="00095B02">
        <w:t>in which all  three agencies agree DHHL is the appropriate applicant.</w:t>
      </w:r>
      <w:r>
        <w:rPr>
          <w:rStyle w:val="FootnoteReference"/>
        </w:rPr>
        <w:footnoteReference w:id="11"/>
      </w:r>
    </w:p>
    <w:p w:rsidR="00AD6A22" w:rsidP="00D93C9C" w14:paraId="422386BA" w14:textId="07AF67FF">
      <w:pPr>
        <w:pStyle w:val="ParaNum0"/>
        <w:numPr>
          <w:ilvl w:val="0"/>
          <w:numId w:val="0"/>
        </w:numPr>
        <w:ind w:firstLine="720"/>
      </w:pPr>
      <w:r>
        <w:t xml:space="preserve">We note that a grant of this waiver request would not automatically award the DHHL any wireless spectrum license, nor would it guarantee the result of any application for </w:t>
      </w:r>
      <w:r w:rsidR="00DC4612">
        <w:t>any</w:t>
      </w:r>
      <w:r>
        <w:t xml:space="preserve"> licenses that the DHHL may file in the future. A grant of the waiver</w:t>
      </w:r>
      <w:r w:rsidR="007D08FB">
        <w:t xml:space="preserve"> </w:t>
      </w:r>
      <w:r>
        <w:t xml:space="preserve">would </w:t>
      </w:r>
      <w:r w:rsidR="007D08FB">
        <w:t xml:space="preserve">merely </w:t>
      </w:r>
      <w:r>
        <w:t>specify that the DHHL qualifies as an eligible entity under the Commission’s rules</w:t>
      </w:r>
      <w:r w:rsidRPr="007D08FB" w:rsidR="007D08FB">
        <w:t xml:space="preserve"> </w:t>
      </w:r>
      <w:r w:rsidR="007D08FB">
        <w:t>for the purposes of the Rural Tribal Priority Window.</w:t>
      </w:r>
      <w:r>
        <w:rPr>
          <w:rStyle w:val="FootnoteReference"/>
        </w:rPr>
        <w:footnoteReference w:id="12"/>
      </w:r>
      <w:r w:rsidR="007D08FB">
        <w:t xml:space="preserve"> Any application filed by the DHHL pursuant to this waiver  would be required to meet all relevant criteria under the Commission’s rules.</w:t>
      </w:r>
      <w:r>
        <w:rPr>
          <w:rStyle w:val="FootnoteReference"/>
        </w:rPr>
        <w:footnoteReference w:id="13"/>
      </w:r>
    </w:p>
    <w:p w:rsidR="005C2CA8" w:rsidP="00D93C9C" w14:paraId="67F4774B" w14:textId="77777777">
      <w:pPr>
        <w:pStyle w:val="ParaNum0"/>
        <w:numPr>
          <w:ilvl w:val="0"/>
          <w:numId w:val="0"/>
        </w:numPr>
        <w:ind w:firstLine="720"/>
      </w:pPr>
      <w:r w:rsidRPr="005D2B63">
        <w:t>We seek comment on th</w:t>
      </w:r>
      <w:r w:rsidR="00AD6A22">
        <w:t>is</w:t>
      </w:r>
      <w:r w:rsidRPr="005D2B63">
        <w:t xml:space="preserve"> waiver request. </w:t>
      </w:r>
      <w:r w:rsidR="003A1057">
        <w:t xml:space="preserve"> </w:t>
      </w:r>
    </w:p>
    <w:p w:rsidR="005D2B63" w:rsidRPr="005D2B63" w:rsidP="00D93C9C" w14:paraId="28915D67" w14:textId="77777777">
      <w:pPr>
        <w:spacing w:after="120"/>
        <w:rPr>
          <w:b/>
          <w:szCs w:val="22"/>
        </w:rPr>
      </w:pPr>
      <w:r w:rsidRPr="005D2B63">
        <w:rPr>
          <w:b/>
          <w:szCs w:val="22"/>
        </w:rPr>
        <w:t>Procedural Matters</w:t>
      </w:r>
    </w:p>
    <w:p w:rsidR="005D2B63" w:rsidRPr="005D2B63" w:rsidP="00D93C9C" w14:paraId="6BB8F422" w14:textId="77777777">
      <w:pPr>
        <w:pStyle w:val="ParaNum0"/>
        <w:numPr>
          <w:ilvl w:val="0"/>
          <w:numId w:val="0"/>
        </w:numPr>
        <w:ind w:firstLine="720"/>
      </w:pPr>
      <w:r w:rsidRPr="005D2B63">
        <w:t xml:space="preserve">Interested parties may file comments and reply comments in response to the waiver request on or before the dates listed on the first page of this </w:t>
      </w:r>
      <w:r w:rsidRPr="005D2B63">
        <w:rPr>
          <w:i/>
        </w:rPr>
        <w:t>Public Notice</w:t>
      </w:r>
      <w:r w:rsidRPr="005D2B63">
        <w:t xml:space="preserve">.  All pleadings must reference </w:t>
      </w:r>
      <w:r w:rsidRPr="005D2B63" w:rsidR="00DB1234">
        <w:rPr>
          <w:color w:val="000000"/>
          <w:szCs w:val="22"/>
        </w:rPr>
        <w:t>the docket number</w:t>
      </w:r>
      <w:r w:rsidR="00DB1234">
        <w:rPr>
          <w:color w:val="000000"/>
          <w:szCs w:val="22"/>
        </w:rPr>
        <w:t xml:space="preserve"> appearing on the first page of this </w:t>
      </w:r>
      <w:r w:rsidRPr="005D2B63" w:rsidR="00DB1234">
        <w:rPr>
          <w:i/>
          <w:color w:val="000000"/>
          <w:szCs w:val="22"/>
        </w:rPr>
        <w:t>Public Notice</w:t>
      </w:r>
      <w:r w:rsidRPr="005D2B63">
        <w:t>.  Parties may file comments using (1) the Commission’s Electronic Comment Filing System (ECFS), (2) the Federal Government’s eRulemaking Portal, or (3) by filing paper copies.</w:t>
      </w:r>
      <w:r>
        <w:rPr>
          <w:vertAlign w:val="superscript"/>
        </w:rPr>
        <w:footnoteReference w:id="14"/>
      </w:r>
    </w:p>
    <w:p w:rsidR="005D2B63" w:rsidRPr="005D2B63" w:rsidP="00D93C9C" w14:paraId="317AB3A3" w14:textId="77777777">
      <w:pPr>
        <w:numPr>
          <w:ilvl w:val="0"/>
          <w:numId w:val="31"/>
        </w:numPr>
        <w:tabs>
          <w:tab w:val="left" w:pos="-720"/>
        </w:tabs>
        <w:spacing w:after="120"/>
      </w:pPr>
      <w:r w:rsidRPr="005D2B63">
        <w:t>Electronic Filers:  File comments electronically using the Internet by accessing the ECFS:  http://www.fcc.gov/cgb/ecfs/ or the Federal eRulemaking Portal:  http://www.regulations.gov.  Filers should follow the instructions provided on the website for submitting comments.</w:t>
      </w:r>
    </w:p>
    <w:p w:rsidR="005D2B63" w:rsidRPr="005D2B63" w:rsidP="00D93C9C" w14:paraId="4B4A54A6" w14:textId="77777777">
      <w:pPr>
        <w:numPr>
          <w:ilvl w:val="0"/>
          <w:numId w:val="31"/>
        </w:numPr>
        <w:tabs>
          <w:tab w:val="left" w:pos="-720"/>
        </w:tabs>
        <w:spacing w:after="120"/>
      </w:pPr>
      <w:r w:rsidRPr="005D2B63">
        <w:t xml:space="preserve">In completing the transmittal screen, filers should include their full name, U.S. Postal Service mailing address, and the applicable docket or rulemaking number.  Parties may also submit an electronic comment by Internet e-mail. </w:t>
      </w:r>
      <w:r w:rsidR="00DE1623">
        <w:t xml:space="preserve"> </w:t>
      </w:r>
      <w:r w:rsidRPr="005D2B63">
        <w:t>To get filing instructions, filers should send an e-mail to ecfs@fcc.gov, and include the following words in the body of the message, “get form.”  A sample form and directions will be sent in response.</w:t>
      </w:r>
    </w:p>
    <w:p w:rsidR="005D2B63" w:rsidRPr="005D2B63" w:rsidP="00D93C9C" w14:paraId="7D9E3560" w14:textId="77777777">
      <w:pPr>
        <w:numPr>
          <w:ilvl w:val="0"/>
          <w:numId w:val="31"/>
        </w:numPr>
        <w:tabs>
          <w:tab w:val="left" w:pos="-720"/>
        </w:tabs>
        <w:spacing w:after="120"/>
      </w:pPr>
      <w:r w:rsidRPr="005D2B63">
        <w:t xml:space="preserve">Paper Filers:  Parties who choose to file by paper must file an original and </w:t>
      </w:r>
      <w:r w:rsidR="00FD30E4">
        <w:t>one</w:t>
      </w:r>
      <w:r w:rsidRPr="005D2B63">
        <w:t xml:space="preserve"> cop</w:t>
      </w:r>
      <w:r w:rsidR="00FD30E4">
        <w:t>y</w:t>
      </w:r>
      <w:r w:rsidRPr="005D2B63">
        <w:t xml:space="preserve"> of each filing.  </w:t>
      </w:r>
      <w:r w:rsidR="00DE1623">
        <w:t xml:space="preserve">If more than one docket or rulemaking number appears in the caption of this proceeding, </w:t>
      </w:r>
      <w:r w:rsidR="00DE1623">
        <w:t>filers must submit two additional copies for each additional docket or rulemaking number.</w:t>
      </w:r>
    </w:p>
    <w:p w:rsidR="005D2B63" w:rsidRPr="005D2B63" w:rsidP="00D93C9C" w14:paraId="3972923F" w14:textId="77777777">
      <w:pPr>
        <w:pStyle w:val="ParaNum0"/>
        <w:numPr>
          <w:ilvl w:val="0"/>
          <w:numId w:val="0"/>
        </w:numPr>
        <w:ind w:firstLine="720"/>
      </w:pPr>
      <w:r w:rsidRPr="005D2B63">
        <w:t>Send filings by hand or messenger delivery, by commercial overnight courier, or by first-class or overnight U.S. Postal Service mail.  Address filings to the Commission’s Secretary, Office of the Secretary, Federal Communications Commission.</w:t>
      </w:r>
    </w:p>
    <w:p w:rsidR="005D2B63" w:rsidRPr="005D2B63" w:rsidP="00D93C9C" w14:paraId="7B6143CA" w14:textId="77777777">
      <w:pPr>
        <w:numPr>
          <w:ilvl w:val="0"/>
          <w:numId w:val="32"/>
        </w:numPr>
        <w:tabs>
          <w:tab w:val="left" w:pos="-720"/>
        </w:tabs>
        <w:suppressAutoHyphens/>
        <w:spacing w:after="120"/>
      </w:pPr>
      <w:r w:rsidRPr="005D2B63">
        <w:t>Deliver hand-delivered or messenger-delivered paper filings to FCC Headquarters at 445 12</w:t>
      </w:r>
      <w:r w:rsidRPr="005D2B63">
        <w:rPr>
          <w:vertAlign w:val="superscript"/>
        </w:rPr>
        <w:t>th</w:t>
      </w:r>
      <w:r w:rsidRPr="005D2B63">
        <w:t xml:space="preserve"> St., SW, Room TW-A325, Washington, DC 20554 between 8:00 AM and 7:00 PM.  Use rubber bands or fasteners to hold deliveries together.  Dispose of all envelopes before entering the building.</w:t>
      </w:r>
    </w:p>
    <w:p w:rsidR="005D2B63" w:rsidRPr="005D2B63" w:rsidP="00D93C9C" w14:paraId="5D729278" w14:textId="77777777">
      <w:pPr>
        <w:numPr>
          <w:ilvl w:val="0"/>
          <w:numId w:val="32"/>
        </w:numPr>
        <w:tabs>
          <w:tab w:val="left" w:pos="-720"/>
        </w:tabs>
        <w:suppressAutoHyphens/>
        <w:spacing w:after="120"/>
      </w:pPr>
      <w:r w:rsidRPr="005D2B63">
        <w:t>Send commercial overnight mail (other than U.S. Postal Service Express Mail and Priority Mail) to</w:t>
      </w:r>
      <w:r w:rsidR="00FD30E4">
        <w:t xml:space="preserve"> 9050 Junction Drive, Annapolis Junction, MD 20701</w:t>
      </w:r>
      <w:r w:rsidRPr="005D2B63">
        <w:t>.</w:t>
      </w:r>
    </w:p>
    <w:p w:rsidR="005D2B63" w:rsidRPr="005D2B63" w:rsidP="00D93C9C" w14:paraId="0F69E9A0" w14:textId="77777777">
      <w:pPr>
        <w:numPr>
          <w:ilvl w:val="0"/>
          <w:numId w:val="32"/>
        </w:numPr>
        <w:tabs>
          <w:tab w:val="left" w:pos="-720"/>
        </w:tabs>
        <w:suppressAutoHyphens/>
        <w:spacing w:after="120"/>
      </w:pPr>
      <w:r w:rsidRPr="005D2B63">
        <w:t>Send U.S. Postal Service first-class, Express, and Priority mail to 445 12</w:t>
      </w:r>
      <w:r w:rsidRPr="005D2B63">
        <w:rPr>
          <w:vertAlign w:val="superscript"/>
        </w:rPr>
        <w:t>th</w:t>
      </w:r>
      <w:r w:rsidRPr="005D2B63">
        <w:t xml:space="preserve"> St</w:t>
      </w:r>
      <w:r w:rsidR="00E635AE">
        <w:t>.</w:t>
      </w:r>
      <w:r w:rsidRPr="005D2B63">
        <w:t>, SW, Washington DC 20554.</w:t>
      </w:r>
    </w:p>
    <w:p w:rsidR="005D2B63" w:rsidRPr="005D2B63" w:rsidP="00D93C9C" w14:paraId="6D346568" w14:textId="77777777">
      <w:pPr>
        <w:pStyle w:val="ParaNum0"/>
        <w:numPr>
          <w:ilvl w:val="0"/>
          <w:numId w:val="0"/>
        </w:numPr>
        <w:ind w:firstLine="720"/>
      </w:pPr>
      <w:r w:rsidRPr="005D2B63">
        <w:t xml:space="preserve">The request, and comments and reply comments filed in response to this </w:t>
      </w:r>
      <w:r w:rsidRPr="005D2B63">
        <w:rPr>
          <w:i/>
        </w:rPr>
        <w:t>Public Notice</w:t>
      </w:r>
      <w:r w:rsidRPr="005D2B63">
        <w:t xml:space="preserve"> are available for viewing via the Commission’s Electronic Comment Filing System (ECFS) by entering </w:t>
      </w:r>
      <w:bookmarkStart w:id="1" w:name="_Hlk498696300"/>
      <w:r w:rsidRPr="005D2B63">
        <w:t>the docket number</w:t>
      </w:r>
      <w:r w:rsidR="00FD30E4">
        <w:t xml:space="preserve"> appearing on the first page of this </w:t>
      </w:r>
      <w:r w:rsidRPr="005D2B63" w:rsidR="00FD30E4">
        <w:rPr>
          <w:i/>
        </w:rPr>
        <w:t>Public Notice</w:t>
      </w:r>
      <w:bookmarkEnd w:id="1"/>
      <w:r w:rsidRPr="005D2B63">
        <w:t xml:space="preserve">.  The documents also will be available for public inspection and copying during business hours in the FCC Reference Information Center, Portals II, 445 12th Street S.W., Room CY-A257, Washington, D.C. 20554.  </w:t>
      </w:r>
      <w:r w:rsidR="00DE1623">
        <w:t xml:space="preserve">Reference Information Center business hours are available at </w:t>
      </w:r>
      <w:hyperlink r:id="rId5" w:history="1">
        <w:r w:rsidRPr="00E637AF" w:rsidR="00DE1623">
          <w:rPr>
            <w:rStyle w:val="Hyperlink"/>
            <w:szCs w:val="22"/>
          </w:rPr>
          <w:t>https://www.fcc.gov/general/fcc-reference-information-center</w:t>
        </w:r>
      </w:hyperlink>
      <w:r w:rsidR="00DE1623">
        <w:t xml:space="preserve">. </w:t>
      </w:r>
    </w:p>
    <w:p w:rsidR="005D2B63" w:rsidRPr="005D2B63" w:rsidP="00D93C9C" w14:paraId="0E232F29" w14:textId="77777777">
      <w:pPr>
        <w:pStyle w:val="ParaNum0"/>
        <w:widowControl/>
        <w:numPr>
          <w:ilvl w:val="0"/>
          <w:numId w:val="0"/>
        </w:numPr>
        <w:ind w:firstLine="720"/>
      </w:pPr>
      <w:r w:rsidRPr="005D2B63">
        <w:t xml:space="preserve">Alternate formats of this </w:t>
      </w:r>
      <w:r w:rsidRPr="005D2B63">
        <w:rPr>
          <w:i/>
        </w:rPr>
        <w:t>Public Notice</w:t>
      </w:r>
      <w:r w:rsidRPr="005D2B63">
        <w:t xml:space="preserve"> (computer diskette, large print, audio recording, and Braille) are available to persons with disabilities by contacting the Consumer &amp; Governmental Affairs Bureau at (202) 418-0530 (voice), (202) 418-0432 (TTY), or send an e-mail to fcc504@fcc.gov. </w:t>
      </w:r>
    </w:p>
    <w:p w:rsidR="005D2B63" w:rsidRPr="005D2B63" w:rsidP="00D93C9C" w14:paraId="76D4EC6B" w14:textId="77777777">
      <w:pPr>
        <w:pStyle w:val="ParaNum0"/>
        <w:numPr>
          <w:ilvl w:val="0"/>
          <w:numId w:val="0"/>
        </w:numPr>
        <w:ind w:firstLine="720"/>
      </w:pPr>
      <w:r w:rsidRPr="005D2B63">
        <w:t xml:space="preserve">This proceeding has been designated as a “permit-but-disclose” proceeding in accordance with the Commission's </w:t>
      </w:r>
      <w:r w:rsidRPr="005D2B63">
        <w:rPr>
          <w:i/>
        </w:rPr>
        <w:t>ex parte</w:t>
      </w:r>
      <w:r w:rsidRPr="005D2B63">
        <w:t xml:space="preserve"> rules.</w:t>
      </w:r>
      <w:r>
        <w:rPr>
          <w:vertAlign w:val="superscript"/>
        </w:rPr>
        <w:footnoteReference w:id="15"/>
      </w:r>
      <w:r w:rsidRPr="005D2B63">
        <w:t xml:space="preserve">  Persons making </w:t>
      </w:r>
      <w:r w:rsidRPr="005D2B63">
        <w:rPr>
          <w:i/>
        </w:rPr>
        <w:t xml:space="preserve">ex parte </w:t>
      </w:r>
      <w:r w:rsidRPr="005D2B63">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D2B63">
        <w:rPr>
          <w:i/>
          <w:iCs/>
        </w:rPr>
        <w:t xml:space="preserve">ex parte </w:t>
      </w:r>
      <w:r w:rsidRPr="005D2B63">
        <w:t xml:space="preserve">presentations are reminded that memoranda summarizing the presentation must (1) list all persons attending or otherwise participating in the meeting at which the </w:t>
      </w:r>
      <w:r w:rsidRPr="005D2B63">
        <w:rPr>
          <w:i/>
          <w:iCs/>
        </w:rPr>
        <w:t xml:space="preserve">ex parte </w:t>
      </w:r>
      <w:r w:rsidRPr="005D2B63">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D2B63">
        <w:rPr>
          <w:i/>
          <w:iCs/>
        </w:rPr>
        <w:t xml:space="preserve">ex parte </w:t>
      </w:r>
      <w:r w:rsidRPr="005D2B63">
        <w:t xml:space="preserve">meetings are deemed to be written </w:t>
      </w:r>
      <w:r w:rsidRPr="005D2B63">
        <w:rPr>
          <w:i/>
          <w:iCs/>
        </w:rPr>
        <w:t>ex parte</w:t>
      </w:r>
      <w:r w:rsidRPr="005D2B63">
        <w:t xml:space="preserve"> presentations and must be filed consistent with rule 1.1206(b).  In proceedings governed by rule 1.49(f) or for which the Commission has made available a method of electronic filing, written </w:t>
      </w:r>
      <w:r w:rsidRPr="005D2B63">
        <w:rPr>
          <w:i/>
          <w:iCs/>
        </w:rPr>
        <w:t xml:space="preserve">ex parte </w:t>
      </w:r>
      <w:r w:rsidRPr="005D2B63">
        <w:t xml:space="preserve">presentations and memoranda summarizing oral </w:t>
      </w:r>
      <w:r w:rsidRPr="005D2B63">
        <w:rPr>
          <w:i/>
          <w:iCs/>
        </w:rPr>
        <w:t xml:space="preserve">ex parte </w:t>
      </w:r>
      <w:r w:rsidRPr="005D2B63">
        <w:t>presentations, and all attachments thereto, must be filed through the electronic comment filing system available for that proceeding, and must be filed in their native format (</w:t>
      </w:r>
      <w:r w:rsidRPr="005D2B63">
        <w:rPr>
          <w:i/>
          <w:iCs/>
        </w:rPr>
        <w:t>e.g.</w:t>
      </w:r>
      <w:r w:rsidRPr="005D2B63">
        <w:t xml:space="preserve">, .doc, .xml, .ppt, searchable .pdf).  Participants in this proceeding should familiarize themselves with the Commission’s </w:t>
      </w:r>
      <w:r w:rsidRPr="005D2B63">
        <w:rPr>
          <w:i/>
          <w:iCs/>
        </w:rPr>
        <w:t xml:space="preserve">ex parte </w:t>
      </w:r>
      <w:r w:rsidRPr="005D2B63">
        <w:t>rules.</w:t>
      </w:r>
    </w:p>
    <w:p w:rsidR="005D2B63" w:rsidRPr="005D2B63" w:rsidP="00D93C9C" w14:paraId="617EAB5F" w14:textId="1FE38EA3">
      <w:pPr>
        <w:pStyle w:val="ParaNum0"/>
        <w:numPr>
          <w:ilvl w:val="0"/>
          <w:numId w:val="0"/>
        </w:numPr>
        <w:ind w:firstLine="720"/>
      </w:pPr>
      <w:r w:rsidRPr="005D2B63">
        <w:t>For further information, contact</w:t>
      </w:r>
      <w:r w:rsidR="00632D7D">
        <w:t xml:space="preserve"> </w:t>
      </w:r>
      <w:r w:rsidR="00796DBF">
        <w:t>Catherine Schroeder</w:t>
      </w:r>
      <w:r w:rsidRPr="005D2B63">
        <w:t xml:space="preserve"> of the Wireless Telecommunications Bureau, </w:t>
      </w:r>
      <w:r w:rsidR="00796DBF">
        <w:t>Broadband</w:t>
      </w:r>
      <w:r w:rsidRPr="005D2B63">
        <w:t xml:space="preserve"> Division, at (202) 418-</w:t>
      </w:r>
      <w:r w:rsidR="00796DBF">
        <w:t>1956</w:t>
      </w:r>
      <w:r w:rsidRPr="005D2B63">
        <w:t xml:space="preserve">, </w:t>
      </w:r>
      <w:hyperlink r:id="rId6" w:history="1">
        <w:r w:rsidRPr="00632D7D" w:rsidR="003D74AB">
          <w:rPr>
            <w:rStyle w:val="Hyperlink"/>
          </w:rPr>
          <w:t>Catherine.</w:t>
        </w:r>
        <w:r w:rsidRPr="00632D7D" w:rsidR="00632D7D">
          <w:rPr>
            <w:rStyle w:val="Hyperlink"/>
          </w:rPr>
          <w:t>S</w:t>
        </w:r>
        <w:r w:rsidRPr="00632D7D" w:rsidR="003D74AB">
          <w:rPr>
            <w:rStyle w:val="Hyperlink"/>
          </w:rPr>
          <w:t>chroeder</w:t>
        </w:r>
        <w:r w:rsidRPr="00632D7D">
          <w:rPr>
            <w:rStyle w:val="Hyperlink"/>
          </w:rPr>
          <w:t>@fcc.gov</w:t>
        </w:r>
      </w:hyperlink>
      <w:r w:rsidRPr="005D2B63">
        <w:t>.</w:t>
      </w:r>
    </w:p>
    <w:p w:rsidR="008B555D" w:rsidP="00D93C9C" w14:paraId="538147EF" w14:textId="77777777">
      <w:pPr>
        <w:pStyle w:val="ParaNum0"/>
        <w:numPr>
          <w:ilvl w:val="0"/>
          <w:numId w:val="0"/>
        </w:numPr>
        <w:rPr>
          <w:szCs w:val="22"/>
        </w:rPr>
      </w:pPr>
      <w:r w:rsidRPr="005D2B63">
        <w:t xml:space="preserve">Action by the Chief, </w:t>
      </w:r>
      <w:r w:rsidR="003D74AB">
        <w:t>Broadband</w:t>
      </w:r>
      <w:r w:rsidRPr="005D2B63">
        <w:t xml:space="preserve"> Division, Wireless Telecommunications Bureau.</w:t>
      </w:r>
    </w:p>
    <w:p w:rsidR="008B555D" w14:paraId="21B16F4C" w14:textId="77777777">
      <w:pPr>
        <w:autoSpaceDE w:val="0"/>
        <w:autoSpaceDN w:val="0"/>
        <w:adjustRightInd w:val="0"/>
        <w:rPr>
          <w:color w:val="000000"/>
          <w:szCs w:val="22"/>
        </w:rPr>
      </w:pPr>
    </w:p>
    <w:p w:rsidR="008B555D" w14:paraId="2F07776C" w14:textId="77777777">
      <w:pPr>
        <w:autoSpaceDE w:val="0"/>
        <w:autoSpaceDN w:val="0"/>
        <w:adjustRightInd w:val="0"/>
        <w:jc w:val="center"/>
        <w:rPr>
          <w:b/>
          <w:bCs/>
          <w:sz w:val="24"/>
        </w:rPr>
      </w:pPr>
      <w:r>
        <w:t xml:space="preserve">- </w:t>
      </w:r>
      <w:r w:rsidRPr="00DE40B9">
        <w:rPr>
          <w:b/>
        </w:rPr>
        <w:t>FCC</w:t>
      </w:r>
      <w:r>
        <w:t xml:space="preserve"> -</w:t>
      </w:r>
      <w:r>
        <w:rPr>
          <w:b/>
          <w:bCs/>
          <w:sz w:val="24"/>
        </w:rPr>
        <w:t xml:space="preserve"> </w:t>
      </w:r>
    </w:p>
    <w:sectPr w:rsidSect="00DE40B9">
      <w:headerReference w:type="default" r:id="rId7"/>
      <w:footerReference w:type="default" r:id="rId8"/>
      <w:headerReference w:type="first" r:id="rId9"/>
      <w:footerReference w:type="first" r:id="rId10"/>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ews Gothic MT">
    <w:charset w:val="00"/>
    <w:family w:val="swiss"/>
    <w:pitch w:val="variable"/>
    <w:sig w:usb0="00000003" w:usb1="00000000" w:usb2="00000000" w:usb3="00000000" w:csb0="00000001"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JLGOJH+Verdana">
    <w:altName w:val="Verdan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B9" w:rsidP="00D93C9C" w14:paraId="1B8DA87B" w14:textId="77777777">
    <w:pPr>
      <w:pStyle w:val="Footer"/>
      <w:tabs>
        <w:tab w:val="clear" w:pos="4320"/>
        <w:tab w:val="center" w:pos="4680"/>
        <w:tab w:val="clear" w:pos="8640"/>
        <w:tab w:val="right" w:pos="9360"/>
      </w:tabs>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93C9C" w:rsidP="00D93C9C" w14:paraId="0D0BC66B" w14:textId="77777777">
    <w:pPr>
      <w:pStyle w:val="Footer"/>
      <w:tabs>
        <w:tab w:val="clear" w:pos="4320"/>
        <w:tab w:val="center" w:pos="4680"/>
        <w:tab w:val="clear" w:pos="8640"/>
        <w:tab w:val="right"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764C1" w14:paraId="07429735" w14:textId="77777777">
      <w:r>
        <w:separator/>
      </w:r>
    </w:p>
  </w:footnote>
  <w:footnote w:type="continuationSeparator" w:id="1">
    <w:p w:rsidR="004764C1" w14:paraId="0A0B805B" w14:textId="77777777">
      <w:r>
        <w:continuationSeparator/>
      </w:r>
    </w:p>
  </w:footnote>
  <w:footnote w:id="2">
    <w:p w:rsidR="005D2B63" w:rsidP="005D2B63" w14:paraId="3DC54D36" w14:textId="756D18F8">
      <w:pPr>
        <w:pStyle w:val="FootnoteText"/>
      </w:pPr>
      <w:r>
        <w:rPr>
          <w:rStyle w:val="FootnoteReference"/>
        </w:rPr>
        <w:footnoteRef/>
      </w:r>
      <w:r>
        <w:t xml:space="preserve"> </w:t>
      </w:r>
      <w:r w:rsidRPr="006C2704">
        <w:rPr>
          <w:i/>
        </w:rPr>
        <w:t>See</w:t>
      </w:r>
      <w:r>
        <w:t xml:space="preserve"> </w:t>
      </w:r>
      <w:r w:rsidRPr="00AB60CC" w:rsidR="00AB60CC">
        <w:t xml:space="preserve">Request </w:t>
      </w:r>
      <w:r w:rsidR="003B6617">
        <w:t>for Waiver of the 2.5 GHz Report &amp; Order Tribal Priority Window Entity Eligibility Rules</w:t>
      </w:r>
      <w:r w:rsidR="00CF2577">
        <w:t xml:space="preserve"> </w:t>
      </w:r>
      <w:r w:rsidR="000E2A13">
        <w:t xml:space="preserve">(dated </w:t>
      </w:r>
      <w:r w:rsidR="003B6617">
        <w:t>Jan</w:t>
      </w:r>
      <w:r w:rsidR="00632D7D">
        <w:t>.</w:t>
      </w:r>
      <w:r w:rsidR="003B6617">
        <w:t xml:space="preserve"> 14, 2020</w:t>
      </w:r>
      <w:r w:rsidR="007E2D82">
        <w:t>)</w:t>
      </w:r>
      <w:r w:rsidR="007D08FB">
        <w:t xml:space="preserve"> (</w:t>
      </w:r>
      <w:r w:rsidRPr="005972CF" w:rsidR="007D08FB">
        <w:rPr>
          <w:i/>
        </w:rPr>
        <w:t>Waiver Request</w:t>
      </w:r>
      <w:r w:rsidR="007D08FB">
        <w:t>)</w:t>
      </w:r>
      <w:r>
        <w:t>.</w:t>
      </w:r>
      <w:r w:rsidR="00232B97">
        <w:t xml:space="preserve">  </w:t>
      </w:r>
    </w:p>
  </w:footnote>
  <w:footnote w:id="3">
    <w:p w:rsidR="00796BA0" w14:paraId="552FE642" w14:textId="77777777">
      <w:pPr>
        <w:pStyle w:val="FootnoteText"/>
      </w:pPr>
      <w:r>
        <w:rPr>
          <w:rStyle w:val="FootnoteReference"/>
        </w:rPr>
        <w:footnoteRef/>
      </w:r>
      <w:r>
        <w:t xml:space="preserve"> </w:t>
      </w:r>
      <w:r w:rsidRPr="005972CF" w:rsidR="005972CF">
        <w:rPr>
          <w:i/>
        </w:rPr>
        <w:t>Transforming the 2.5 GHz Band</w:t>
      </w:r>
      <w:r w:rsidR="005972CF">
        <w:t xml:space="preserve">, Report and Order, </w:t>
      </w:r>
      <w:r w:rsidR="00493340">
        <w:t xml:space="preserve">34 </w:t>
      </w:r>
      <w:r w:rsidR="005972CF">
        <w:t xml:space="preserve">FCC Rcd </w:t>
      </w:r>
      <w:r w:rsidR="00493340">
        <w:t>5447</w:t>
      </w:r>
      <w:r w:rsidR="00A36C33">
        <w:t xml:space="preserve">, </w:t>
      </w:r>
      <w:r w:rsidR="00493340">
        <w:t>5463-69</w:t>
      </w:r>
      <w:r w:rsidR="00A36C33">
        <w:t xml:space="preserve">, paras. 47-65 </w:t>
      </w:r>
      <w:r w:rsidR="005972CF">
        <w:t>(2019) (</w:t>
      </w:r>
      <w:r w:rsidRPr="005972CF" w:rsidR="005972CF">
        <w:rPr>
          <w:i/>
        </w:rPr>
        <w:t>Report &amp; Order</w:t>
      </w:r>
      <w:r w:rsidR="005972CF">
        <w:t>).</w:t>
      </w:r>
    </w:p>
  </w:footnote>
  <w:footnote w:id="4">
    <w:p w:rsidR="00AD6A22" w:rsidRPr="009C2D36" w14:paraId="29A1636B" w14:textId="77777777">
      <w:pPr>
        <w:pStyle w:val="FootnoteText"/>
      </w:pPr>
      <w:r>
        <w:rPr>
          <w:rStyle w:val="FootnoteReference"/>
        </w:rPr>
        <w:footnoteRef/>
      </w:r>
      <w:r>
        <w:t xml:space="preserve"> </w:t>
      </w:r>
      <w:r w:rsidR="009C2D36">
        <w:rPr>
          <w:i/>
        </w:rPr>
        <w:t>See</w:t>
      </w:r>
      <w:r w:rsidR="009C2D36">
        <w:t xml:space="preserve"> </w:t>
      </w:r>
      <w:r w:rsidR="00A36C33">
        <w:t>47 CFR § 27.1204(b)(2).</w:t>
      </w:r>
    </w:p>
  </w:footnote>
  <w:footnote w:id="5">
    <w:p w:rsidR="00AD6A22" w:rsidRPr="009C2D36" w14:paraId="2F6FD9DC" w14:textId="77777777">
      <w:pPr>
        <w:pStyle w:val="FootnoteText"/>
      </w:pPr>
      <w:r>
        <w:rPr>
          <w:rStyle w:val="FootnoteReference"/>
        </w:rPr>
        <w:footnoteRef/>
      </w:r>
      <w:r>
        <w:t xml:space="preserve"> </w:t>
      </w:r>
      <w:r w:rsidR="009C2D36">
        <w:rPr>
          <w:i/>
        </w:rPr>
        <w:t>See</w:t>
      </w:r>
      <w:r w:rsidR="009C2D36">
        <w:t xml:space="preserve"> </w:t>
      </w:r>
      <w:r w:rsidR="00A36C33">
        <w:t>47 CFR § 27.1204(b)(1).</w:t>
      </w:r>
    </w:p>
  </w:footnote>
  <w:footnote w:id="6">
    <w:p w:rsidR="00A36C33" w:rsidRPr="00A36C33" w14:paraId="7105AC87" w14:textId="77777777">
      <w:pPr>
        <w:pStyle w:val="FootnoteText"/>
      </w:pPr>
      <w:r>
        <w:rPr>
          <w:rStyle w:val="FootnoteReference"/>
        </w:rPr>
        <w:footnoteRef/>
      </w:r>
      <w:r>
        <w:t xml:space="preserve"> </w:t>
      </w:r>
      <w:r>
        <w:rPr>
          <w:i/>
        </w:rPr>
        <w:t>See</w:t>
      </w:r>
      <w:r>
        <w:t xml:space="preserve"> Indian Entities Recognized by and Eligible To Receive Services From the United States Bureau of Indian Affairs, 84 FR 1200 (2019).</w:t>
      </w:r>
    </w:p>
  </w:footnote>
  <w:footnote w:id="7">
    <w:p w:rsidR="00A36C33" w14:paraId="01B8AE8F" w14:textId="77777777">
      <w:pPr>
        <w:pStyle w:val="FootnoteText"/>
      </w:pPr>
      <w:r>
        <w:rPr>
          <w:rStyle w:val="FootnoteReference"/>
        </w:rPr>
        <w:footnoteRef/>
      </w:r>
      <w:r>
        <w:t xml:space="preserve"> </w:t>
      </w:r>
      <w:r w:rsidR="00CB75CE">
        <w:rPr>
          <w:i/>
        </w:rPr>
        <w:t xml:space="preserve">See </w:t>
      </w:r>
      <w:r w:rsidRPr="00CB75CE">
        <w:rPr>
          <w:i/>
        </w:rPr>
        <w:t>Waiver Request</w:t>
      </w:r>
      <w:r>
        <w:t xml:space="preserve"> at 2.</w:t>
      </w:r>
    </w:p>
  </w:footnote>
  <w:footnote w:id="8">
    <w:p w:rsidR="007D08FB" w:rsidRPr="00754460" w14:paraId="250D4CA3" w14:textId="1520E199">
      <w:pPr>
        <w:pStyle w:val="FootnoteText"/>
      </w:pPr>
      <w:r>
        <w:rPr>
          <w:rStyle w:val="FootnoteReference"/>
        </w:rPr>
        <w:footnoteRef/>
      </w:r>
      <w:r>
        <w:t xml:space="preserve"> </w:t>
      </w:r>
      <w:r w:rsidR="00CB75CE">
        <w:rPr>
          <w:i/>
        </w:rPr>
        <w:t xml:space="preserve">See </w:t>
      </w:r>
      <w:r w:rsidRPr="00754460" w:rsidR="009C2D36">
        <w:rPr>
          <w:i/>
        </w:rPr>
        <w:t>Waiver Request</w:t>
      </w:r>
      <w:r w:rsidR="00754460">
        <w:t xml:space="preserve"> at 5-6</w:t>
      </w:r>
      <w:r w:rsidR="009C2D36">
        <w:t xml:space="preserve">, </w:t>
      </w:r>
      <w:r w:rsidRPr="00754460" w:rsidR="009C2D36">
        <w:rPr>
          <w:i/>
        </w:rPr>
        <w:t>quoting</w:t>
      </w:r>
      <w:r w:rsidR="00754460">
        <w:t xml:space="preserve"> </w:t>
      </w:r>
      <w:r w:rsidR="00754460">
        <w:rPr>
          <w:i/>
        </w:rPr>
        <w:t>Report &amp; Order</w:t>
      </w:r>
      <w:r w:rsidR="00754460">
        <w:t xml:space="preserve">, </w:t>
      </w:r>
      <w:r w:rsidR="00493340">
        <w:t>34</w:t>
      </w:r>
      <w:r w:rsidR="00754460">
        <w:t xml:space="preserve"> FCC Rcd at </w:t>
      </w:r>
      <w:r w:rsidR="00493340">
        <w:t>5463</w:t>
      </w:r>
      <w:r w:rsidR="00754460">
        <w:t>, para. 47.</w:t>
      </w:r>
    </w:p>
  </w:footnote>
  <w:footnote w:id="9">
    <w:p w:rsidR="00902471" w14:paraId="0A41D4E6" w14:textId="77777777">
      <w:pPr>
        <w:pStyle w:val="FootnoteText"/>
      </w:pPr>
      <w:r>
        <w:rPr>
          <w:rStyle w:val="FootnoteReference"/>
        </w:rPr>
        <w:footnoteRef/>
      </w:r>
      <w:r>
        <w:t xml:space="preserve"> </w:t>
      </w:r>
      <w:r w:rsidR="00CB75CE">
        <w:rPr>
          <w:i/>
        </w:rPr>
        <w:t xml:space="preserve">See </w:t>
      </w:r>
      <w:r w:rsidRPr="00902471">
        <w:rPr>
          <w:i/>
        </w:rPr>
        <w:t>Waiver Request</w:t>
      </w:r>
      <w:r>
        <w:t xml:space="preserve"> at 7.</w:t>
      </w:r>
    </w:p>
  </w:footnote>
  <w:footnote w:id="10">
    <w:p w:rsidR="00902471" w14:paraId="1A913135" w14:textId="77777777">
      <w:pPr>
        <w:pStyle w:val="FootnoteText"/>
      </w:pPr>
      <w:r>
        <w:rPr>
          <w:rStyle w:val="FootnoteReference"/>
        </w:rPr>
        <w:footnoteRef/>
      </w:r>
      <w:r>
        <w:t xml:space="preserve"> </w:t>
      </w:r>
      <w:r w:rsidR="00CB75CE">
        <w:rPr>
          <w:i/>
        </w:rPr>
        <w:t xml:space="preserve">See </w:t>
      </w:r>
      <w:r w:rsidRPr="00902471">
        <w:rPr>
          <w:i/>
        </w:rPr>
        <w:t>Waiver Request</w:t>
      </w:r>
      <w:r>
        <w:t xml:space="preserve"> at 3.</w:t>
      </w:r>
    </w:p>
  </w:footnote>
  <w:footnote w:id="11">
    <w:p w:rsidR="00095B02" w:rsidRPr="00095B02" w14:paraId="4F1973D4" w14:textId="77777777">
      <w:pPr>
        <w:pStyle w:val="FootnoteText"/>
      </w:pPr>
      <w:r>
        <w:rPr>
          <w:rStyle w:val="FootnoteReference"/>
        </w:rPr>
        <w:footnoteRef/>
      </w:r>
      <w:r>
        <w:t xml:space="preserve"> </w:t>
      </w:r>
      <w:r>
        <w:rPr>
          <w:i/>
          <w:iCs/>
        </w:rPr>
        <w:t>See Waiver Request</w:t>
      </w:r>
      <w:r>
        <w:t xml:space="preserve"> at Exhibit 1.</w:t>
      </w:r>
    </w:p>
  </w:footnote>
  <w:footnote w:id="12">
    <w:p w:rsidR="00DC4612" w14:paraId="1E7D60FD" w14:textId="77777777">
      <w:pPr>
        <w:pStyle w:val="FootnoteText"/>
      </w:pPr>
      <w:r>
        <w:rPr>
          <w:rStyle w:val="FootnoteReference"/>
        </w:rPr>
        <w:footnoteRef/>
      </w:r>
      <w:r>
        <w:t xml:space="preserve"> Specifically, </w:t>
      </w:r>
      <w:r w:rsidR="00E75FA6">
        <w:t>the requirements of 47 CFR § 27.1204(b)(1) would be waived with respect to the DHHL. All other provisions of § 27.1204 would remain in effect.</w:t>
      </w:r>
    </w:p>
  </w:footnote>
  <w:footnote w:id="13">
    <w:p w:rsidR="009C2D36" w:rsidRPr="009C2D36" w14:paraId="4AFE7CA3" w14:textId="77777777">
      <w:pPr>
        <w:pStyle w:val="FootnoteText"/>
      </w:pPr>
      <w:r>
        <w:rPr>
          <w:rStyle w:val="FootnoteReference"/>
        </w:rPr>
        <w:footnoteRef/>
      </w:r>
      <w:r>
        <w:t xml:space="preserve"> </w:t>
      </w:r>
      <w:r>
        <w:rPr>
          <w:i/>
        </w:rPr>
        <w:t>See</w:t>
      </w:r>
      <w:r>
        <w:t xml:space="preserve"> </w:t>
      </w:r>
      <w:r w:rsidR="00754460">
        <w:t>47 CFR § 27.1204.</w:t>
      </w:r>
    </w:p>
  </w:footnote>
  <w:footnote w:id="14">
    <w:p w:rsidR="005D2B63" w:rsidP="005D2B63" w14:paraId="200051EF" w14:textId="77777777">
      <w:pPr>
        <w:pStyle w:val="FootnoteText"/>
      </w:pPr>
      <w:r>
        <w:rPr>
          <w:rStyle w:val="FootnoteReference"/>
        </w:rPr>
        <w:footnoteRef/>
      </w:r>
      <w:r>
        <w:t xml:space="preserve"> </w:t>
      </w:r>
      <w:r>
        <w:rPr>
          <w:i/>
        </w:rPr>
        <w:t xml:space="preserve">See </w:t>
      </w:r>
      <w:r w:rsidRPr="00EE24FF">
        <w:rPr>
          <w:i/>
        </w:rPr>
        <w:t>Electronic Filing of Documents in Rulemaking Proceedings</w:t>
      </w:r>
      <w:r>
        <w:t xml:space="preserve">, </w:t>
      </w:r>
      <w:r w:rsidRPr="00EE24FF">
        <w:t>Report and Order</w:t>
      </w:r>
      <w:r>
        <w:t>, 13 FCC Rcd 11322 (1998).</w:t>
      </w:r>
    </w:p>
  </w:footnote>
  <w:footnote w:id="15">
    <w:p w:rsidR="005D2B63" w:rsidP="005D2B63" w14:paraId="4753F3B3" w14:textId="77777777">
      <w:pPr>
        <w:pStyle w:val="FootnoteText"/>
      </w:pPr>
      <w:r>
        <w:rPr>
          <w:rStyle w:val="FootnoteReference"/>
        </w:rPr>
        <w:footnoteRef/>
      </w:r>
      <w:r>
        <w:t xml:space="preserve"> </w:t>
      </w:r>
      <w:r>
        <w:rPr>
          <w:i/>
        </w:rPr>
        <w:t>See</w:t>
      </w:r>
      <w:r>
        <w:t xml:space="preserve"> 47 CFR §§ 1.1200(a), 1.1206.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E40B9" w:rsidRPr="007A6536" w:rsidP="00DE40B9" w14:paraId="17658443" w14:textId="42E20F2D">
    <w:pPr>
      <w:tabs>
        <w:tab w:val="center" w:pos="4680"/>
        <w:tab w:val="right" w:pos="9360"/>
      </w:tabs>
      <w:rPr>
        <w:b/>
        <w:szCs w:val="22"/>
      </w:rPr>
    </w:pPr>
    <w:r>
      <w:rPr>
        <w:b/>
        <w:szCs w:val="22"/>
      </w:rPr>
      <w:tab/>
    </w:r>
    <w:r w:rsidRPr="007A6536">
      <w:rPr>
        <w:b/>
        <w:szCs w:val="22"/>
      </w:rPr>
      <w:t>Federal Communications Commission</w:t>
    </w:r>
    <w:r w:rsidRPr="007A6536">
      <w:rPr>
        <w:b/>
        <w:szCs w:val="22"/>
      </w:rPr>
      <w:tab/>
      <w:t xml:space="preserve">DA </w:t>
    </w:r>
    <w:r w:rsidR="00493340">
      <w:rPr>
        <w:b/>
        <w:szCs w:val="22"/>
      </w:rPr>
      <w:t>20</w:t>
    </w:r>
    <w:r w:rsidRPr="007A6536">
      <w:rPr>
        <w:b/>
        <w:szCs w:val="22"/>
      </w:rPr>
      <w:t>-</w:t>
    </w:r>
    <w:r w:rsidR="00493340">
      <w:rPr>
        <w:b/>
        <w:szCs w:val="22"/>
      </w:rPr>
      <w:t>XXX</w:t>
    </w:r>
  </w:p>
  <w:p w:rsidR="00DE40B9" w:rsidRPr="007A6536" w:rsidP="00DE40B9" w14:paraId="2C8FC200" w14:textId="77777777">
    <w:pPr>
      <w:tabs>
        <w:tab w:val="left" w:pos="-720"/>
      </w:tabs>
      <w:suppressAutoHyphens/>
      <w:spacing w:line="19" w:lineRule="exact"/>
      <w:rPr>
        <w:b/>
        <w:spacing w:val="-2"/>
        <w:szCs w:val="22"/>
      </w:rPr>
    </w:pPr>
    <w:r>
      <w:rPr>
        <w:noProof/>
      </w:rPr>
      <mc:AlternateContent>
        <mc:Choice Requires="wps">
          <w:drawing>
            <wp:anchor distT="0" distB="0" distL="114300" distR="114300" simplePos="0" relativeHeight="251665408" behindDoc="1" locked="0" layoutInCell="0" allowOverlap="1">
              <wp:simplePos x="0" y="0"/>
              <wp:positionH relativeFrom="margin">
                <wp:posOffset>0</wp:posOffset>
              </wp:positionH>
              <wp:positionV relativeFrom="paragraph">
                <wp:posOffset>0</wp:posOffset>
              </wp:positionV>
              <wp:extent cx="5943600" cy="12065"/>
              <wp:effectExtent l="0" t="0" r="0" b="0"/>
              <wp:wrapNone/>
              <wp:docPr id="4" name="Rectangle 6"/>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xtLst>
                        <a:ext xmlns:a="http://schemas.openxmlformats.org/drawingml/2006/main" uri="{91240B29-F687-4F45-9708-019B960494DF}">
                          <a14:hiddenLine xmlns:a14="http://schemas.microsoft.com/office/drawing/2010/main" w="635">
                            <a:solidFill>
                              <a:srgbClr val="000000"/>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6"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0048" o:allowincell="f" fillcolor="black" stroked="f" strokeweight="0.05pt">
              <w10:wrap anchorx="margin"/>
            </v:rect>
          </w:pict>
        </mc:Fallback>
      </mc:AlternateContent>
    </w:r>
  </w:p>
  <w:p w:rsidR="00DE40B9" w:rsidRPr="00A74183" w:rsidP="00DE40B9" w14:paraId="221254AA"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B5250" w:rsidP="00D93C9C" w14:paraId="284F8349" w14:textId="77777777">
    <w:pPr>
      <w:pStyle w:val="Header"/>
      <w:ind w:firstLine="0"/>
    </w:pPr>
    <w:r>
      <w:rPr>
        <w:noProof/>
      </w:rPr>
      <w:drawing>
        <wp:anchor distT="0" distB="0" distL="114300" distR="114300" simplePos="0" relativeHeight="251662336" behindDoc="0" locked="0" layoutInCell="0" allowOverlap="1">
          <wp:simplePos x="0" y="0"/>
          <wp:positionH relativeFrom="column">
            <wp:posOffset>-676275</wp:posOffset>
          </wp:positionH>
          <wp:positionV relativeFrom="paragraph">
            <wp:posOffset>85725</wp:posOffset>
          </wp:positionV>
          <wp:extent cx="586740" cy="591185"/>
          <wp:effectExtent l="0" t="0" r="0" b="0"/>
          <wp:wrapNone/>
          <wp:docPr id="1026" name="Picture 1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6192587" name="Picture 1026"/>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noProof/>
        <w:sz w:val="24"/>
      </w:rPr>
      <mc:AlternateContent>
        <mc:Choice Requires="wps">
          <w:drawing>
            <wp:anchor distT="0" distB="0" distL="114300" distR="114300" simplePos="0" relativeHeight="251658240" behindDoc="0" locked="0" layoutInCell="0" allowOverlap="1">
              <wp:simplePos x="0" y="0"/>
              <wp:positionH relativeFrom="column">
                <wp:posOffset>-89535</wp:posOffset>
              </wp:positionH>
              <wp:positionV relativeFrom="paragraph">
                <wp:posOffset>731520</wp:posOffset>
              </wp:positionV>
              <wp:extent cx="2794635" cy="640080"/>
              <wp:effectExtent l="0" t="0" r="0" b="0"/>
              <wp:wrapNone/>
              <wp:docPr id="3" name="Text Box 102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794635"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B5250" w:rsidRPr="00DE40B9" w14:textId="77777777">
                          <w:pPr>
                            <w:rPr>
                              <w:rFonts w:ascii="Arial" w:hAnsi="Arial" w:cs="Arial"/>
                              <w:b/>
                            </w:rPr>
                          </w:pPr>
                          <w:r w:rsidRPr="00DE40B9">
                            <w:rPr>
                              <w:rFonts w:ascii="Arial" w:hAnsi="Arial" w:cs="Arial"/>
                              <w:b/>
                            </w:rPr>
                            <w:t>Federal Communications Commission</w:t>
                          </w:r>
                        </w:p>
                        <w:p w:rsidR="005B5250" w:rsidRPr="00DE40B9" w14:textId="77777777">
                          <w:pPr>
                            <w:rPr>
                              <w:rFonts w:ascii="Arial" w:hAnsi="Arial" w:cs="Arial"/>
                              <w:b/>
                            </w:rPr>
                          </w:pPr>
                          <w:smartTag w:uri="urn:schemas-microsoft-com:office:smarttags" w:element="address">
                            <w:smartTag w:uri="urn:schemas-microsoft-com:office:smarttags" w:element="Street">
                              <w:r w:rsidRPr="00DE40B9">
                                <w:rPr>
                                  <w:rFonts w:ascii="Arial" w:hAnsi="Arial" w:cs="Arial"/>
                                  <w:b/>
                                </w:rPr>
                                <w:t>445 12</w:t>
                              </w:r>
                              <w:r w:rsidRPr="00DE40B9">
                                <w:rPr>
                                  <w:rFonts w:ascii="Arial" w:hAnsi="Arial" w:cs="Arial"/>
                                  <w:b/>
                                  <w:vertAlign w:val="superscript"/>
                                </w:rPr>
                                <w:t>th</w:t>
                              </w:r>
                              <w:r w:rsidRPr="00DE40B9">
                                <w:rPr>
                                  <w:rFonts w:ascii="Arial" w:hAnsi="Arial" w:cs="Arial"/>
                                  <w:b/>
                                </w:rPr>
                                <w:t xml:space="preserve"> St., S.W.</w:t>
                              </w:r>
                            </w:smartTag>
                          </w:smartTag>
                        </w:p>
                        <w:p w:rsidR="005B5250" w:rsidRPr="00DE40B9" w14:textId="77777777">
                          <w:pPr>
                            <w:rPr>
                              <w:rFonts w:ascii="Arial" w:hAnsi="Arial" w:cs="Arial"/>
                              <w:sz w:val="24"/>
                            </w:rPr>
                          </w:pPr>
                          <w:smartTag w:uri="urn:schemas-microsoft-com:office:smarttags" w:element="place">
                            <w:smartTag w:uri="urn:schemas-microsoft-com:office:smarttags" w:element="City">
                              <w:r w:rsidRPr="00DE40B9">
                                <w:rPr>
                                  <w:rFonts w:ascii="Arial" w:hAnsi="Arial" w:cs="Arial"/>
                                  <w:b/>
                                </w:rPr>
                                <w:t>Washington</w:t>
                              </w:r>
                            </w:smartTag>
                            <w:r w:rsidRPr="00DE40B9">
                              <w:rPr>
                                <w:rFonts w:ascii="Arial" w:hAnsi="Arial" w:cs="Arial"/>
                                <w:b/>
                              </w:rPr>
                              <w:t xml:space="preserve">, </w:t>
                            </w:r>
                            <w:smartTag w:uri="urn:schemas-microsoft-com:office:smarttags" w:element="State">
                              <w:r w:rsidRPr="00DE40B9">
                                <w:rPr>
                                  <w:rFonts w:ascii="Arial" w:hAnsi="Arial" w:cs="Arial"/>
                                  <w:b/>
                                </w:rPr>
                                <w:t>D.C.</w:t>
                              </w:r>
                            </w:smartTag>
                            <w:r w:rsidRPr="00DE40B9">
                              <w:rPr>
                                <w:rFonts w:ascii="Arial" w:hAnsi="Arial" w:cs="Arial"/>
                                <w:b/>
                              </w:rPr>
                              <w:t xml:space="preserve"> </w:t>
                            </w:r>
                            <w:smartTag w:uri="urn:schemas-microsoft-com:office:smarttags" w:element="PostalCode">
                              <w:r w:rsidRPr="00DE40B9">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2050" type="#_x0000_t202" style="width:220.05pt;height:50.4pt;margin-top:57.6pt;margin-left:-7.05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5B5250" w:rsidRPr="00DE40B9" w14:paraId="222317D6" w14:textId="77777777">
                    <w:pPr>
                      <w:rPr>
                        <w:rFonts w:ascii="Arial" w:hAnsi="Arial" w:cs="Arial"/>
                        <w:b/>
                      </w:rPr>
                    </w:pPr>
                    <w:r w:rsidRPr="00DE40B9">
                      <w:rPr>
                        <w:rFonts w:ascii="Arial" w:hAnsi="Arial" w:cs="Arial"/>
                        <w:b/>
                      </w:rPr>
                      <w:t>Federal Communications Commission</w:t>
                    </w:r>
                  </w:p>
                  <w:p w:rsidR="005B5250" w:rsidRPr="00DE40B9" w14:paraId="375620AB" w14:textId="77777777">
                    <w:pPr>
                      <w:rPr>
                        <w:rFonts w:ascii="Arial" w:hAnsi="Arial" w:cs="Arial"/>
                        <w:b/>
                      </w:rPr>
                    </w:pPr>
                    <w:smartTag w:uri="urn:schemas-microsoft-com:office:smarttags" w:element="address">
                      <w:smartTag w:uri="urn:schemas-microsoft-com:office:smarttags" w:element="Street">
                        <w:r w:rsidRPr="00DE40B9">
                          <w:rPr>
                            <w:rFonts w:ascii="Arial" w:hAnsi="Arial" w:cs="Arial"/>
                            <w:b/>
                          </w:rPr>
                          <w:t>445 12</w:t>
                        </w:r>
                        <w:r w:rsidRPr="00DE40B9">
                          <w:rPr>
                            <w:rFonts w:ascii="Arial" w:hAnsi="Arial" w:cs="Arial"/>
                            <w:b/>
                            <w:vertAlign w:val="superscript"/>
                          </w:rPr>
                          <w:t>th</w:t>
                        </w:r>
                        <w:r w:rsidRPr="00DE40B9">
                          <w:rPr>
                            <w:rFonts w:ascii="Arial" w:hAnsi="Arial" w:cs="Arial"/>
                            <w:b/>
                          </w:rPr>
                          <w:t xml:space="preserve"> St., S.W.</w:t>
                        </w:r>
                      </w:smartTag>
                    </w:smartTag>
                  </w:p>
                  <w:p w:rsidR="005B5250" w:rsidRPr="00DE40B9" w14:paraId="7E30153C" w14:textId="77777777">
                    <w:pPr>
                      <w:rPr>
                        <w:rFonts w:ascii="Arial" w:hAnsi="Arial" w:cs="Arial"/>
                        <w:sz w:val="24"/>
                      </w:rPr>
                    </w:pPr>
                    <w:smartTag w:uri="urn:schemas-microsoft-com:office:smarttags" w:element="place">
                      <w:smartTag w:uri="urn:schemas-microsoft-com:office:smarttags" w:element="City">
                        <w:r w:rsidRPr="00DE40B9">
                          <w:rPr>
                            <w:rFonts w:ascii="Arial" w:hAnsi="Arial" w:cs="Arial"/>
                            <w:b/>
                          </w:rPr>
                          <w:t>Washington</w:t>
                        </w:r>
                      </w:smartTag>
                      <w:r w:rsidRPr="00DE40B9">
                        <w:rPr>
                          <w:rFonts w:ascii="Arial" w:hAnsi="Arial" w:cs="Arial"/>
                          <w:b/>
                        </w:rPr>
                        <w:t xml:space="preserve">, </w:t>
                      </w:r>
                      <w:smartTag w:uri="urn:schemas-microsoft-com:office:smarttags" w:element="State">
                        <w:r w:rsidRPr="00DE40B9">
                          <w:rPr>
                            <w:rFonts w:ascii="Arial" w:hAnsi="Arial" w:cs="Arial"/>
                            <w:b/>
                          </w:rPr>
                          <w:t>D.C.</w:t>
                        </w:r>
                      </w:smartTag>
                      <w:r w:rsidRPr="00DE40B9">
                        <w:rPr>
                          <w:rFonts w:ascii="Arial" w:hAnsi="Arial" w:cs="Arial"/>
                          <w:b/>
                        </w:rPr>
                        <w:t xml:space="preserve"> </w:t>
                      </w:r>
                      <w:smartTag w:uri="urn:schemas-microsoft-com:office:smarttags" w:element="PostalCode">
                        <w:r w:rsidRPr="00DE40B9">
                          <w:rPr>
                            <w:rFonts w:ascii="Arial" w:hAnsi="Arial" w:cs="Arial"/>
                            <w:b/>
                          </w:rPr>
                          <w:t>20554</w:t>
                        </w:r>
                      </w:smartTag>
                    </w:smartTag>
                  </w:p>
                </w:txbxContent>
              </v:textbox>
            </v:shape>
          </w:pict>
        </mc:Fallback>
      </mc:AlternateContent>
    </w:r>
    <w:r w:rsidRPr="00DE40B9">
      <w:t>PUBLIC NOTICE</w:t>
    </w:r>
  </w:p>
  <w:p w:rsidR="00DE40B9" w:rsidRPr="00DE40B9" w:rsidP="00D93C9C" w14:paraId="0D6C5706" w14:textId="77777777">
    <w:pPr>
      <w:pStyle w:val="Header"/>
      <w:ind w:firstLine="0"/>
    </w:pPr>
    <w:r>
      <w:rPr>
        <w:noProof/>
        <w:snapToGrid/>
      </w:rPr>
      <mc:AlternateContent>
        <mc:Choice Requires="wps">
          <w:drawing>
            <wp:anchor distT="0" distB="0" distL="114300" distR="114300" simplePos="0" relativeHeight="251663360" behindDoc="0" locked="0" layoutInCell="0" allowOverlap="1">
              <wp:simplePos x="0" y="0"/>
              <wp:positionH relativeFrom="column">
                <wp:posOffset>3409950</wp:posOffset>
              </wp:positionH>
              <wp:positionV relativeFrom="paragraph">
                <wp:posOffset>130810</wp:posOffset>
              </wp:positionV>
              <wp:extent cx="2640965" cy="447675"/>
              <wp:effectExtent l="0" t="0" r="0" b="0"/>
              <wp:wrapNone/>
              <wp:docPr id="2"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DE40B9" w:rsidP="00DE40B9" w14:textId="77777777">
                          <w:pPr>
                            <w:spacing w:before="40"/>
                            <w:jc w:val="right"/>
                            <w:rPr>
                              <w:rFonts w:ascii="Arial" w:hAnsi="Arial"/>
                              <w:b/>
                              <w:sz w:val="16"/>
                            </w:rPr>
                          </w:pPr>
                          <w:r>
                            <w:rPr>
                              <w:rFonts w:ascii="Arial" w:hAnsi="Arial"/>
                              <w:b/>
                              <w:sz w:val="16"/>
                            </w:rPr>
                            <w:t>News Media Information 202 / 418-0500</w:t>
                          </w:r>
                        </w:p>
                        <w:p w:rsidR="00DE40B9" w:rsidP="00DE40B9"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E40B9" w:rsidP="00DE40B9"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1" type="#_x0000_t202" style="width:207.95pt;height:35.25pt;margin-top:10.3pt;margin-left:268.5pt;mso-height-percent:0;mso-height-relative:page;mso-width-percent:0;mso-width-relative:page;mso-wrap-distance-bottom:0;mso-wrap-distance-left:9pt;mso-wrap-distance-right:9pt;mso-wrap-distance-top:0;mso-wrap-style:square;position:absolute;visibility:visible;v-text-anchor:top;z-index:251664384" o:allowincell="f" stroked="f">
              <v:textbox inset=",0,,0">
                <w:txbxContent>
                  <w:p w:rsidR="00DE40B9" w:rsidP="00DE40B9" w14:paraId="75F97DFC" w14:textId="77777777">
                    <w:pPr>
                      <w:spacing w:before="40"/>
                      <w:jc w:val="right"/>
                      <w:rPr>
                        <w:rFonts w:ascii="Arial" w:hAnsi="Arial"/>
                        <w:b/>
                        <w:sz w:val="16"/>
                      </w:rPr>
                    </w:pPr>
                    <w:r>
                      <w:rPr>
                        <w:rFonts w:ascii="Arial" w:hAnsi="Arial"/>
                        <w:b/>
                        <w:sz w:val="16"/>
                      </w:rPr>
                      <w:t>News Media Information 202 / 418-0500</w:t>
                    </w:r>
                  </w:p>
                  <w:p w:rsidR="00DE40B9" w:rsidP="00DE40B9" w14:paraId="7F63107F"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DE40B9" w:rsidP="00DE40B9" w14:paraId="167CE455" w14:textId="77777777">
                    <w:pPr>
                      <w:jc w:val="right"/>
                    </w:pPr>
                    <w:r>
                      <w:rPr>
                        <w:rFonts w:ascii="Arial" w:hAnsi="Arial"/>
                        <w:b/>
                        <w:sz w:val="16"/>
                      </w:rPr>
                      <w:t>TTY: 1-888-835-5322</w:t>
                    </w:r>
                  </w:p>
                </w:txbxContent>
              </v:textbox>
            </v:shape>
          </w:pict>
        </mc:Fallback>
      </mc:AlternateContent>
    </w:r>
  </w:p>
  <w:p w:rsidR="005B5250" w:rsidP="00D93C9C" w14:paraId="105329F2" w14:textId="77777777">
    <w:pPr>
      <w:pStyle w:val="Header"/>
      <w:ind w:firstLine="0"/>
      <w:rPr>
        <w:sz w:val="28"/>
      </w:rPr>
    </w:pPr>
    <w:r>
      <w:rPr>
        <w:noProof/>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30480</wp:posOffset>
              </wp:positionV>
              <wp:extent cx="5943600" cy="0"/>
              <wp:effectExtent l="0" t="0" r="0" b="0"/>
              <wp:wrapNone/>
              <wp:docPr id="1" name="Line 1029"/>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9" o:spid="_x0000_s2052" style="mso-height-percent:0;mso-height-relative:page;mso-width-percent:0;mso-width-relative:page;mso-wrap-distance-bottom:0;mso-wrap-distance-left:9pt;mso-wrap-distance-right:9pt;mso-wrap-distance-top:0;mso-wrap-style:square;position:absolute;visibility:visible;z-index:251661312" from="0,2.4pt" to="468pt,2.4pt" o:allowincell="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0E743C5D"/>
    <w:multiLevelType w:val="singleLevel"/>
    <w:tmpl w:val="D5D61076"/>
    <w:lvl w:ilvl="0">
      <w:start w:val="1"/>
      <w:numFmt w:val="bullet"/>
      <w:lvlText w:val=""/>
      <w:lvlJc w:val="left"/>
      <w:pPr>
        <w:tabs>
          <w:tab w:val="num" w:pos="360"/>
        </w:tabs>
        <w:ind w:left="360" w:hanging="360"/>
      </w:pPr>
      <w:rPr>
        <w:rFonts w:ascii="Symbol" w:hAnsi="Symbol" w:hint="default"/>
        <w:color w:val="auto"/>
        <w:sz w:val="22"/>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6B02FBE"/>
    <w:multiLevelType w:val="hybridMultilevel"/>
    <w:tmpl w:val="C2F83662"/>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abstractNum w:abstractNumId="8">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cap="rnd">
          <w14:noFill/>
          <w14:bevel/>
        </w14:textOutline>
      </w:rPr>
    </w:lvl>
  </w:abstractNum>
  <w:abstractNum w:abstractNumId="9">
    <w:nsid w:val="492A0DB4"/>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50E225D9"/>
    <w:multiLevelType w:val="hybridMultilevel"/>
    <w:tmpl w:val="6F56B5B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720"/>
        </w:tabs>
        <w:ind w:left="720" w:hanging="360"/>
      </w:pPr>
      <w:rPr>
        <w:rFonts w:ascii="Courier New" w:hAnsi="Courier New" w:cs="News Gothic MT" w:hint="default"/>
      </w:rPr>
    </w:lvl>
    <w:lvl w:ilvl="2">
      <w:start w:val="1"/>
      <w:numFmt w:val="bullet"/>
      <w:lvlText w:val=""/>
      <w:lvlJc w:val="left"/>
      <w:pPr>
        <w:tabs>
          <w:tab w:val="num" w:pos="1440"/>
        </w:tabs>
        <w:ind w:left="1440" w:hanging="360"/>
      </w:pPr>
      <w:rPr>
        <w:rFonts w:ascii="Wingdings" w:hAnsi="Wingdings" w:hint="default"/>
      </w:rPr>
    </w:lvl>
    <w:lvl w:ilvl="3" w:tentative="1">
      <w:start w:val="1"/>
      <w:numFmt w:val="bullet"/>
      <w:lvlText w:val=""/>
      <w:lvlJc w:val="left"/>
      <w:pPr>
        <w:tabs>
          <w:tab w:val="num" w:pos="2160"/>
        </w:tabs>
        <w:ind w:left="2160" w:hanging="360"/>
      </w:pPr>
      <w:rPr>
        <w:rFonts w:ascii="Symbol" w:hAnsi="Symbol" w:hint="default"/>
      </w:rPr>
    </w:lvl>
    <w:lvl w:ilvl="4" w:tentative="1">
      <w:start w:val="1"/>
      <w:numFmt w:val="bullet"/>
      <w:lvlText w:val="o"/>
      <w:lvlJc w:val="left"/>
      <w:pPr>
        <w:tabs>
          <w:tab w:val="num" w:pos="2880"/>
        </w:tabs>
        <w:ind w:left="2880" w:hanging="360"/>
      </w:pPr>
      <w:rPr>
        <w:rFonts w:ascii="Courier New" w:hAnsi="Courier New" w:cs="News Gothic MT" w:hint="default"/>
      </w:rPr>
    </w:lvl>
    <w:lvl w:ilvl="5" w:tentative="1">
      <w:start w:val="1"/>
      <w:numFmt w:val="bullet"/>
      <w:lvlText w:val=""/>
      <w:lvlJc w:val="left"/>
      <w:pPr>
        <w:tabs>
          <w:tab w:val="num" w:pos="3600"/>
        </w:tabs>
        <w:ind w:left="3600" w:hanging="360"/>
      </w:pPr>
      <w:rPr>
        <w:rFonts w:ascii="Wingdings" w:hAnsi="Wingdings" w:hint="default"/>
      </w:rPr>
    </w:lvl>
    <w:lvl w:ilvl="6" w:tentative="1">
      <w:start w:val="1"/>
      <w:numFmt w:val="bullet"/>
      <w:lvlText w:val=""/>
      <w:lvlJc w:val="left"/>
      <w:pPr>
        <w:tabs>
          <w:tab w:val="num" w:pos="4320"/>
        </w:tabs>
        <w:ind w:left="4320" w:hanging="360"/>
      </w:pPr>
      <w:rPr>
        <w:rFonts w:ascii="Symbol" w:hAnsi="Symbol" w:hint="default"/>
      </w:rPr>
    </w:lvl>
    <w:lvl w:ilvl="7" w:tentative="1">
      <w:start w:val="1"/>
      <w:numFmt w:val="bullet"/>
      <w:lvlText w:val="o"/>
      <w:lvlJc w:val="left"/>
      <w:pPr>
        <w:tabs>
          <w:tab w:val="num" w:pos="5040"/>
        </w:tabs>
        <w:ind w:left="5040" w:hanging="360"/>
      </w:pPr>
      <w:rPr>
        <w:rFonts w:ascii="Courier New" w:hAnsi="Courier New" w:cs="News Gothic MT" w:hint="default"/>
      </w:rPr>
    </w:lvl>
    <w:lvl w:ilvl="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lvlText w:val=""/>
      <w:lvlJc w:val="left"/>
      <w:pPr>
        <w:tabs>
          <w:tab w:val="num" w:pos="2520"/>
        </w:tabs>
        <w:ind w:left="2520" w:hanging="360"/>
      </w:pPr>
      <w:rPr>
        <w:rFonts w:ascii="Symbol" w:hAnsi="Symbol" w:hint="default"/>
        <w:color w:val="auto"/>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color w:val="auto"/>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5F521117"/>
    <w:multiLevelType w:val="hybridMultilevel"/>
    <w:tmpl w:val="8DE4D66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18">
    <w:nsid w:val="61496D3F"/>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19">
    <w:nsid w:val="6479547D"/>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20">
    <w:nsid w:val="71603953"/>
    <w:multiLevelType w:val="hybridMultilevel"/>
    <w:tmpl w:val="222C358A"/>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1">
    <w:nsid w:val="7A281330"/>
    <w:multiLevelType w:val="singleLevel"/>
    <w:tmpl w:val="D7A8F8D6"/>
    <w:lvl w:ilvl="0">
      <w:start w:val="1"/>
      <w:numFmt w:val="bullet"/>
      <w:lvlText w:val=""/>
      <w:lvlJc w:val="left"/>
      <w:pPr>
        <w:tabs>
          <w:tab w:val="num" w:pos="360"/>
        </w:tabs>
        <w:ind w:left="360" w:hanging="360"/>
      </w:pPr>
      <w:rPr>
        <w:rFonts w:ascii="Symbol" w:hAnsi="Symbol" w:hint="default"/>
        <w:color w:val="auto"/>
        <w:sz w:val="22"/>
        <w:u w:val="none"/>
      </w:rPr>
    </w:lvl>
  </w:abstractNum>
  <w:abstractNum w:abstractNumId="22">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8"/>
  </w:num>
  <w:num w:numId="13">
    <w:abstractNumId w:val="2"/>
  </w:num>
  <w:num w:numId="14">
    <w:abstractNumId w:val="21"/>
  </w:num>
  <w:num w:numId="15">
    <w:abstractNumId w:val="9"/>
  </w:num>
  <w:num w:numId="16">
    <w:abstractNumId w:val="18"/>
  </w:num>
  <w:num w:numId="17">
    <w:abstractNumId w:val="19"/>
  </w:num>
  <w:num w:numId="18">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1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num>
  <w:num w:numId="26">
    <w:abstractNumId w:val="17"/>
  </w:num>
  <w:num w:numId="27">
    <w:abstractNumId w:val="5"/>
  </w:num>
  <w:num w:numId="28">
    <w:abstractNumId w:val="10"/>
  </w:num>
  <w:num w:numId="29">
    <w:abstractNumId w:val="4"/>
  </w:num>
  <w:num w:numId="30">
    <w:abstractNumId w:val="1"/>
  </w:num>
  <w:num w:numId="31">
    <w:abstractNumId w:val="16"/>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AE7"/>
    <w:rsid w:val="00000AFD"/>
    <w:rsid w:val="00004B10"/>
    <w:rsid w:val="000070F4"/>
    <w:rsid w:val="00024D31"/>
    <w:rsid w:val="00034310"/>
    <w:rsid w:val="00046438"/>
    <w:rsid w:val="00047C2F"/>
    <w:rsid w:val="000518A4"/>
    <w:rsid w:val="00095B02"/>
    <w:rsid w:val="000B4AE7"/>
    <w:rsid w:val="000C2D16"/>
    <w:rsid w:val="000C7691"/>
    <w:rsid w:val="000E2A13"/>
    <w:rsid w:val="0010787F"/>
    <w:rsid w:val="00113A72"/>
    <w:rsid w:val="00123EB0"/>
    <w:rsid w:val="001325DA"/>
    <w:rsid w:val="00133AB2"/>
    <w:rsid w:val="0015482B"/>
    <w:rsid w:val="00160C0D"/>
    <w:rsid w:val="00161BD7"/>
    <w:rsid w:val="001761FD"/>
    <w:rsid w:val="00181618"/>
    <w:rsid w:val="00182B46"/>
    <w:rsid w:val="001A6988"/>
    <w:rsid w:val="001B0D4E"/>
    <w:rsid w:val="001B52E1"/>
    <w:rsid w:val="002039A1"/>
    <w:rsid w:val="00211273"/>
    <w:rsid w:val="0022174E"/>
    <w:rsid w:val="00222A3E"/>
    <w:rsid w:val="0022328E"/>
    <w:rsid w:val="00227863"/>
    <w:rsid w:val="00232B97"/>
    <w:rsid w:val="00272A53"/>
    <w:rsid w:val="002879B8"/>
    <w:rsid w:val="002A05A8"/>
    <w:rsid w:val="002A1C90"/>
    <w:rsid w:val="002D2899"/>
    <w:rsid w:val="002F3D20"/>
    <w:rsid w:val="002F48E1"/>
    <w:rsid w:val="00304B3E"/>
    <w:rsid w:val="00331A85"/>
    <w:rsid w:val="0033745A"/>
    <w:rsid w:val="0035233B"/>
    <w:rsid w:val="003928D7"/>
    <w:rsid w:val="0039416E"/>
    <w:rsid w:val="00396267"/>
    <w:rsid w:val="003A1057"/>
    <w:rsid w:val="003B17CD"/>
    <w:rsid w:val="003B38A8"/>
    <w:rsid w:val="003B6617"/>
    <w:rsid w:val="003C1E72"/>
    <w:rsid w:val="003D13E6"/>
    <w:rsid w:val="003D424A"/>
    <w:rsid w:val="003D74AB"/>
    <w:rsid w:val="003F6080"/>
    <w:rsid w:val="004017EB"/>
    <w:rsid w:val="00402C7B"/>
    <w:rsid w:val="00444488"/>
    <w:rsid w:val="004506C0"/>
    <w:rsid w:val="004764C1"/>
    <w:rsid w:val="0049048D"/>
    <w:rsid w:val="00493340"/>
    <w:rsid w:val="004D55A7"/>
    <w:rsid w:val="004F56EB"/>
    <w:rsid w:val="00500E20"/>
    <w:rsid w:val="00503E28"/>
    <w:rsid w:val="00516DB9"/>
    <w:rsid w:val="00521016"/>
    <w:rsid w:val="00521244"/>
    <w:rsid w:val="0052450B"/>
    <w:rsid w:val="00526C2B"/>
    <w:rsid w:val="005376D8"/>
    <w:rsid w:val="0055588C"/>
    <w:rsid w:val="00592347"/>
    <w:rsid w:val="0059615B"/>
    <w:rsid w:val="005972CF"/>
    <w:rsid w:val="005B0CC6"/>
    <w:rsid w:val="005B2F7C"/>
    <w:rsid w:val="005B4E81"/>
    <w:rsid w:val="005B5250"/>
    <w:rsid w:val="005B7297"/>
    <w:rsid w:val="005C2CA8"/>
    <w:rsid w:val="005C7EE0"/>
    <w:rsid w:val="005D2B63"/>
    <w:rsid w:val="005F0CFA"/>
    <w:rsid w:val="00611758"/>
    <w:rsid w:val="00614288"/>
    <w:rsid w:val="00616D99"/>
    <w:rsid w:val="0062717F"/>
    <w:rsid w:val="00632D7D"/>
    <w:rsid w:val="00642836"/>
    <w:rsid w:val="00664D0C"/>
    <w:rsid w:val="00671956"/>
    <w:rsid w:val="0067397A"/>
    <w:rsid w:val="0068510C"/>
    <w:rsid w:val="006903CF"/>
    <w:rsid w:val="006B4BAB"/>
    <w:rsid w:val="006C2704"/>
    <w:rsid w:val="0072705E"/>
    <w:rsid w:val="00737808"/>
    <w:rsid w:val="00754460"/>
    <w:rsid w:val="00760CD3"/>
    <w:rsid w:val="00767B64"/>
    <w:rsid w:val="00771CA0"/>
    <w:rsid w:val="00774CA6"/>
    <w:rsid w:val="0077789D"/>
    <w:rsid w:val="0078639E"/>
    <w:rsid w:val="00796BA0"/>
    <w:rsid w:val="00796DBF"/>
    <w:rsid w:val="007A0E1B"/>
    <w:rsid w:val="007A6536"/>
    <w:rsid w:val="007A7C27"/>
    <w:rsid w:val="007B2554"/>
    <w:rsid w:val="007B27F1"/>
    <w:rsid w:val="007B672E"/>
    <w:rsid w:val="007C4E1A"/>
    <w:rsid w:val="007C7DCF"/>
    <w:rsid w:val="007D08FB"/>
    <w:rsid w:val="007E2D82"/>
    <w:rsid w:val="007F4A31"/>
    <w:rsid w:val="007F5C5C"/>
    <w:rsid w:val="008143BF"/>
    <w:rsid w:val="00831BE6"/>
    <w:rsid w:val="00854887"/>
    <w:rsid w:val="00883D2A"/>
    <w:rsid w:val="00886F61"/>
    <w:rsid w:val="008B0134"/>
    <w:rsid w:val="008B4D14"/>
    <w:rsid w:val="008B555D"/>
    <w:rsid w:val="008D111B"/>
    <w:rsid w:val="008E79BD"/>
    <w:rsid w:val="008F7F35"/>
    <w:rsid w:val="00901781"/>
    <w:rsid w:val="00902471"/>
    <w:rsid w:val="00903428"/>
    <w:rsid w:val="00912FA9"/>
    <w:rsid w:val="0091771F"/>
    <w:rsid w:val="00930932"/>
    <w:rsid w:val="00946126"/>
    <w:rsid w:val="009467E5"/>
    <w:rsid w:val="00957542"/>
    <w:rsid w:val="00964EF5"/>
    <w:rsid w:val="00984544"/>
    <w:rsid w:val="009952C3"/>
    <w:rsid w:val="009A0B26"/>
    <w:rsid w:val="009C2D36"/>
    <w:rsid w:val="009D33B9"/>
    <w:rsid w:val="009E41FC"/>
    <w:rsid w:val="009E6233"/>
    <w:rsid w:val="009F7686"/>
    <w:rsid w:val="00A17B08"/>
    <w:rsid w:val="00A2549A"/>
    <w:rsid w:val="00A3013E"/>
    <w:rsid w:val="00A33169"/>
    <w:rsid w:val="00A36C33"/>
    <w:rsid w:val="00A53FFD"/>
    <w:rsid w:val="00A74183"/>
    <w:rsid w:val="00A90866"/>
    <w:rsid w:val="00A9089B"/>
    <w:rsid w:val="00AB60CC"/>
    <w:rsid w:val="00AB7C5D"/>
    <w:rsid w:val="00AC4691"/>
    <w:rsid w:val="00AD691F"/>
    <w:rsid w:val="00AD6A22"/>
    <w:rsid w:val="00AD71E7"/>
    <w:rsid w:val="00AE4482"/>
    <w:rsid w:val="00AF1E7B"/>
    <w:rsid w:val="00AF3FCC"/>
    <w:rsid w:val="00AF6DFF"/>
    <w:rsid w:val="00B04547"/>
    <w:rsid w:val="00B12A7E"/>
    <w:rsid w:val="00B23C56"/>
    <w:rsid w:val="00B24AF0"/>
    <w:rsid w:val="00B42625"/>
    <w:rsid w:val="00B442F6"/>
    <w:rsid w:val="00B57794"/>
    <w:rsid w:val="00B745F9"/>
    <w:rsid w:val="00B80EF9"/>
    <w:rsid w:val="00B96BD9"/>
    <w:rsid w:val="00BA0CD7"/>
    <w:rsid w:val="00BA561F"/>
    <w:rsid w:val="00BC3125"/>
    <w:rsid w:val="00BD0DE9"/>
    <w:rsid w:val="00BE05B7"/>
    <w:rsid w:val="00BF6951"/>
    <w:rsid w:val="00BF7447"/>
    <w:rsid w:val="00C24B69"/>
    <w:rsid w:val="00C3688E"/>
    <w:rsid w:val="00C430AC"/>
    <w:rsid w:val="00C45EE0"/>
    <w:rsid w:val="00C73E93"/>
    <w:rsid w:val="00C85575"/>
    <w:rsid w:val="00C905B4"/>
    <w:rsid w:val="00C92CB0"/>
    <w:rsid w:val="00C95CF7"/>
    <w:rsid w:val="00CA0BEB"/>
    <w:rsid w:val="00CA3F71"/>
    <w:rsid w:val="00CB270D"/>
    <w:rsid w:val="00CB75CE"/>
    <w:rsid w:val="00CF1128"/>
    <w:rsid w:val="00CF15F6"/>
    <w:rsid w:val="00CF2577"/>
    <w:rsid w:val="00CF6A92"/>
    <w:rsid w:val="00D216CD"/>
    <w:rsid w:val="00D3693A"/>
    <w:rsid w:val="00D40CBC"/>
    <w:rsid w:val="00D50E0D"/>
    <w:rsid w:val="00D54E4B"/>
    <w:rsid w:val="00D558E4"/>
    <w:rsid w:val="00D64B60"/>
    <w:rsid w:val="00D70414"/>
    <w:rsid w:val="00D918CE"/>
    <w:rsid w:val="00D93C9C"/>
    <w:rsid w:val="00DB1234"/>
    <w:rsid w:val="00DB31CC"/>
    <w:rsid w:val="00DC3CB4"/>
    <w:rsid w:val="00DC4612"/>
    <w:rsid w:val="00DD31D3"/>
    <w:rsid w:val="00DE1623"/>
    <w:rsid w:val="00DE40B9"/>
    <w:rsid w:val="00DE786D"/>
    <w:rsid w:val="00DF7ED0"/>
    <w:rsid w:val="00E02164"/>
    <w:rsid w:val="00E15E48"/>
    <w:rsid w:val="00E16D9E"/>
    <w:rsid w:val="00E40C6C"/>
    <w:rsid w:val="00E62A54"/>
    <w:rsid w:val="00E635AE"/>
    <w:rsid w:val="00E637AF"/>
    <w:rsid w:val="00E6535B"/>
    <w:rsid w:val="00E75FA6"/>
    <w:rsid w:val="00E80E13"/>
    <w:rsid w:val="00E8656C"/>
    <w:rsid w:val="00E86ACD"/>
    <w:rsid w:val="00E90800"/>
    <w:rsid w:val="00E94452"/>
    <w:rsid w:val="00E9617D"/>
    <w:rsid w:val="00EA4D85"/>
    <w:rsid w:val="00EB23A0"/>
    <w:rsid w:val="00EB6181"/>
    <w:rsid w:val="00EC0A3F"/>
    <w:rsid w:val="00EC13EB"/>
    <w:rsid w:val="00EC3F2F"/>
    <w:rsid w:val="00ED711A"/>
    <w:rsid w:val="00EE24FF"/>
    <w:rsid w:val="00F1099A"/>
    <w:rsid w:val="00F13187"/>
    <w:rsid w:val="00F13722"/>
    <w:rsid w:val="00F31829"/>
    <w:rsid w:val="00F66022"/>
    <w:rsid w:val="00F83E2C"/>
    <w:rsid w:val="00F86BBF"/>
    <w:rsid w:val="00F916D8"/>
    <w:rsid w:val="00F956C7"/>
    <w:rsid w:val="00F97373"/>
    <w:rsid w:val="00FB78E1"/>
    <w:rsid w:val="00FD1BBE"/>
    <w:rsid w:val="00FD30E4"/>
    <w:rsid w:val="00FE0F69"/>
    <w:rsid w:val="00FE3544"/>
    <w:rsid w:val="00FF4B72"/>
    <w:rsid w:val="00FF6081"/>
    <w:rsid w:val="00FF77A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7EB"/>
    <w:pPr>
      <w:widowControl w:val="0"/>
    </w:pPr>
    <w:rPr>
      <w:snapToGrid w:val="0"/>
      <w:kern w:val="28"/>
      <w:sz w:val="22"/>
    </w:rPr>
  </w:style>
  <w:style w:type="paragraph" w:styleId="Heading1">
    <w:name w:val="heading 1"/>
    <w:basedOn w:val="Normal"/>
    <w:next w:val="ParaNum0"/>
    <w:qFormat/>
    <w:rsid w:val="004017EB"/>
    <w:pPr>
      <w:keepNext/>
      <w:numPr>
        <w:numId w:val="27"/>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4017EB"/>
    <w:pPr>
      <w:keepNext/>
      <w:numPr>
        <w:ilvl w:val="1"/>
        <w:numId w:val="27"/>
      </w:numPr>
      <w:spacing w:after="120"/>
      <w:outlineLvl w:val="1"/>
    </w:pPr>
    <w:rPr>
      <w:b/>
    </w:rPr>
  </w:style>
  <w:style w:type="paragraph" w:styleId="Heading3">
    <w:name w:val="heading 3"/>
    <w:basedOn w:val="Normal"/>
    <w:next w:val="ParaNum0"/>
    <w:qFormat/>
    <w:rsid w:val="004017EB"/>
    <w:pPr>
      <w:keepNext/>
      <w:numPr>
        <w:ilvl w:val="2"/>
        <w:numId w:val="27"/>
      </w:numPr>
      <w:tabs>
        <w:tab w:val="left" w:pos="2160"/>
      </w:tabs>
      <w:spacing w:after="120"/>
      <w:outlineLvl w:val="2"/>
    </w:pPr>
    <w:rPr>
      <w:b/>
    </w:rPr>
  </w:style>
  <w:style w:type="paragraph" w:styleId="Heading4">
    <w:name w:val="heading 4"/>
    <w:basedOn w:val="Normal"/>
    <w:next w:val="ParaNum0"/>
    <w:qFormat/>
    <w:rsid w:val="004017EB"/>
    <w:pPr>
      <w:keepNext/>
      <w:numPr>
        <w:ilvl w:val="3"/>
        <w:numId w:val="27"/>
      </w:numPr>
      <w:tabs>
        <w:tab w:val="left" w:pos="2880"/>
      </w:tabs>
      <w:spacing w:after="120"/>
      <w:outlineLvl w:val="3"/>
    </w:pPr>
    <w:rPr>
      <w:b/>
    </w:rPr>
  </w:style>
  <w:style w:type="paragraph" w:styleId="Heading5">
    <w:name w:val="heading 5"/>
    <w:basedOn w:val="Normal"/>
    <w:next w:val="ParaNum0"/>
    <w:qFormat/>
    <w:rsid w:val="004017EB"/>
    <w:pPr>
      <w:keepNext/>
      <w:numPr>
        <w:ilvl w:val="4"/>
        <w:numId w:val="27"/>
      </w:numPr>
      <w:tabs>
        <w:tab w:val="left" w:pos="3600"/>
      </w:tabs>
      <w:suppressAutoHyphens/>
      <w:spacing w:after="120"/>
      <w:outlineLvl w:val="4"/>
    </w:pPr>
    <w:rPr>
      <w:b/>
    </w:rPr>
  </w:style>
  <w:style w:type="paragraph" w:styleId="Heading6">
    <w:name w:val="heading 6"/>
    <w:basedOn w:val="Normal"/>
    <w:next w:val="ParaNum0"/>
    <w:qFormat/>
    <w:rsid w:val="004017EB"/>
    <w:pPr>
      <w:numPr>
        <w:ilvl w:val="5"/>
        <w:numId w:val="27"/>
      </w:numPr>
      <w:tabs>
        <w:tab w:val="left" w:pos="4320"/>
      </w:tabs>
      <w:spacing w:after="120"/>
      <w:outlineLvl w:val="5"/>
    </w:pPr>
    <w:rPr>
      <w:b/>
    </w:rPr>
  </w:style>
  <w:style w:type="paragraph" w:styleId="Heading7">
    <w:name w:val="heading 7"/>
    <w:basedOn w:val="Normal"/>
    <w:next w:val="ParaNum0"/>
    <w:qFormat/>
    <w:rsid w:val="004017EB"/>
    <w:pPr>
      <w:numPr>
        <w:ilvl w:val="6"/>
        <w:numId w:val="27"/>
      </w:numPr>
      <w:tabs>
        <w:tab w:val="left" w:pos="5040"/>
      </w:tabs>
      <w:spacing w:after="120"/>
      <w:ind w:left="5040" w:hanging="720"/>
      <w:outlineLvl w:val="6"/>
    </w:pPr>
    <w:rPr>
      <w:b/>
    </w:rPr>
  </w:style>
  <w:style w:type="paragraph" w:styleId="Heading8">
    <w:name w:val="heading 8"/>
    <w:basedOn w:val="Normal"/>
    <w:next w:val="ParaNum0"/>
    <w:qFormat/>
    <w:rsid w:val="004017EB"/>
    <w:pPr>
      <w:numPr>
        <w:ilvl w:val="7"/>
        <w:numId w:val="27"/>
      </w:numPr>
      <w:tabs>
        <w:tab w:val="clear" w:pos="5400"/>
        <w:tab w:val="left" w:pos="5760"/>
      </w:tabs>
      <w:spacing w:after="120"/>
      <w:ind w:left="5760" w:hanging="720"/>
      <w:outlineLvl w:val="7"/>
    </w:pPr>
    <w:rPr>
      <w:b/>
    </w:rPr>
  </w:style>
  <w:style w:type="paragraph" w:styleId="Heading9">
    <w:name w:val="heading 9"/>
    <w:basedOn w:val="Normal"/>
    <w:next w:val="ParaNum0"/>
    <w:qFormat/>
    <w:rsid w:val="004017EB"/>
    <w:pPr>
      <w:numPr>
        <w:ilvl w:val="8"/>
        <w:numId w:val="27"/>
      </w:numPr>
      <w:tabs>
        <w:tab w:val="clear" w:pos="6120"/>
        <w:tab w:val="left" w:pos="6480"/>
      </w:tabs>
      <w:spacing w:after="120"/>
      <w:ind w:left="6480" w:hanging="720"/>
      <w:outlineLvl w:val="8"/>
    </w:pPr>
    <w:rPr>
      <w:b/>
    </w:rPr>
  </w:style>
  <w:style w:type="character" w:default="1" w:styleId="DefaultParagraphFont">
    <w:name w:val="Default Paragraph Font"/>
    <w:semiHidden/>
    <w:rsid w:val="004017E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4017EB"/>
  </w:style>
  <w:style w:type="paragraph" w:styleId="Header">
    <w:name w:val="header"/>
    <w:basedOn w:val="Normal"/>
    <w:autoRedefine/>
    <w:rsid w:val="004017EB"/>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rsid w:val="004017EB"/>
    <w:pPr>
      <w:tabs>
        <w:tab w:val="center" w:pos="4320"/>
        <w:tab w:val="right" w:pos="8640"/>
      </w:tabs>
    </w:pPr>
  </w:style>
  <w:style w:type="character" w:styleId="Hyperlink">
    <w:name w:val="Hyperlink"/>
    <w:rsid w:val="004017EB"/>
    <w:rPr>
      <w:color w:val="0000FF"/>
      <w:u w:val="single"/>
    </w:rPr>
  </w:style>
  <w:style w:type="paragraph" w:styleId="BlockText">
    <w:name w:val="Block Text"/>
    <w:basedOn w:val="Normal"/>
    <w:rsid w:val="004017EB"/>
    <w:pPr>
      <w:spacing w:after="240"/>
      <w:ind w:left="1440" w:right="1440"/>
    </w:pPr>
  </w:style>
  <w:style w:type="paragraph" w:customStyle="1" w:styleId="Bullet">
    <w:name w:val="Bullet"/>
    <w:basedOn w:val="Normal"/>
    <w:rsid w:val="004017EB"/>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sid w:val="004017EB"/>
    <w:rPr>
      <w:rFonts w:ascii="Times New Roman" w:hAnsi="Times New Roman"/>
      <w:dstrike w:val="0"/>
      <w:color w:val="auto"/>
      <w:sz w:val="22"/>
      <w:vertAlign w:val="superscript"/>
    </w:rPr>
  </w:style>
  <w:style w:type="paragraph" w:styleId="FootnoteText">
    <w:name w:val="footnote text"/>
    <w:aliases w:val="Footnote Text Char,Footnote Text Char Char Char Char,Footnote Text Char1 Char,Footnote Text Char1 Char Char,Footnote Text Char1 Char1 Char Char Char Char,Footnote Text Char2,Footnote Text Char2 Char,Footnote Text Char2 Char Char Char Char"/>
    <w:link w:val="FootnoteTextChar1"/>
    <w:rsid w:val="004017EB"/>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uiPriority w:val="39"/>
    <w:rsid w:val="004017EB"/>
    <w:pPr>
      <w:tabs>
        <w:tab w:val="left" w:pos="360"/>
        <w:tab w:val="right" w:leader="dot" w:pos="9360"/>
      </w:tabs>
      <w:suppressAutoHyphens/>
      <w:ind w:left="360" w:right="720" w:hanging="360"/>
    </w:pPr>
    <w:rPr>
      <w:caps/>
      <w:noProof/>
    </w:rPr>
  </w:style>
  <w:style w:type="paragraph" w:styleId="BodyText">
    <w:name w:val="Body Text"/>
    <w:basedOn w:val="Normal"/>
    <w:pPr>
      <w:jc w:val="center"/>
    </w:pPr>
    <w:rPr>
      <w:b/>
      <w:sz w:val="20"/>
    </w:rPr>
  </w:style>
  <w:style w:type="paragraph" w:styleId="BodyText2">
    <w:name w:val="Body Text 2"/>
    <w:basedOn w:val="Normal"/>
    <w:rPr>
      <w:sz w:val="24"/>
    </w:rPr>
  </w:style>
  <w:style w:type="paragraph" w:styleId="BodyTextIndent">
    <w:name w:val="Body Text Indent"/>
    <w:basedOn w:val="Normal"/>
    <w:pPr>
      <w:ind w:firstLine="720"/>
    </w:pPr>
    <w:rPr>
      <w:b/>
      <w:sz w:val="24"/>
    </w:rPr>
  </w:style>
  <w:style w:type="character" w:customStyle="1" w:styleId="FootnoteTextChar1">
    <w:name w:val="Footnote Text Char1"/>
    <w:aliases w:val="Footnote Text Char Char,Footnote Text Char Char Char Char Char,Footnote Text Char1 Char Char Char,Footnote Text Char1 Char Char1,Footnote Text Char1 Char1 Char Char Char Char Char,Footnote Text Char2 Char1"/>
    <w:link w:val="FootnoteTex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4017EB"/>
  </w:style>
  <w:style w:type="paragraph" w:customStyle="1" w:styleId="Default">
    <w:name w:val="Default"/>
    <w:pPr>
      <w:autoSpaceDE w:val="0"/>
      <w:autoSpaceDN w:val="0"/>
      <w:adjustRightInd w:val="0"/>
    </w:pPr>
    <w:rPr>
      <w:color w:val="000000"/>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styleId="NormalWeb">
    <w:name w:val="Normal (Web)"/>
    <w:basedOn w:val="Default"/>
    <w:next w:val="Default"/>
    <w:uiPriority w:val="99"/>
    <w:rsid w:val="008B555D"/>
    <w:rPr>
      <w:rFonts w:ascii="JLGOJH+Verdana" w:hAnsi="JLGOJH+Verdana"/>
      <w:color w:val="auto"/>
    </w:rPr>
  </w:style>
  <w:style w:type="character" w:customStyle="1" w:styleId="FootnoteTextChar3Char1Char">
    <w:name w:val="Footnote Text Char3 Char1 Char"/>
    <w:aliases w:val="Footnote Text Char Char Char Char Char2 Char,Footnote Text Char1 Char Char Char1 Char,Footnote Text Char2 Char Char Char Char Char Char"/>
    <w:uiPriority w:val="99"/>
    <w:rsid w:val="009952C3"/>
  </w:style>
  <w:style w:type="character" w:customStyle="1" w:styleId="FootnoteTextChar3">
    <w:name w:val="Footnote Text Char3"/>
    <w:aliases w:val="ALTS FOOTNOTE Char1,Footnote Text Char Char Char,Footnote Text Char Char1,Footnote Text Char1 Char Char Char1,Footnote Text Char1 Char1 Char,Footnote Text Char2 Char Char Char,fn Char"/>
    <w:semiHidden/>
    <w:rsid w:val="005D2B63"/>
  </w:style>
  <w:style w:type="character" w:customStyle="1" w:styleId="UnresolvedMention1">
    <w:name w:val="Unresolved Mention1"/>
    <w:uiPriority w:val="99"/>
    <w:semiHidden/>
    <w:unhideWhenUsed/>
    <w:rsid w:val="00DE1623"/>
    <w:rPr>
      <w:color w:val="808080"/>
      <w:shd w:val="clear" w:color="auto" w:fill="E6E6E6"/>
    </w:rPr>
  </w:style>
  <w:style w:type="character" w:styleId="FollowedHyperlink">
    <w:name w:val="FollowedHyperlink"/>
    <w:rsid w:val="00B96BD9"/>
    <w:rPr>
      <w:color w:val="954F72"/>
      <w:u w:val="single"/>
    </w:rPr>
  </w:style>
  <w:style w:type="paragraph" w:customStyle="1" w:styleId="ParaNum0">
    <w:name w:val="ParaNum"/>
    <w:basedOn w:val="Normal"/>
    <w:rsid w:val="004017EB"/>
    <w:pPr>
      <w:numPr>
        <w:numId w:val="26"/>
      </w:numPr>
      <w:tabs>
        <w:tab w:val="clear" w:pos="1080"/>
        <w:tab w:val="num" w:pos="1440"/>
      </w:tabs>
      <w:spacing w:after="120"/>
    </w:pPr>
  </w:style>
  <w:style w:type="paragraph" w:styleId="EndnoteText">
    <w:name w:val="endnote text"/>
    <w:basedOn w:val="Normal"/>
    <w:link w:val="EndnoteTextChar"/>
    <w:rsid w:val="004017EB"/>
    <w:rPr>
      <w:sz w:val="20"/>
    </w:rPr>
  </w:style>
  <w:style w:type="character" w:customStyle="1" w:styleId="EndnoteTextChar">
    <w:name w:val="Endnote Text Char"/>
    <w:link w:val="EndnoteText"/>
    <w:rsid w:val="00DE40B9"/>
    <w:rPr>
      <w:snapToGrid w:val="0"/>
      <w:kern w:val="28"/>
    </w:rPr>
  </w:style>
  <w:style w:type="character" w:styleId="EndnoteReference">
    <w:name w:val="endnote reference"/>
    <w:rsid w:val="004017EB"/>
    <w:rPr>
      <w:vertAlign w:val="superscript"/>
    </w:rPr>
  </w:style>
  <w:style w:type="paragraph" w:styleId="TOC2">
    <w:name w:val="toc 2"/>
    <w:basedOn w:val="Normal"/>
    <w:next w:val="Normal"/>
    <w:rsid w:val="004017EB"/>
    <w:pPr>
      <w:tabs>
        <w:tab w:val="left" w:pos="720"/>
        <w:tab w:val="right" w:leader="dot" w:pos="9360"/>
      </w:tabs>
      <w:suppressAutoHyphens/>
      <w:ind w:left="720" w:right="720" w:hanging="360"/>
    </w:pPr>
    <w:rPr>
      <w:noProof/>
    </w:rPr>
  </w:style>
  <w:style w:type="paragraph" w:styleId="TOC3">
    <w:name w:val="toc 3"/>
    <w:basedOn w:val="Normal"/>
    <w:next w:val="Normal"/>
    <w:rsid w:val="004017EB"/>
    <w:pPr>
      <w:tabs>
        <w:tab w:val="left" w:pos="1080"/>
        <w:tab w:val="right" w:leader="dot" w:pos="9360"/>
      </w:tabs>
      <w:suppressAutoHyphens/>
      <w:ind w:left="1080" w:right="720" w:hanging="360"/>
    </w:pPr>
    <w:rPr>
      <w:noProof/>
    </w:rPr>
  </w:style>
  <w:style w:type="paragraph" w:styleId="TOC4">
    <w:name w:val="toc 4"/>
    <w:basedOn w:val="Normal"/>
    <w:next w:val="Normal"/>
    <w:autoRedefine/>
    <w:rsid w:val="004017EB"/>
    <w:pPr>
      <w:tabs>
        <w:tab w:val="left" w:pos="1440"/>
        <w:tab w:val="right" w:leader="dot" w:pos="9360"/>
      </w:tabs>
      <w:suppressAutoHyphens/>
      <w:ind w:left="1440" w:right="720" w:hanging="360"/>
    </w:pPr>
    <w:rPr>
      <w:noProof/>
    </w:rPr>
  </w:style>
  <w:style w:type="paragraph" w:styleId="TOC5">
    <w:name w:val="toc 5"/>
    <w:basedOn w:val="Normal"/>
    <w:next w:val="Normal"/>
    <w:autoRedefine/>
    <w:rsid w:val="004017EB"/>
    <w:pPr>
      <w:tabs>
        <w:tab w:val="left" w:pos="1800"/>
        <w:tab w:val="right" w:leader="dot" w:pos="9360"/>
      </w:tabs>
      <w:suppressAutoHyphens/>
      <w:ind w:left="1800" w:right="720" w:hanging="360"/>
    </w:pPr>
    <w:rPr>
      <w:noProof/>
    </w:rPr>
  </w:style>
  <w:style w:type="paragraph" w:styleId="TOC6">
    <w:name w:val="toc 6"/>
    <w:basedOn w:val="Normal"/>
    <w:next w:val="Normal"/>
    <w:autoRedefine/>
    <w:rsid w:val="004017EB"/>
    <w:pPr>
      <w:tabs>
        <w:tab w:val="left" w:pos="2160"/>
        <w:tab w:val="right" w:leader="dot" w:pos="9360"/>
      </w:tabs>
      <w:suppressAutoHyphens/>
      <w:ind w:left="2160" w:hanging="360"/>
    </w:pPr>
    <w:rPr>
      <w:noProof/>
    </w:rPr>
  </w:style>
  <w:style w:type="paragraph" w:styleId="TOC7">
    <w:name w:val="toc 7"/>
    <w:basedOn w:val="Normal"/>
    <w:next w:val="Normal"/>
    <w:autoRedefine/>
    <w:rsid w:val="004017EB"/>
    <w:pPr>
      <w:tabs>
        <w:tab w:val="left" w:pos="2520"/>
        <w:tab w:val="right" w:leader="dot" w:pos="9360"/>
      </w:tabs>
      <w:suppressAutoHyphens/>
      <w:ind w:left="2520" w:hanging="360"/>
    </w:pPr>
    <w:rPr>
      <w:noProof/>
    </w:rPr>
  </w:style>
  <w:style w:type="paragraph" w:styleId="TOC8">
    <w:name w:val="toc 8"/>
    <w:basedOn w:val="Normal"/>
    <w:next w:val="Normal"/>
    <w:autoRedefine/>
    <w:rsid w:val="004017EB"/>
    <w:pPr>
      <w:tabs>
        <w:tab w:val="left" w:pos="2880"/>
        <w:tab w:val="right" w:leader="dot" w:pos="9360"/>
      </w:tabs>
      <w:suppressAutoHyphens/>
      <w:ind w:left="2880" w:hanging="360"/>
    </w:pPr>
    <w:rPr>
      <w:noProof/>
    </w:rPr>
  </w:style>
  <w:style w:type="paragraph" w:styleId="TOC9">
    <w:name w:val="toc 9"/>
    <w:basedOn w:val="Normal"/>
    <w:next w:val="Normal"/>
    <w:autoRedefine/>
    <w:rsid w:val="004017EB"/>
    <w:pPr>
      <w:tabs>
        <w:tab w:val="left" w:pos="3240"/>
        <w:tab w:val="right" w:leader="dot" w:pos="9360"/>
      </w:tabs>
      <w:suppressAutoHyphens/>
      <w:ind w:left="3240" w:hanging="360"/>
    </w:pPr>
    <w:rPr>
      <w:noProof/>
    </w:rPr>
  </w:style>
  <w:style w:type="paragraph" w:styleId="TOAHeading">
    <w:name w:val="toa heading"/>
    <w:basedOn w:val="Normal"/>
    <w:next w:val="Normal"/>
    <w:rsid w:val="004017EB"/>
    <w:pPr>
      <w:tabs>
        <w:tab w:val="right" w:pos="9360"/>
      </w:tabs>
      <w:suppressAutoHyphens/>
    </w:pPr>
  </w:style>
  <w:style w:type="character" w:customStyle="1" w:styleId="EquationCaption">
    <w:name w:val="_Equation Caption"/>
    <w:rsid w:val="004017EB"/>
  </w:style>
  <w:style w:type="paragraph" w:customStyle="1" w:styleId="Paratitle">
    <w:name w:val="Para title"/>
    <w:basedOn w:val="Normal"/>
    <w:rsid w:val="004017EB"/>
    <w:pPr>
      <w:tabs>
        <w:tab w:val="center" w:pos="9270"/>
      </w:tabs>
      <w:spacing w:after="240"/>
    </w:pPr>
    <w:rPr>
      <w:spacing w:val="-2"/>
    </w:rPr>
  </w:style>
  <w:style w:type="paragraph" w:customStyle="1" w:styleId="TableFormat0">
    <w:name w:val="TableFormat"/>
    <w:basedOn w:val="Bullet"/>
    <w:rsid w:val="004017EB"/>
    <w:pPr>
      <w:numPr>
        <w:numId w:val="0"/>
      </w:numPr>
      <w:tabs>
        <w:tab w:val="clear" w:pos="2160"/>
        <w:tab w:val="left" w:pos="5040"/>
      </w:tabs>
      <w:ind w:left="5040" w:hanging="3600"/>
    </w:pPr>
  </w:style>
  <w:style w:type="paragraph" w:customStyle="1" w:styleId="TOCTitle">
    <w:name w:val="TOC Title"/>
    <w:basedOn w:val="Normal"/>
    <w:rsid w:val="004017EB"/>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4017EB"/>
    <w:pPr>
      <w:jc w:val="center"/>
    </w:pPr>
    <w:rPr>
      <w:rFonts w:ascii="Times New Roman Bold" w:hAnsi="Times New Roman Bold"/>
      <w:b/>
      <w:bCs/>
      <w:caps/>
      <w:szCs w:val="22"/>
    </w:rPr>
  </w:style>
  <w:style w:type="character" w:customStyle="1" w:styleId="FooterChar">
    <w:name w:val="Footer Char"/>
    <w:link w:val="Footer"/>
    <w:uiPriority w:val="99"/>
    <w:rsid w:val="004017EB"/>
    <w:rPr>
      <w:snapToGrid w:val="0"/>
      <w:kern w:val="28"/>
      <w:sz w:val="22"/>
    </w:rPr>
  </w:style>
  <w:style w:type="character" w:customStyle="1" w:styleId="UnresolvedMention">
    <w:name w:val="Unresolved Mention"/>
    <w:basedOn w:val="DefaultParagraphFont"/>
    <w:rsid w:val="00632D7D"/>
    <w:rPr>
      <w:color w:val="605E5C"/>
      <w:shd w:val="clear" w:color="auto" w:fill="E1DFDD"/>
    </w:rPr>
  </w:style>
  <w:style w:type="character" w:styleId="CommentReference">
    <w:name w:val="annotation reference"/>
    <w:basedOn w:val="DefaultParagraphFont"/>
    <w:rsid w:val="00CA0BEB"/>
    <w:rPr>
      <w:sz w:val="16"/>
      <w:szCs w:val="16"/>
    </w:rPr>
  </w:style>
  <w:style w:type="paragraph" w:styleId="CommentText">
    <w:name w:val="annotation text"/>
    <w:basedOn w:val="Normal"/>
    <w:link w:val="CommentTextChar"/>
    <w:rsid w:val="00CA0BEB"/>
    <w:rPr>
      <w:sz w:val="20"/>
    </w:rPr>
  </w:style>
  <w:style w:type="character" w:customStyle="1" w:styleId="CommentTextChar">
    <w:name w:val="Comment Text Char"/>
    <w:basedOn w:val="DefaultParagraphFont"/>
    <w:link w:val="CommentText"/>
    <w:rsid w:val="00CA0BEB"/>
    <w:rPr>
      <w:snapToGrid w:val="0"/>
      <w:kern w:val="28"/>
    </w:rPr>
  </w:style>
  <w:style w:type="paragraph" w:styleId="CommentSubject">
    <w:name w:val="annotation subject"/>
    <w:basedOn w:val="CommentText"/>
    <w:next w:val="CommentText"/>
    <w:link w:val="CommentSubjectChar"/>
    <w:rsid w:val="00CA0BEB"/>
    <w:rPr>
      <w:b/>
      <w:bCs/>
    </w:rPr>
  </w:style>
  <w:style w:type="character" w:customStyle="1" w:styleId="CommentSubjectChar">
    <w:name w:val="Comment Subject Char"/>
    <w:basedOn w:val="CommentTextChar"/>
    <w:link w:val="CommentSubject"/>
    <w:rsid w:val="00CA0BEB"/>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general/fcc-reference-information-center" TargetMode="External" /><Relationship Id="rId6" Type="http://schemas.openxmlformats.org/officeDocument/2006/relationships/hyperlink" Target="file:///D:\Users\Donald.Stockdale\AppData\Local\Microsoft\Windows\INetCache\Content.Outlook\F4M8JRZQ\Catherine.Sschroeder@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