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D4793" w:rsidRPr="00B20363" w:rsidP="004D4793" w14:paraId="1163D3B9" w14:textId="7BE987E5">
      <w:pPr>
        <w:jc w:val="right"/>
        <w:rPr>
          <w:b/>
          <w:sz w:val="24"/>
        </w:rPr>
      </w:pPr>
      <w:bookmarkStart w:id="0" w:name="_GoBack"/>
      <w:bookmarkEnd w:id="0"/>
      <w:r>
        <w:rPr>
          <w:b/>
          <w:sz w:val="24"/>
        </w:rPr>
        <w:t xml:space="preserve">DA </w:t>
      </w:r>
      <w:r w:rsidR="00D61652">
        <w:rPr>
          <w:b/>
          <w:sz w:val="24"/>
        </w:rPr>
        <w:t>20</w:t>
      </w:r>
      <w:r>
        <w:rPr>
          <w:b/>
          <w:sz w:val="24"/>
        </w:rPr>
        <w:t>-</w:t>
      </w:r>
      <w:r w:rsidR="00665A45">
        <w:rPr>
          <w:b/>
          <w:sz w:val="24"/>
        </w:rPr>
        <w:t>1052</w:t>
      </w:r>
    </w:p>
    <w:p w:rsidR="004D4793" w:rsidRPr="00B20363" w:rsidP="004D4793" w14:paraId="3DBE1362" w14:textId="2D512DF4">
      <w:pPr>
        <w:spacing w:before="60"/>
        <w:jc w:val="right"/>
        <w:rPr>
          <w:b/>
          <w:sz w:val="24"/>
        </w:rPr>
      </w:pPr>
      <w:r>
        <w:rPr>
          <w:b/>
          <w:sz w:val="24"/>
        </w:rPr>
        <w:t xml:space="preserve">Released:  </w:t>
      </w:r>
      <w:r w:rsidR="00665A45">
        <w:rPr>
          <w:b/>
          <w:sz w:val="24"/>
        </w:rPr>
        <w:t>September 8, 2020</w:t>
      </w:r>
    </w:p>
    <w:p w:rsidR="004D4793" w:rsidP="004D4793" w14:paraId="3FFA72C4" w14:textId="77777777">
      <w:pPr>
        <w:jc w:val="right"/>
        <w:rPr>
          <w:sz w:val="24"/>
        </w:rPr>
      </w:pPr>
    </w:p>
    <w:p w:rsidR="004D4793" w:rsidRPr="00B20363" w:rsidP="004D4793" w14:paraId="06118CB8" w14:textId="085E7755">
      <w:pPr>
        <w:spacing w:after="240"/>
        <w:jc w:val="center"/>
        <w:rPr>
          <w:rFonts w:ascii="Times New Roman Bold" w:hAnsi="Times New Roman Bold"/>
          <w:b/>
          <w:caps/>
          <w:sz w:val="24"/>
        </w:rPr>
      </w:pPr>
      <w:r>
        <w:rPr>
          <w:rFonts w:ascii="Times New Roman Bold" w:hAnsi="Times New Roman Bold"/>
          <w:b/>
          <w:caps/>
          <w:sz w:val="24"/>
        </w:rPr>
        <w:t>wireless telecommunications bureau approves GCI’S revised performance plan pursuant to the alaska plan ORDER</w:t>
      </w:r>
    </w:p>
    <w:p w:rsidR="004D4793" w:rsidP="004D4793" w14:paraId="6A501534" w14:textId="77777777">
      <w:pPr>
        <w:jc w:val="center"/>
        <w:rPr>
          <w:b/>
          <w:sz w:val="24"/>
        </w:rPr>
      </w:pPr>
      <w:r>
        <w:rPr>
          <w:b/>
          <w:sz w:val="24"/>
        </w:rPr>
        <w:t>WC Docket No. 16-271</w:t>
      </w:r>
    </w:p>
    <w:p w:rsidR="004D4793" w:rsidP="004D4793" w14:paraId="1D4A6C18" w14:textId="77777777">
      <w:pPr>
        <w:jc w:val="center"/>
        <w:rPr>
          <w:sz w:val="24"/>
        </w:rPr>
      </w:pPr>
      <w:r>
        <w:rPr>
          <w:sz w:val="24"/>
        </w:rPr>
        <w:t xml:space="preserve">                 </w:t>
      </w:r>
    </w:p>
    <w:p w:rsidR="004D4793" w:rsidP="004D4793" w14:paraId="4B21A664" w14:textId="453731C3">
      <w:pPr>
        <w:spacing w:before="120" w:after="240"/>
        <w:ind w:firstLine="720"/>
        <w:rPr>
          <w:sz w:val="24"/>
        </w:rPr>
      </w:pPr>
      <w:r>
        <w:rPr>
          <w:sz w:val="24"/>
        </w:rPr>
        <w:t xml:space="preserve">By this Public Notice, the Wireless Telecommunications Bureau </w:t>
      </w:r>
      <w:r w:rsidR="002324ED">
        <w:rPr>
          <w:sz w:val="24"/>
        </w:rPr>
        <w:t xml:space="preserve">(Bureau) </w:t>
      </w:r>
      <w:r>
        <w:rPr>
          <w:sz w:val="24"/>
        </w:rPr>
        <w:t xml:space="preserve">approves GCI Communication Corp.’s </w:t>
      </w:r>
      <w:r w:rsidR="00D61652">
        <w:rPr>
          <w:sz w:val="24"/>
        </w:rPr>
        <w:t xml:space="preserve">(GCI) </w:t>
      </w:r>
      <w:r>
        <w:rPr>
          <w:sz w:val="24"/>
        </w:rPr>
        <w:t xml:space="preserve">revised performance plan, filed pursuant to the terms </w:t>
      </w:r>
      <w:r w:rsidR="00971DD2">
        <w:rPr>
          <w:sz w:val="24"/>
        </w:rPr>
        <w:t xml:space="preserve">set forth in </w:t>
      </w:r>
      <w:r>
        <w:rPr>
          <w:sz w:val="24"/>
        </w:rPr>
        <w:t xml:space="preserve">the </w:t>
      </w:r>
      <w:r>
        <w:rPr>
          <w:i/>
          <w:sz w:val="24"/>
        </w:rPr>
        <w:t>Alaska Plan Order</w:t>
      </w:r>
      <w:r>
        <w:rPr>
          <w:sz w:val="24"/>
        </w:rPr>
        <w:t>.</w:t>
      </w:r>
      <w:r>
        <w:rPr>
          <w:rStyle w:val="FootnoteReference"/>
        </w:rPr>
        <w:footnoteReference w:id="3"/>
      </w:r>
      <w:r>
        <w:rPr>
          <w:sz w:val="24"/>
        </w:rPr>
        <w:t xml:space="preserve">  The approved performance plan </w:t>
      </w:r>
      <w:r w:rsidR="00525156">
        <w:rPr>
          <w:sz w:val="24"/>
        </w:rPr>
        <w:t>is</w:t>
      </w:r>
      <w:r>
        <w:rPr>
          <w:sz w:val="24"/>
        </w:rPr>
        <w:t xml:space="preserve"> included in the attached Appendix.</w:t>
      </w:r>
    </w:p>
    <w:p w:rsidR="000C589A" w:rsidP="004D4793" w14:paraId="218779A0" w14:textId="20556AA0">
      <w:pPr>
        <w:spacing w:before="120" w:after="240"/>
        <w:rPr>
          <w:sz w:val="24"/>
        </w:rPr>
      </w:pPr>
      <w:r>
        <w:rPr>
          <w:sz w:val="24"/>
        </w:rPr>
        <w:tab/>
      </w:r>
      <w:r w:rsidR="00525156">
        <w:rPr>
          <w:sz w:val="24"/>
        </w:rPr>
        <w:t>T</w:t>
      </w:r>
      <w:r w:rsidR="00101AE6">
        <w:rPr>
          <w:sz w:val="24"/>
        </w:rPr>
        <w:t xml:space="preserve">he </w:t>
      </w:r>
      <w:r w:rsidRPr="00101AE6" w:rsidR="00101AE6">
        <w:rPr>
          <w:i/>
          <w:iCs/>
          <w:sz w:val="24"/>
        </w:rPr>
        <w:t>Alaska Plan Order</w:t>
      </w:r>
      <w:r w:rsidR="00525156">
        <w:rPr>
          <w:sz w:val="24"/>
        </w:rPr>
        <w:t xml:space="preserve"> requires eligible wireless service providers participating in the Alaska Plan to submit </w:t>
      </w:r>
      <w:r w:rsidR="007163AC">
        <w:rPr>
          <w:sz w:val="24"/>
        </w:rPr>
        <w:t xml:space="preserve">for Bureau approval </w:t>
      </w:r>
      <w:r w:rsidR="00525156">
        <w:rPr>
          <w:sz w:val="24"/>
        </w:rPr>
        <w:t>individual performance plans with their service commitments.</w:t>
      </w:r>
      <w:r>
        <w:rPr>
          <w:rStyle w:val="FootnoteReference"/>
        </w:rPr>
        <w:footnoteReference w:id="4"/>
      </w:r>
      <w:r w:rsidR="00525156">
        <w:rPr>
          <w:sz w:val="24"/>
        </w:rPr>
        <w:t xml:space="preserve"> </w:t>
      </w:r>
      <w:r w:rsidR="00101AE6">
        <w:rPr>
          <w:sz w:val="24"/>
        </w:rPr>
        <w:t xml:space="preserve"> </w:t>
      </w:r>
      <w:r w:rsidRPr="00101AE6">
        <w:rPr>
          <w:sz w:val="24"/>
        </w:rPr>
        <w:t>The</w:t>
      </w:r>
      <w:r>
        <w:rPr>
          <w:sz w:val="24"/>
        </w:rPr>
        <w:t xml:space="preserve"> Bureau approved </w:t>
      </w:r>
      <w:r w:rsidR="00525156">
        <w:rPr>
          <w:sz w:val="24"/>
        </w:rPr>
        <w:t>wireless service providers</w:t>
      </w:r>
      <w:r>
        <w:rPr>
          <w:sz w:val="24"/>
        </w:rPr>
        <w:t>’ initial performance plans in 2016.</w:t>
      </w:r>
      <w:r>
        <w:rPr>
          <w:rStyle w:val="FootnoteReference"/>
        </w:rPr>
        <w:footnoteReference w:id="5"/>
      </w:r>
      <w:r>
        <w:rPr>
          <w:sz w:val="24"/>
        </w:rPr>
        <w:t xml:space="preserve">  </w:t>
      </w:r>
      <w:r w:rsidR="00525156">
        <w:rPr>
          <w:sz w:val="24"/>
        </w:rPr>
        <w:t>P</w:t>
      </w:r>
      <w:r w:rsidR="008B609F">
        <w:rPr>
          <w:sz w:val="24"/>
        </w:rPr>
        <w:t>articipant</w:t>
      </w:r>
      <w:r w:rsidR="00525156">
        <w:rPr>
          <w:sz w:val="24"/>
        </w:rPr>
        <w:t>s that</w:t>
      </w:r>
      <w:r w:rsidR="00101AE6">
        <w:rPr>
          <w:sz w:val="24"/>
        </w:rPr>
        <w:t xml:space="preserve"> </w:t>
      </w:r>
      <w:r w:rsidR="007163AC">
        <w:rPr>
          <w:sz w:val="24"/>
        </w:rPr>
        <w:t xml:space="preserve">in their initial plans </w:t>
      </w:r>
      <w:r w:rsidR="00FA6BB6">
        <w:rPr>
          <w:sz w:val="24"/>
        </w:rPr>
        <w:t xml:space="preserve">did </w:t>
      </w:r>
      <w:r w:rsidR="00B812E5">
        <w:rPr>
          <w:sz w:val="24"/>
        </w:rPr>
        <w:t xml:space="preserve">not </w:t>
      </w:r>
      <w:r w:rsidR="008B609F">
        <w:rPr>
          <w:sz w:val="24"/>
        </w:rPr>
        <w:t xml:space="preserve">commit to </w:t>
      </w:r>
      <w:r w:rsidR="00F172B4">
        <w:rPr>
          <w:sz w:val="24"/>
        </w:rPr>
        <w:t xml:space="preserve">providing </w:t>
      </w:r>
      <w:r w:rsidR="008B609F">
        <w:rPr>
          <w:sz w:val="24"/>
        </w:rPr>
        <w:t>10/1 Mbps LTE</w:t>
      </w:r>
      <w:r w:rsidR="00525156">
        <w:rPr>
          <w:sz w:val="24"/>
        </w:rPr>
        <w:t xml:space="preserve"> </w:t>
      </w:r>
      <w:r w:rsidR="00B812E5">
        <w:rPr>
          <w:sz w:val="24"/>
        </w:rPr>
        <w:t>for a</w:t>
      </w:r>
      <w:r w:rsidR="007E43A7">
        <w:rPr>
          <w:sz w:val="24"/>
        </w:rPr>
        <w:t>ny portion of the population in their service</w:t>
      </w:r>
      <w:r w:rsidR="00525156">
        <w:rPr>
          <w:sz w:val="24"/>
        </w:rPr>
        <w:t xml:space="preserve"> area (b</w:t>
      </w:r>
      <w:r w:rsidR="008B609F">
        <w:rPr>
          <w:sz w:val="24"/>
        </w:rPr>
        <w:t xml:space="preserve">ecause </w:t>
      </w:r>
      <w:r w:rsidR="00525156">
        <w:rPr>
          <w:sz w:val="24"/>
        </w:rPr>
        <w:t>they</w:t>
      </w:r>
      <w:r w:rsidR="00F172B4">
        <w:rPr>
          <w:sz w:val="24"/>
        </w:rPr>
        <w:t xml:space="preserve"> </w:t>
      </w:r>
      <w:r w:rsidR="00525156">
        <w:rPr>
          <w:sz w:val="24"/>
        </w:rPr>
        <w:t>relied</w:t>
      </w:r>
      <w:r w:rsidR="008B609F">
        <w:rPr>
          <w:sz w:val="24"/>
        </w:rPr>
        <w:t xml:space="preserve"> on </w:t>
      </w:r>
      <w:r w:rsidR="00F172B4">
        <w:rPr>
          <w:sz w:val="24"/>
        </w:rPr>
        <w:t xml:space="preserve">performance-limiting </w:t>
      </w:r>
      <w:r w:rsidR="008B609F">
        <w:rPr>
          <w:sz w:val="24"/>
        </w:rPr>
        <w:t xml:space="preserve">satellite backhaul </w:t>
      </w:r>
      <w:r w:rsidR="00525156">
        <w:rPr>
          <w:sz w:val="24"/>
        </w:rPr>
        <w:t>to serve that</w:t>
      </w:r>
      <w:r w:rsidR="008B609F">
        <w:rPr>
          <w:sz w:val="24"/>
        </w:rPr>
        <w:t xml:space="preserve"> area</w:t>
      </w:r>
      <w:r w:rsidR="00525156">
        <w:rPr>
          <w:sz w:val="24"/>
        </w:rPr>
        <w:t>) must</w:t>
      </w:r>
      <w:r w:rsidR="00C81755">
        <w:rPr>
          <w:sz w:val="24"/>
        </w:rPr>
        <w:t xml:space="preserve"> </w:t>
      </w:r>
      <w:r w:rsidR="00A622D8">
        <w:rPr>
          <w:sz w:val="24"/>
        </w:rPr>
        <w:t>revise their</w:t>
      </w:r>
      <w:r>
        <w:rPr>
          <w:sz w:val="24"/>
        </w:rPr>
        <w:t xml:space="preserve"> </w:t>
      </w:r>
      <w:r w:rsidR="007E43A7">
        <w:rPr>
          <w:sz w:val="24"/>
        </w:rPr>
        <w:t xml:space="preserve">performance commitments </w:t>
      </w:r>
      <w:r w:rsidR="00B812E5">
        <w:rPr>
          <w:sz w:val="24"/>
        </w:rPr>
        <w:t xml:space="preserve">when </w:t>
      </w:r>
      <w:r w:rsidR="008B609F">
        <w:rPr>
          <w:sz w:val="24"/>
        </w:rPr>
        <w:t xml:space="preserve">new </w:t>
      </w:r>
      <w:r w:rsidRPr="009F30DC" w:rsidR="009F30DC">
        <w:rPr>
          <w:sz w:val="24"/>
        </w:rPr>
        <w:t xml:space="preserve">terrestrial backhaul or new-generation satellite backhaul </w:t>
      </w:r>
      <w:r w:rsidR="00F172B4">
        <w:rPr>
          <w:sz w:val="24"/>
        </w:rPr>
        <w:t xml:space="preserve">becomes commercially available </w:t>
      </w:r>
      <w:r w:rsidR="00A622D8">
        <w:rPr>
          <w:sz w:val="24"/>
        </w:rPr>
        <w:t>in that</w:t>
      </w:r>
      <w:r w:rsidR="00F172B4">
        <w:rPr>
          <w:sz w:val="24"/>
        </w:rPr>
        <w:t xml:space="preserve"> area</w:t>
      </w:r>
      <w:r w:rsidR="00C81755">
        <w:rPr>
          <w:sz w:val="24"/>
        </w:rPr>
        <w:t>.</w:t>
      </w:r>
      <w:r>
        <w:rPr>
          <w:rStyle w:val="FootnoteReference"/>
        </w:rPr>
        <w:footnoteReference w:id="6"/>
      </w:r>
      <w:r w:rsidR="00C81755">
        <w:rPr>
          <w:sz w:val="24"/>
        </w:rPr>
        <w:t xml:space="preserve"> </w:t>
      </w:r>
    </w:p>
    <w:p w:rsidR="004D4793" w:rsidRPr="0049203F" w:rsidP="004D4793" w14:paraId="32F3A739" w14:textId="0623059F">
      <w:pPr>
        <w:spacing w:before="120" w:after="240"/>
        <w:ind w:firstLine="720"/>
        <w:rPr>
          <w:iCs/>
          <w:sz w:val="24"/>
        </w:rPr>
      </w:pPr>
      <w:r>
        <w:rPr>
          <w:sz w:val="24"/>
        </w:rPr>
        <w:t xml:space="preserve">GCI </w:t>
      </w:r>
      <w:r w:rsidR="007163AC">
        <w:rPr>
          <w:sz w:val="24"/>
        </w:rPr>
        <w:t xml:space="preserve">submitted an </w:t>
      </w:r>
      <w:r w:rsidR="007E43A7">
        <w:rPr>
          <w:sz w:val="24"/>
        </w:rPr>
        <w:t>update</w:t>
      </w:r>
      <w:r w:rsidR="007163AC">
        <w:rPr>
          <w:sz w:val="24"/>
        </w:rPr>
        <w:t>d</w:t>
      </w:r>
      <w:r w:rsidR="007E43A7">
        <w:rPr>
          <w:sz w:val="24"/>
        </w:rPr>
        <w:t xml:space="preserve"> </w:t>
      </w:r>
      <w:r w:rsidR="0080736F">
        <w:rPr>
          <w:sz w:val="24"/>
        </w:rPr>
        <w:t>performance plan</w:t>
      </w:r>
      <w:r>
        <w:rPr>
          <w:sz w:val="24"/>
        </w:rPr>
        <w:t xml:space="preserve"> pursuant to this requirement</w:t>
      </w:r>
      <w:r w:rsidR="00453CBF">
        <w:rPr>
          <w:sz w:val="24"/>
        </w:rPr>
        <w:t xml:space="preserve"> to reflect</w:t>
      </w:r>
      <w:r w:rsidR="00525156">
        <w:rPr>
          <w:sz w:val="24"/>
        </w:rPr>
        <w:t xml:space="preserve"> that n</w:t>
      </w:r>
      <w:r>
        <w:rPr>
          <w:sz w:val="24"/>
        </w:rPr>
        <w:t xml:space="preserve">ew microwave backhaul is commercially available to </w:t>
      </w:r>
      <w:r>
        <w:rPr>
          <w:sz w:val="24"/>
        </w:rPr>
        <w:t>Nuiqsut</w:t>
      </w:r>
      <w:r>
        <w:rPr>
          <w:sz w:val="24"/>
        </w:rPr>
        <w:t>, Alaska.</w:t>
      </w:r>
      <w:r>
        <w:rPr>
          <w:rStyle w:val="FootnoteReference"/>
        </w:rPr>
        <w:footnoteReference w:id="7"/>
      </w:r>
      <w:r>
        <w:rPr>
          <w:sz w:val="24"/>
        </w:rPr>
        <w:t xml:space="preserve">  GCI’s new commitments reflect that </w:t>
      </w:r>
      <w:r w:rsidR="00A622D8">
        <w:rPr>
          <w:sz w:val="24"/>
        </w:rPr>
        <w:t xml:space="preserve">it will upgrade </w:t>
      </w:r>
      <w:r w:rsidR="007163AC">
        <w:rPr>
          <w:sz w:val="24"/>
        </w:rPr>
        <w:t xml:space="preserve">the service made available to </w:t>
      </w:r>
      <w:r w:rsidR="00453CBF">
        <w:rPr>
          <w:sz w:val="24"/>
        </w:rPr>
        <w:t xml:space="preserve">the population of </w:t>
      </w:r>
      <w:r w:rsidR="00453CBF">
        <w:rPr>
          <w:sz w:val="24"/>
        </w:rPr>
        <w:t>Nuiqs</w:t>
      </w:r>
      <w:r w:rsidR="004D03B7">
        <w:rPr>
          <w:sz w:val="24"/>
        </w:rPr>
        <w:t>u</w:t>
      </w:r>
      <w:r w:rsidR="00453CBF">
        <w:rPr>
          <w:sz w:val="24"/>
        </w:rPr>
        <w:t>t</w:t>
      </w:r>
      <w:r w:rsidR="00A90DE9">
        <w:rPr>
          <w:sz w:val="24"/>
        </w:rPr>
        <w:t xml:space="preserve"> </w:t>
      </w:r>
      <w:r w:rsidR="00A622D8">
        <w:rPr>
          <w:sz w:val="24"/>
        </w:rPr>
        <w:t xml:space="preserve">from 2G to 4G LTE </w:t>
      </w:r>
      <w:r w:rsidR="007163AC">
        <w:rPr>
          <w:sz w:val="24"/>
        </w:rPr>
        <w:t xml:space="preserve">technology </w:t>
      </w:r>
      <w:r w:rsidR="00A622D8">
        <w:rPr>
          <w:sz w:val="24"/>
        </w:rPr>
        <w:t>using</w:t>
      </w:r>
      <w:r w:rsidR="0061614B">
        <w:rPr>
          <w:sz w:val="24"/>
        </w:rPr>
        <w:t xml:space="preserve"> </w:t>
      </w:r>
      <w:r w:rsidR="00A622D8">
        <w:rPr>
          <w:sz w:val="24"/>
        </w:rPr>
        <w:t xml:space="preserve">the new </w:t>
      </w:r>
      <w:r w:rsidR="0061614B">
        <w:rPr>
          <w:sz w:val="24"/>
        </w:rPr>
        <w:t>microwave backhaul.</w:t>
      </w:r>
      <w:r>
        <w:rPr>
          <w:rStyle w:val="FootnoteReference"/>
        </w:rPr>
        <w:footnoteReference w:id="8"/>
      </w:r>
      <w:r w:rsidR="0061614B">
        <w:rPr>
          <w:sz w:val="24"/>
        </w:rPr>
        <w:t xml:space="preserve">  </w:t>
      </w:r>
      <w:r w:rsidR="00900ABF">
        <w:rPr>
          <w:iCs/>
          <w:sz w:val="24"/>
        </w:rPr>
        <w:t xml:space="preserve">We approve GCI’s revised </w:t>
      </w:r>
      <w:r w:rsidR="00900ABF">
        <w:rPr>
          <w:iCs/>
          <w:sz w:val="24"/>
        </w:rPr>
        <w:t xml:space="preserve">performance plan.  </w:t>
      </w:r>
    </w:p>
    <w:p w:rsidR="004D4793" w:rsidP="004D4793" w14:paraId="48631697" w14:textId="77777777">
      <w:pPr>
        <w:spacing w:before="120" w:after="240"/>
        <w:ind w:firstLine="720"/>
        <w:rPr>
          <w:sz w:val="24"/>
        </w:rPr>
      </w:pPr>
      <w:r w:rsidRPr="004160AE">
        <w:rPr>
          <w:i/>
          <w:iCs/>
          <w:sz w:val="24"/>
        </w:rPr>
        <w:t>Additional Information</w:t>
      </w:r>
      <w:r w:rsidRPr="004160AE">
        <w:rPr>
          <w:sz w:val="24"/>
        </w:rPr>
        <w:t>.  For additional information on this proceeding, contact Matthew Warner of the Wireless Telecommunications Bureau, Competition and Infrastructure Policy Division, Matthew</w:t>
      </w:r>
      <w:r>
        <w:rPr>
          <w:sz w:val="24"/>
        </w:rPr>
        <w:t>.Warner@fcc.gov, (202) 418-2419</w:t>
      </w:r>
      <w:r w:rsidRPr="004160AE">
        <w:rPr>
          <w:sz w:val="24"/>
        </w:rPr>
        <w:t>.</w:t>
      </w:r>
    </w:p>
    <w:p w:rsidR="004D4793" w:rsidP="004D4793" w14:paraId="1C667361" w14:textId="1A895565">
      <w:pPr>
        <w:jc w:val="center"/>
        <w:rPr>
          <w:b/>
          <w:sz w:val="24"/>
        </w:rPr>
      </w:pPr>
      <w:r w:rsidRPr="004C7870">
        <w:rPr>
          <w:b/>
          <w:bCs/>
          <w:sz w:val="24"/>
          <w:szCs w:val="24"/>
        </w:rPr>
        <w:t>- FCC -</w:t>
      </w:r>
      <w:r>
        <w:br w:type="page"/>
      </w:r>
      <w:r>
        <w:rPr>
          <w:b/>
          <w:sz w:val="24"/>
        </w:rPr>
        <w:t>Appendix</w:t>
      </w:r>
    </w:p>
    <w:p w:rsidR="00E576D4" w:rsidP="004D4793" w14:paraId="219DB9DE" w14:textId="77777777">
      <w:pPr>
        <w:jc w:val="center"/>
        <w:rPr>
          <w:b/>
          <w:sz w:val="24"/>
        </w:rPr>
      </w:pPr>
    </w:p>
    <w:p w:rsidR="00E576D4" w:rsidP="004D4793" w14:paraId="3B520481" w14:textId="77777777">
      <w:pPr>
        <w:jc w:val="center"/>
        <w:rPr>
          <w:b/>
          <w:sz w:val="24"/>
        </w:rPr>
      </w:pPr>
    </w:p>
    <w:p w:rsidR="004D4793" w:rsidP="004D4793" w14:paraId="5330BAD2" w14:textId="7C94C66E">
      <w:pPr>
        <w:widowControl/>
        <w:jc w:val="center"/>
        <w:rPr>
          <w:b/>
          <w:sz w:val="24"/>
        </w:rPr>
      </w:pPr>
      <w:r w:rsidRPr="00A14216">
        <w:rPr>
          <w:b/>
          <w:noProof/>
          <w:sz w:val="24"/>
        </w:rPr>
        <w:drawing>
          <wp:inline distT="0" distB="0" distL="0" distR="0">
            <wp:extent cx="6478384" cy="4654550"/>
            <wp:effectExtent l="0" t="254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5559145" name="Picture 4"/>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rot="5400000">
                      <a:off x="0" y="0"/>
                      <a:ext cx="6512317" cy="4678930"/>
                    </a:xfrm>
                    <a:prstGeom prst="rect">
                      <a:avLst/>
                    </a:prstGeom>
                    <a:noFill/>
                    <a:ln>
                      <a:noFill/>
                    </a:ln>
                  </pic:spPr>
                </pic:pic>
              </a:graphicData>
            </a:graphic>
          </wp:inline>
        </w:drawing>
      </w: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8F5D292" w14:textId="77777777">
    <w:pPr>
      <w:pStyle w:val="Footer"/>
      <w:framePr w:wrap="around" w:vAnchor="text" w:hAnchor="margin" w:xAlign="center" w:y="1"/>
    </w:pPr>
  </w:p>
  <w:p w:rsidR="006F7393" w14:paraId="499C072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60DE741" w14:textId="25E72136">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C45E22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3458C" w14:paraId="3CF772A7" w14:textId="77777777">
      <w:r>
        <w:separator/>
      </w:r>
    </w:p>
  </w:footnote>
  <w:footnote w:type="continuationSeparator" w:id="1">
    <w:p w:rsidR="0023458C" w14:paraId="30D4C313" w14:textId="77777777">
      <w:pPr>
        <w:rPr>
          <w:sz w:val="20"/>
        </w:rPr>
      </w:pPr>
      <w:r>
        <w:rPr>
          <w:sz w:val="20"/>
        </w:rPr>
        <w:t xml:space="preserve">(Continued from previous page)  </w:t>
      </w:r>
      <w:r>
        <w:rPr>
          <w:sz w:val="20"/>
        </w:rPr>
        <w:separator/>
      </w:r>
    </w:p>
  </w:footnote>
  <w:footnote w:type="continuationNotice" w:id="2">
    <w:p w:rsidR="0023458C" w:rsidP="00910F12" w14:paraId="2ADD2040" w14:textId="77777777">
      <w:pPr>
        <w:jc w:val="right"/>
        <w:rPr>
          <w:sz w:val="20"/>
        </w:rPr>
      </w:pPr>
      <w:r>
        <w:rPr>
          <w:sz w:val="20"/>
        </w:rPr>
        <w:t>(continued….)</w:t>
      </w:r>
    </w:p>
  </w:footnote>
  <w:footnote w:id="3">
    <w:p w:rsidR="004D4793" w:rsidP="004D4793" w14:paraId="45CF0C77" w14:textId="7971C607">
      <w:pPr>
        <w:pStyle w:val="FootnoteText"/>
      </w:pPr>
      <w:r>
        <w:rPr>
          <w:rStyle w:val="FootnoteReference"/>
        </w:rPr>
        <w:footnoteRef/>
      </w:r>
      <w:r>
        <w:t xml:space="preserve"> </w:t>
      </w:r>
      <w:r w:rsidRPr="00E46DFC">
        <w:rPr>
          <w:i/>
        </w:rPr>
        <w:t>Connect America Fund</w:t>
      </w:r>
      <w:r>
        <w:rPr>
          <w:i/>
        </w:rPr>
        <w:t xml:space="preserve"> et al.</w:t>
      </w:r>
      <w:r>
        <w:t xml:space="preserve">, </w:t>
      </w:r>
      <w:r w:rsidRPr="00441633" w:rsidR="00441633">
        <w:t>WC Docket No. 16-271 et al</w:t>
      </w:r>
      <w:r w:rsidR="00441633">
        <w:t xml:space="preserve">., </w:t>
      </w:r>
      <w:r>
        <w:t xml:space="preserve">Report and Order and Further Notice of Proposed Rulemaking, 31 FCC </w:t>
      </w:r>
      <w:r>
        <w:t>Rcd</w:t>
      </w:r>
      <w:r>
        <w:t xml:space="preserve"> 10139 (2016) (</w:t>
      </w:r>
      <w:r w:rsidRPr="00E46DFC">
        <w:rPr>
          <w:i/>
        </w:rPr>
        <w:t>Alaska Plan Order</w:t>
      </w:r>
      <w:r>
        <w:t>)</w:t>
      </w:r>
      <w:r w:rsidR="006A5553">
        <w:t xml:space="preserve">; </w:t>
      </w:r>
      <w:r w:rsidR="00101AE6">
        <w:t xml:space="preserve">Letter </w:t>
      </w:r>
      <w:r w:rsidR="006E52A2">
        <w:t xml:space="preserve">from </w:t>
      </w:r>
      <w:r w:rsidR="0084188C">
        <w:t xml:space="preserve">Julie A. </w:t>
      </w:r>
      <w:r w:rsidR="0084188C">
        <w:t>Veach</w:t>
      </w:r>
      <w:r w:rsidR="0084188C">
        <w:t>, Counsel to GCI Communication Corp., to Marlene H. Dortch, Secretary, FCC, WC Docket No. 16-271</w:t>
      </w:r>
      <w:r w:rsidR="006E52A2">
        <w:t>, Attach. (</w:t>
      </w:r>
      <w:r w:rsidR="00D21389">
        <w:t xml:space="preserve">filed </w:t>
      </w:r>
      <w:r w:rsidR="006E52A2">
        <w:t>July 1, 2020)</w:t>
      </w:r>
      <w:r w:rsidR="00525156">
        <w:t xml:space="preserve"> (GCI 2020 Commitments)</w:t>
      </w:r>
      <w:r>
        <w:t xml:space="preserve">.  </w:t>
      </w:r>
    </w:p>
  </w:footnote>
  <w:footnote w:id="4">
    <w:p w:rsidR="00525156" w14:paraId="5046619D" w14:textId="213F9A62">
      <w:pPr>
        <w:pStyle w:val="FootnoteText"/>
      </w:pPr>
      <w:r>
        <w:rPr>
          <w:rStyle w:val="FootnoteReference"/>
        </w:rPr>
        <w:footnoteRef/>
      </w:r>
      <w:r>
        <w:t xml:space="preserve"> </w:t>
      </w:r>
      <w:r w:rsidRPr="00525156">
        <w:t xml:space="preserve">See </w:t>
      </w:r>
      <w:r w:rsidRPr="004D03B7">
        <w:rPr>
          <w:i/>
          <w:iCs/>
        </w:rPr>
        <w:t>Alaska Plan Order</w:t>
      </w:r>
      <w:r w:rsidRPr="00525156">
        <w:t xml:space="preserve">, 31 FCC </w:t>
      </w:r>
      <w:r w:rsidRPr="00525156">
        <w:t>Rcd</w:t>
      </w:r>
      <w:r w:rsidRPr="00525156">
        <w:t xml:space="preserve"> at 10166-67, para. 85.</w:t>
      </w:r>
    </w:p>
  </w:footnote>
  <w:footnote w:id="5">
    <w:p w:rsidR="006A5553" w14:paraId="329DDFB3" w14:textId="32331E24">
      <w:pPr>
        <w:pStyle w:val="FootnoteText"/>
      </w:pPr>
      <w:r>
        <w:rPr>
          <w:rStyle w:val="FootnoteReference"/>
        </w:rPr>
        <w:footnoteRef/>
      </w:r>
      <w:r>
        <w:t xml:space="preserve"> </w:t>
      </w:r>
      <w:r w:rsidRPr="00B20A3F" w:rsidR="00D21389">
        <w:rPr>
          <w:i/>
        </w:rPr>
        <w:t>Wireless Telecommunications Bureau Approves Performance Plans of the Eight Wireless Providers That Elected to Participate in the Alaska Plan</w:t>
      </w:r>
      <w:r w:rsidR="00D21389">
        <w:t xml:space="preserve">, </w:t>
      </w:r>
      <w:r w:rsidR="003E4CBA">
        <w:t xml:space="preserve">WC Docket No. 271, </w:t>
      </w:r>
      <w:r w:rsidR="00D21389">
        <w:t xml:space="preserve">Public Notice, 31 FCC </w:t>
      </w:r>
      <w:r w:rsidR="00D21389">
        <w:t>Rcd</w:t>
      </w:r>
      <w:r w:rsidR="00D21389">
        <w:t xml:space="preserve"> 13317, Appx. (WTB 2016) (approving GCI’s and </w:t>
      </w:r>
      <w:r w:rsidR="003E4CBA">
        <w:t>seven</w:t>
      </w:r>
      <w:r w:rsidR="00D21389">
        <w:t xml:space="preserve"> other providers’ plans)</w:t>
      </w:r>
      <w:r w:rsidR="003E4CBA">
        <w:t xml:space="preserve">; </w:t>
      </w:r>
      <w:r w:rsidR="00525156">
        <w:rPr>
          <w:i/>
          <w:iCs/>
        </w:rPr>
        <w:t xml:space="preserve">see also </w:t>
      </w:r>
      <w:r w:rsidR="003E4CBA">
        <w:t xml:space="preserve">Wireless Telecommunications Bureau Approves ASTAC’s and GCI’s Revised Performance Plans Pursuant to the Alaska Plan Order, WC Docket No. 16-271, Public Notice, 34 FCC </w:t>
      </w:r>
      <w:r w:rsidR="003E4CBA">
        <w:t>Rcd</w:t>
      </w:r>
      <w:r w:rsidR="003E4CBA">
        <w:t xml:space="preserve"> 12183, Appx. (WTB 2019) (approving GCI’s and ASTAC’s revised plans)</w:t>
      </w:r>
      <w:r w:rsidR="00D21389">
        <w:t>.</w:t>
      </w:r>
    </w:p>
  </w:footnote>
  <w:footnote w:id="6">
    <w:p w:rsidR="00C81755" w14:paraId="5E9F94EF" w14:textId="5B7C2A7E">
      <w:pPr>
        <w:pStyle w:val="FootnoteText"/>
      </w:pPr>
      <w:r>
        <w:rPr>
          <w:rStyle w:val="FootnoteReference"/>
        </w:rPr>
        <w:footnoteRef/>
      </w:r>
      <w:r>
        <w:t xml:space="preserve"> </w:t>
      </w:r>
      <w:r w:rsidR="00D21389">
        <w:rPr>
          <w:i/>
        </w:rPr>
        <w:t>Alaska Plan Order</w:t>
      </w:r>
      <w:r w:rsidR="00D21389">
        <w:t xml:space="preserve">, 31 FCC </w:t>
      </w:r>
      <w:r w:rsidR="00D21389">
        <w:t>Rcd</w:t>
      </w:r>
      <w:r w:rsidR="00D21389">
        <w:t xml:space="preserve"> at </w:t>
      </w:r>
      <w:r w:rsidR="003E4CBA">
        <w:t>10172</w:t>
      </w:r>
      <w:r w:rsidR="00D21389">
        <w:t>, para. 102</w:t>
      </w:r>
      <w:r w:rsidR="003E4CBA">
        <w:t>.</w:t>
      </w:r>
    </w:p>
  </w:footnote>
  <w:footnote w:id="7">
    <w:p w:rsidR="00525156" w14:paraId="59F3AE7A" w14:textId="2A818862">
      <w:pPr>
        <w:pStyle w:val="FootnoteText"/>
      </w:pPr>
      <w:r>
        <w:rPr>
          <w:rStyle w:val="FootnoteReference"/>
        </w:rPr>
        <w:footnoteRef/>
      </w:r>
      <w:r>
        <w:t xml:space="preserve"> Letter from Julie A. </w:t>
      </w:r>
      <w:r>
        <w:t>Veach</w:t>
      </w:r>
      <w:r>
        <w:t>, Counsel to GCI Communication Corp., to Marlene H. Dortch, Secretary, FCC, WC Docket No. 16-271, at 1 (filed July 1, 2020)</w:t>
      </w:r>
      <w:r w:rsidR="004D03B7">
        <w:t xml:space="preserve"> (GCI July 1, 2020 </w:t>
      </w:r>
      <w:r w:rsidRPr="00AE318A" w:rsidR="004D03B7">
        <w:rPr>
          <w:i/>
          <w:iCs/>
        </w:rPr>
        <w:t xml:space="preserve">Ex </w:t>
      </w:r>
      <w:r w:rsidRPr="00AE318A" w:rsidR="004D03B7">
        <w:rPr>
          <w:i/>
          <w:iCs/>
        </w:rPr>
        <w:t>Parte</w:t>
      </w:r>
      <w:r w:rsidR="004D03B7">
        <w:t>)</w:t>
      </w:r>
      <w:r>
        <w:t>.</w:t>
      </w:r>
    </w:p>
  </w:footnote>
  <w:footnote w:id="8">
    <w:p w:rsidR="00453CBF" w:rsidRPr="00AE318A" w14:paraId="0ED655F5" w14:textId="535AE910">
      <w:pPr>
        <w:pStyle w:val="FootnoteText"/>
        <w:rPr>
          <w:i/>
          <w:iCs/>
        </w:rPr>
      </w:pPr>
      <w:r>
        <w:rPr>
          <w:rStyle w:val="FootnoteReference"/>
        </w:rPr>
        <w:footnoteRef/>
      </w:r>
      <w:r>
        <w:t xml:space="preserve"> GCI 2020 Commitments.</w:t>
      </w:r>
      <w:r w:rsidR="00A622D8">
        <w:t xml:space="preserve">  </w:t>
      </w:r>
      <w:r w:rsidR="00A90DE9">
        <w:t xml:space="preserve">GCI’s performance plan reflects that it will upgrade 402 people—the </w:t>
      </w:r>
      <w:r w:rsidR="00A90DE9">
        <w:t>Nuiqs</w:t>
      </w:r>
      <w:r w:rsidR="00AE318A">
        <w:t>u</w:t>
      </w:r>
      <w:r w:rsidR="00A90DE9">
        <w:t>t</w:t>
      </w:r>
      <w:r w:rsidR="00A90DE9">
        <w:t xml:space="preserve"> population according to 2010 U.S. Census Bureau Data.  GCI July 1, 2020 </w:t>
      </w:r>
      <w:r w:rsidRPr="00A90DE9" w:rsidR="00A90DE9">
        <w:rPr>
          <w:i/>
          <w:iCs/>
        </w:rPr>
        <w:t xml:space="preserve">Ex </w:t>
      </w:r>
      <w:r w:rsidRPr="00A90DE9" w:rsidR="00A90DE9">
        <w:rPr>
          <w:i/>
          <w:iCs/>
        </w:rPr>
        <w:t>Parte</w:t>
      </w:r>
      <w:r w:rsidR="00A90DE9">
        <w:t>; GCI 2020 Commitments.</w:t>
      </w:r>
      <w:r w:rsidR="00A90DE9">
        <w:rPr>
          <w:i/>
          <w:iC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5C2DB147" w14:textId="75A78273">
    <w:pPr>
      <w:tabs>
        <w:tab w:val="center" w:pos="4680"/>
        <w:tab w:val="right" w:pos="9360"/>
      </w:tabs>
    </w:pPr>
    <w:r w:rsidRPr="009838BC">
      <w:rPr>
        <w:b/>
      </w:rPr>
      <w:tab/>
      <w:t>Federal Communications Commission</w:t>
    </w:r>
    <w:r w:rsidRPr="009838BC">
      <w:rPr>
        <w:b/>
      </w:rPr>
      <w:tab/>
    </w:r>
    <w:r w:rsidR="004D4793">
      <w:rPr>
        <w:b/>
      </w:rPr>
      <w:t xml:space="preserve">DA </w:t>
    </w:r>
    <w:r w:rsidR="00665A45">
      <w:rPr>
        <w:b/>
      </w:rPr>
      <w:t>20-1052</w:t>
    </w:r>
  </w:p>
  <w:p w:rsidR="009838BC" w:rsidRPr="009838BC" w:rsidP="009838BC" w14:paraId="5FF6C563" w14:textId="049D045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8FF439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6A242576" w14:textId="343A46C3">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4"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59103BF" w14:textId="77777777">
                    <w:pPr>
                      <w:rPr>
                        <w:rFonts w:ascii="Arial" w:hAnsi="Arial"/>
                        <w:b/>
                      </w:rPr>
                    </w:pPr>
                    <w:r>
                      <w:rPr>
                        <w:rFonts w:ascii="Arial" w:hAnsi="Arial"/>
                        <w:b/>
                      </w:rPr>
                      <w:t>Federal Communications Commission</w:t>
                    </w:r>
                  </w:p>
                  <w:p w:rsidR="009838BC" w:rsidP="009838BC" w14:paraId="07499FBD"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2E81D7F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3"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5840103"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900ABF">
      <w:rPr>
        <w:rFonts w:ascii="Arial" w:hAnsi="Arial" w:cs="Arial"/>
        <w:b/>
        <w:sz w:val="96"/>
      </w:rPr>
      <w:t>PUBLIC NOTICE</w:t>
    </w:r>
  </w:p>
  <w:p w:rsidR="009838BC" w:rsidRPr="00357D50" w:rsidP="009838BC" w14:paraId="07BE04CD" w14:textId="73E2A24F">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r w:rsidRPr="00D216CD">
                            <w:rPr>
                              <w:rStyle w:val="Hyperlink"/>
                              <w:rFonts w:ascii="Arial" w:hAnsi="Arial"/>
                              <w:b/>
                              <w:sz w:val="16"/>
                            </w:rPr>
                            <w:t>h</w:t>
                          </w:r>
                          <w:bookmarkEnd w:id="1"/>
                          <w:r w:rsidRPr="00D216CD">
                            <w:rPr>
                              <w:rStyle w:val="Hyperlink"/>
                              <w:rFonts w:ascii="Arial" w:hAnsi="Arial"/>
                              <w:b/>
                              <w:sz w:val="16"/>
                            </w:rPr>
                            <w:t>ttps://www.fcc.gov</w:t>
                          </w:r>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35CD36B5" w14:textId="77777777">
                    <w:pPr>
                      <w:spacing w:before="40"/>
                      <w:jc w:val="right"/>
                      <w:rPr>
                        <w:rFonts w:ascii="Arial" w:hAnsi="Arial"/>
                        <w:b/>
                        <w:sz w:val="16"/>
                      </w:rPr>
                    </w:pPr>
                    <w:r>
                      <w:rPr>
                        <w:rFonts w:ascii="Arial" w:hAnsi="Arial"/>
                        <w:b/>
                        <w:sz w:val="16"/>
                      </w:rPr>
                      <w:t>News Media Information 202 / 418-0500</w:t>
                    </w:r>
                  </w:p>
                  <w:p w:rsidR="009838BC" w:rsidP="009838BC" w14:paraId="1CB8896F" w14:textId="77777777">
                    <w:pPr>
                      <w:jc w:val="right"/>
                      <w:rPr>
                        <w:rFonts w:ascii="Arial" w:hAnsi="Arial"/>
                        <w:b/>
                        <w:sz w:val="16"/>
                      </w:rPr>
                    </w:pPr>
                    <w:r>
                      <w:rPr>
                        <w:rFonts w:ascii="Arial" w:hAnsi="Arial"/>
                        <w:b/>
                        <w:sz w:val="16"/>
                      </w:rPr>
                      <w:t xml:space="preserve">Internet: </w:t>
                    </w:r>
                    <w:bookmarkStart w:id="1" w:name="_Hlt233824"/>
                    <w:r w:rsidRPr="00D216CD">
                      <w:rPr>
                        <w:rStyle w:val="Hyperlink"/>
                        <w:rFonts w:ascii="Arial" w:hAnsi="Arial"/>
                        <w:b/>
                        <w:sz w:val="16"/>
                      </w:rPr>
                      <w:t>h</w:t>
                    </w:r>
                    <w:bookmarkEnd w:id="1"/>
                    <w:r w:rsidRPr="00D216CD">
                      <w:rPr>
                        <w:rStyle w:val="Hyperlink"/>
                        <w:rFonts w:ascii="Arial" w:hAnsi="Arial"/>
                        <w:b/>
                        <w:sz w:val="16"/>
                      </w:rPr>
                      <w:t>ttps://www.fcc.gov</w:t>
                    </w:r>
                  </w:p>
                  <w:p w:rsidR="009838BC" w:rsidP="009838BC" w14:paraId="6E7D2C55" w14:textId="77777777">
                    <w:pPr>
                      <w:jc w:val="right"/>
                    </w:pPr>
                    <w:r>
                      <w:rPr>
                        <w:rFonts w:ascii="Arial" w:hAnsi="Arial"/>
                        <w:b/>
                        <w:sz w:val="16"/>
                      </w:rPr>
                      <w:t>TTY: 1-888-835-5322</w:t>
                    </w:r>
                  </w:p>
                </w:txbxContent>
              </v:textbox>
            </v:shape>
          </w:pict>
        </mc:Fallback>
      </mc:AlternateContent>
    </w:r>
  </w:p>
  <w:p w:rsidR="006F7393" w:rsidRPr="009838BC" w:rsidP="009838BC" w14:paraId="1FCAD34A"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793"/>
    <w:rsid w:val="00000563"/>
    <w:rsid w:val="00002768"/>
    <w:rsid w:val="000072CE"/>
    <w:rsid w:val="00013A8B"/>
    <w:rsid w:val="00021445"/>
    <w:rsid w:val="00021D75"/>
    <w:rsid w:val="00036039"/>
    <w:rsid w:val="00037F90"/>
    <w:rsid w:val="0008297A"/>
    <w:rsid w:val="000875BF"/>
    <w:rsid w:val="00096D8C"/>
    <w:rsid w:val="000C0B65"/>
    <w:rsid w:val="000C30E8"/>
    <w:rsid w:val="000C589A"/>
    <w:rsid w:val="000E3D42"/>
    <w:rsid w:val="000E5884"/>
    <w:rsid w:val="000F4C9A"/>
    <w:rsid w:val="00101AE6"/>
    <w:rsid w:val="00122BD5"/>
    <w:rsid w:val="00125644"/>
    <w:rsid w:val="001979D9"/>
    <w:rsid w:val="001A498A"/>
    <w:rsid w:val="001D6BCF"/>
    <w:rsid w:val="001E01CA"/>
    <w:rsid w:val="002060D9"/>
    <w:rsid w:val="00226822"/>
    <w:rsid w:val="002324ED"/>
    <w:rsid w:val="0023458C"/>
    <w:rsid w:val="00242206"/>
    <w:rsid w:val="00260594"/>
    <w:rsid w:val="00274D26"/>
    <w:rsid w:val="00285017"/>
    <w:rsid w:val="002A2D2E"/>
    <w:rsid w:val="002C4FAF"/>
    <w:rsid w:val="00335E25"/>
    <w:rsid w:val="00343749"/>
    <w:rsid w:val="00356236"/>
    <w:rsid w:val="00357D50"/>
    <w:rsid w:val="00367C20"/>
    <w:rsid w:val="0037776A"/>
    <w:rsid w:val="003925DC"/>
    <w:rsid w:val="003B0550"/>
    <w:rsid w:val="003B694F"/>
    <w:rsid w:val="003E4CBA"/>
    <w:rsid w:val="003F171C"/>
    <w:rsid w:val="00412FC5"/>
    <w:rsid w:val="004160AE"/>
    <w:rsid w:val="00422276"/>
    <w:rsid w:val="004242F1"/>
    <w:rsid w:val="00441633"/>
    <w:rsid w:val="00445A00"/>
    <w:rsid w:val="00451B0F"/>
    <w:rsid w:val="00453CBF"/>
    <w:rsid w:val="0046125F"/>
    <w:rsid w:val="00487524"/>
    <w:rsid w:val="0049203F"/>
    <w:rsid w:val="00496106"/>
    <w:rsid w:val="004B63A9"/>
    <w:rsid w:val="004C12D0"/>
    <w:rsid w:val="004C2EE3"/>
    <w:rsid w:val="004C7870"/>
    <w:rsid w:val="004D03B7"/>
    <w:rsid w:val="004D4793"/>
    <w:rsid w:val="004E4A22"/>
    <w:rsid w:val="004E7BD5"/>
    <w:rsid w:val="00500EDB"/>
    <w:rsid w:val="00511968"/>
    <w:rsid w:val="00525156"/>
    <w:rsid w:val="00552F4C"/>
    <w:rsid w:val="0055614C"/>
    <w:rsid w:val="00607BA5"/>
    <w:rsid w:val="0061614B"/>
    <w:rsid w:val="00626EB6"/>
    <w:rsid w:val="00631EAE"/>
    <w:rsid w:val="006353A3"/>
    <w:rsid w:val="00655D03"/>
    <w:rsid w:val="006613EE"/>
    <w:rsid w:val="00665A45"/>
    <w:rsid w:val="00683F84"/>
    <w:rsid w:val="006A5553"/>
    <w:rsid w:val="006A5AAA"/>
    <w:rsid w:val="006A6A81"/>
    <w:rsid w:val="006E26AF"/>
    <w:rsid w:val="006E52A2"/>
    <w:rsid w:val="006F7393"/>
    <w:rsid w:val="0070224F"/>
    <w:rsid w:val="007115F7"/>
    <w:rsid w:val="007163AC"/>
    <w:rsid w:val="00721699"/>
    <w:rsid w:val="00785689"/>
    <w:rsid w:val="0079754B"/>
    <w:rsid w:val="007A1E6D"/>
    <w:rsid w:val="007C0A5D"/>
    <w:rsid w:val="007D566D"/>
    <w:rsid w:val="007E23FB"/>
    <w:rsid w:val="007E43A7"/>
    <w:rsid w:val="0080736F"/>
    <w:rsid w:val="00822CE0"/>
    <w:rsid w:val="00837C62"/>
    <w:rsid w:val="0084188C"/>
    <w:rsid w:val="00841AB1"/>
    <w:rsid w:val="00897F80"/>
    <w:rsid w:val="008B609F"/>
    <w:rsid w:val="008C22FD"/>
    <w:rsid w:val="00900ABF"/>
    <w:rsid w:val="00904019"/>
    <w:rsid w:val="00910F12"/>
    <w:rsid w:val="00926503"/>
    <w:rsid w:val="00930ECF"/>
    <w:rsid w:val="00971DD2"/>
    <w:rsid w:val="009838BC"/>
    <w:rsid w:val="00995E66"/>
    <w:rsid w:val="009D5999"/>
    <w:rsid w:val="009F30DC"/>
    <w:rsid w:val="00A01921"/>
    <w:rsid w:val="00A0717A"/>
    <w:rsid w:val="00A14216"/>
    <w:rsid w:val="00A45F4F"/>
    <w:rsid w:val="00A600A9"/>
    <w:rsid w:val="00A622D8"/>
    <w:rsid w:val="00A866AC"/>
    <w:rsid w:val="00A90DE9"/>
    <w:rsid w:val="00AA55B7"/>
    <w:rsid w:val="00AA5B9E"/>
    <w:rsid w:val="00AB2407"/>
    <w:rsid w:val="00AB53DF"/>
    <w:rsid w:val="00AE318A"/>
    <w:rsid w:val="00B07E5C"/>
    <w:rsid w:val="00B20363"/>
    <w:rsid w:val="00B20A3F"/>
    <w:rsid w:val="00B326E3"/>
    <w:rsid w:val="00B674B5"/>
    <w:rsid w:val="00B811F7"/>
    <w:rsid w:val="00B812E5"/>
    <w:rsid w:val="00B826FC"/>
    <w:rsid w:val="00B96E28"/>
    <w:rsid w:val="00BA5DC6"/>
    <w:rsid w:val="00BA6196"/>
    <w:rsid w:val="00BC6D8C"/>
    <w:rsid w:val="00BD4723"/>
    <w:rsid w:val="00BE5C6B"/>
    <w:rsid w:val="00BF577D"/>
    <w:rsid w:val="00C16AF2"/>
    <w:rsid w:val="00C26EC9"/>
    <w:rsid w:val="00C34006"/>
    <w:rsid w:val="00C426B1"/>
    <w:rsid w:val="00C81755"/>
    <w:rsid w:val="00C82B6B"/>
    <w:rsid w:val="00C9078C"/>
    <w:rsid w:val="00C90D6A"/>
    <w:rsid w:val="00C96CD1"/>
    <w:rsid w:val="00CC49CA"/>
    <w:rsid w:val="00CC63DB"/>
    <w:rsid w:val="00CC72B6"/>
    <w:rsid w:val="00D0218D"/>
    <w:rsid w:val="00D21389"/>
    <w:rsid w:val="00D216CD"/>
    <w:rsid w:val="00D30EE4"/>
    <w:rsid w:val="00D61652"/>
    <w:rsid w:val="00D65D2F"/>
    <w:rsid w:val="00D81F97"/>
    <w:rsid w:val="00DA2529"/>
    <w:rsid w:val="00DB130A"/>
    <w:rsid w:val="00DC10A1"/>
    <w:rsid w:val="00DC655F"/>
    <w:rsid w:val="00DD7EBD"/>
    <w:rsid w:val="00DE22F3"/>
    <w:rsid w:val="00DF1509"/>
    <w:rsid w:val="00DF1FEE"/>
    <w:rsid w:val="00DF62B6"/>
    <w:rsid w:val="00E01192"/>
    <w:rsid w:val="00E07225"/>
    <w:rsid w:val="00E155B7"/>
    <w:rsid w:val="00E45630"/>
    <w:rsid w:val="00E46DFC"/>
    <w:rsid w:val="00E533DF"/>
    <w:rsid w:val="00E5409F"/>
    <w:rsid w:val="00E576D4"/>
    <w:rsid w:val="00E67CFD"/>
    <w:rsid w:val="00EC0185"/>
    <w:rsid w:val="00F021FA"/>
    <w:rsid w:val="00F172B4"/>
    <w:rsid w:val="00F420A1"/>
    <w:rsid w:val="00F438AF"/>
    <w:rsid w:val="00F57ACA"/>
    <w:rsid w:val="00F62E97"/>
    <w:rsid w:val="00F64209"/>
    <w:rsid w:val="00F93BF5"/>
    <w:rsid w:val="00F96F63"/>
    <w:rsid w:val="00FA6BB6"/>
    <w:rsid w:val="00FC24F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4CE23B-AB20-4796-98B0-8F592897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793"/>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fn Char,fn Char1"/>
    <w:rsid w:val="000E3D42"/>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BalloonText">
    <w:name w:val="Balloon Text"/>
    <w:basedOn w:val="Normal"/>
    <w:link w:val="BalloonTextChar"/>
    <w:uiPriority w:val="99"/>
    <w:semiHidden/>
    <w:unhideWhenUsed/>
    <w:rsid w:val="00C81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55"/>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101AE6"/>
    <w:rPr>
      <w:sz w:val="16"/>
      <w:szCs w:val="16"/>
    </w:rPr>
  </w:style>
  <w:style w:type="paragraph" w:styleId="CommentText">
    <w:name w:val="annotation text"/>
    <w:basedOn w:val="Normal"/>
    <w:link w:val="CommentTextChar"/>
    <w:uiPriority w:val="99"/>
    <w:semiHidden/>
    <w:unhideWhenUsed/>
    <w:rsid w:val="00101AE6"/>
    <w:rPr>
      <w:sz w:val="20"/>
    </w:rPr>
  </w:style>
  <w:style w:type="character" w:customStyle="1" w:styleId="CommentTextChar">
    <w:name w:val="Comment Text Char"/>
    <w:basedOn w:val="DefaultParagraphFont"/>
    <w:link w:val="CommentText"/>
    <w:uiPriority w:val="99"/>
    <w:semiHidden/>
    <w:rsid w:val="00101AE6"/>
    <w:rPr>
      <w:snapToGrid w:val="0"/>
      <w:kern w:val="28"/>
    </w:rPr>
  </w:style>
  <w:style w:type="paragraph" w:styleId="CommentSubject">
    <w:name w:val="annotation subject"/>
    <w:basedOn w:val="CommentText"/>
    <w:next w:val="CommentText"/>
    <w:link w:val="CommentSubjectChar"/>
    <w:uiPriority w:val="99"/>
    <w:semiHidden/>
    <w:unhideWhenUsed/>
    <w:rsid w:val="00101AE6"/>
    <w:rPr>
      <w:b/>
      <w:bCs/>
    </w:rPr>
  </w:style>
  <w:style w:type="character" w:customStyle="1" w:styleId="CommentSubjectChar">
    <w:name w:val="Comment Subject Char"/>
    <w:basedOn w:val="CommentTextChar"/>
    <w:link w:val="CommentSubject"/>
    <w:uiPriority w:val="99"/>
    <w:semiHidden/>
    <w:rsid w:val="00101AE6"/>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emf"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