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65215" w:rsidRPr="00965215" w:rsidP="00965215" w14:paraId="2BF04ED2" w14:textId="77777777">
      <w:pPr>
        <w:jc w:val="center"/>
        <w:rPr>
          <w:b/>
          <w:szCs w:val="22"/>
        </w:rPr>
      </w:pPr>
      <w:r w:rsidRPr="00965215">
        <w:rPr>
          <w:b/>
          <w:kern w:val="0"/>
          <w:szCs w:val="22"/>
        </w:rPr>
        <w:t>Before</w:t>
      </w:r>
      <w:r w:rsidRPr="00965215">
        <w:rPr>
          <w:b/>
          <w:szCs w:val="22"/>
        </w:rPr>
        <w:t xml:space="preserve"> the</w:t>
      </w:r>
    </w:p>
    <w:p w:rsidR="00965215" w:rsidRPr="00965215" w:rsidP="00965215" w14:paraId="3D0CA342" w14:textId="77777777">
      <w:pPr>
        <w:pStyle w:val="StyleBoldCentered"/>
        <w:rPr>
          <w:rFonts w:ascii="Times New Roman" w:hAnsi="Times New Roman"/>
        </w:rPr>
      </w:pPr>
      <w:r w:rsidRPr="00965215">
        <w:rPr>
          <w:rFonts w:ascii="Times New Roman" w:hAnsi="Times New Roman"/>
        </w:rPr>
        <w:t>F</w:t>
      </w:r>
      <w:r w:rsidRPr="00965215">
        <w:rPr>
          <w:rFonts w:ascii="Times New Roman" w:hAnsi="Times New Roman"/>
          <w:caps w:val="0"/>
        </w:rPr>
        <w:t>ederal Communications Commission</w:t>
      </w:r>
    </w:p>
    <w:p w:rsidR="00965215" w:rsidRPr="00965215" w:rsidP="00965215" w14:paraId="28DFF411" w14:textId="77777777">
      <w:pPr>
        <w:pStyle w:val="StyleBoldCentered"/>
        <w:rPr>
          <w:rFonts w:ascii="Times New Roman" w:hAnsi="Times New Roman"/>
        </w:rPr>
      </w:pPr>
      <w:r w:rsidRPr="00965215">
        <w:rPr>
          <w:rFonts w:ascii="Times New Roman" w:hAnsi="Times New Roman"/>
          <w:caps w:val="0"/>
        </w:rPr>
        <w:t>Washington, D.C. 20554</w:t>
      </w:r>
    </w:p>
    <w:p w:rsidR="00965215" w:rsidRPr="00965215" w:rsidP="00965215" w14:paraId="32A308E4" w14:textId="77777777">
      <w:pPr>
        <w:rPr>
          <w:szCs w:val="22"/>
        </w:rPr>
      </w:pPr>
    </w:p>
    <w:p w:rsidR="00965215" w:rsidRPr="00965215" w:rsidP="00965215" w14:paraId="3398EF11" w14:textId="77777777">
      <w:pPr>
        <w:rPr>
          <w:szCs w:val="22"/>
        </w:rPr>
      </w:pPr>
    </w:p>
    <w:tbl>
      <w:tblPr>
        <w:tblW w:w="0" w:type="auto"/>
        <w:tblLayout w:type="fixed"/>
        <w:tblLook w:val="0000"/>
      </w:tblPr>
      <w:tblGrid>
        <w:gridCol w:w="4698"/>
        <w:gridCol w:w="630"/>
        <w:gridCol w:w="4248"/>
      </w:tblGrid>
      <w:tr w14:paraId="46FD421E" w14:textId="77777777" w:rsidTr="00965215">
        <w:tblPrEx>
          <w:tblW w:w="0" w:type="auto"/>
          <w:tblLayout w:type="fixed"/>
          <w:tblLook w:val="0000"/>
        </w:tblPrEx>
        <w:tc>
          <w:tcPr>
            <w:tcW w:w="4698" w:type="dxa"/>
          </w:tcPr>
          <w:p w:rsidR="00965215" w:rsidRPr="00965215" w:rsidP="00965215" w14:paraId="0D1829A8" w14:textId="77777777">
            <w:pPr>
              <w:tabs>
                <w:tab w:val="center" w:pos="4680"/>
              </w:tabs>
              <w:suppressAutoHyphens/>
              <w:rPr>
                <w:spacing w:val="-2"/>
                <w:szCs w:val="22"/>
              </w:rPr>
            </w:pPr>
            <w:r w:rsidRPr="00965215">
              <w:rPr>
                <w:spacing w:val="-2"/>
                <w:szCs w:val="22"/>
              </w:rPr>
              <w:t>In the Matter of</w:t>
            </w:r>
          </w:p>
          <w:p w:rsidR="00965215" w:rsidRPr="00965215" w:rsidP="00965215" w14:paraId="7302DAA2" w14:textId="77777777">
            <w:pPr>
              <w:tabs>
                <w:tab w:val="center" w:pos="4680"/>
              </w:tabs>
              <w:suppressAutoHyphens/>
              <w:rPr>
                <w:spacing w:val="-2"/>
                <w:szCs w:val="22"/>
              </w:rPr>
            </w:pPr>
          </w:p>
          <w:p w:rsidR="00965215" w:rsidRPr="00965215" w:rsidP="00965215" w14:paraId="4F8A796E" w14:textId="77777777">
            <w:pPr>
              <w:pStyle w:val="Header"/>
              <w:tabs>
                <w:tab w:val="left" w:pos="5040"/>
              </w:tabs>
              <w:rPr>
                <w:b w:val="0"/>
                <w:szCs w:val="22"/>
              </w:rPr>
            </w:pPr>
            <w:r w:rsidRPr="00965215">
              <w:rPr>
                <w:b w:val="0"/>
                <w:szCs w:val="22"/>
              </w:rPr>
              <w:t xml:space="preserve">Requests for Review of </w:t>
            </w:r>
            <w:r w:rsidRPr="00965215">
              <w:rPr>
                <w:b w:val="0"/>
                <w:szCs w:val="22"/>
              </w:rPr>
              <w:tab/>
            </w:r>
          </w:p>
          <w:p w:rsidR="00965215" w:rsidRPr="00965215" w:rsidP="00965215" w14:paraId="0E613F1D" w14:textId="77777777">
            <w:pPr>
              <w:pStyle w:val="Header"/>
              <w:tabs>
                <w:tab w:val="left" w:pos="5040"/>
              </w:tabs>
              <w:rPr>
                <w:b w:val="0"/>
                <w:szCs w:val="22"/>
              </w:rPr>
            </w:pPr>
            <w:r w:rsidRPr="00965215">
              <w:rPr>
                <w:b w:val="0"/>
                <w:szCs w:val="22"/>
              </w:rPr>
              <w:t xml:space="preserve">Decisions of the </w:t>
            </w:r>
            <w:r w:rsidRPr="00965215">
              <w:rPr>
                <w:b w:val="0"/>
                <w:szCs w:val="22"/>
              </w:rPr>
              <w:tab/>
            </w:r>
          </w:p>
          <w:p w:rsidR="00965215" w:rsidRPr="00965215" w:rsidP="00965215" w14:paraId="43BF0052" w14:textId="77777777">
            <w:pPr>
              <w:pStyle w:val="Header"/>
              <w:tabs>
                <w:tab w:val="left" w:pos="5040"/>
              </w:tabs>
              <w:rPr>
                <w:b w:val="0"/>
                <w:szCs w:val="22"/>
              </w:rPr>
            </w:pPr>
            <w:r w:rsidRPr="00965215">
              <w:rPr>
                <w:b w:val="0"/>
                <w:szCs w:val="22"/>
              </w:rPr>
              <w:t>Universal Service Administrator by</w:t>
            </w:r>
            <w:r w:rsidRPr="00965215">
              <w:rPr>
                <w:b w:val="0"/>
                <w:szCs w:val="22"/>
              </w:rPr>
              <w:tab/>
            </w:r>
          </w:p>
          <w:p w:rsidR="00965215" w:rsidRPr="00965215" w:rsidP="00965215" w14:paraId="117C19E4" w14:textId="77777777">
            <w:pPr>
              <w:pStyle w:val="Header"/>
              <w:tabs>
                <w:tab w:val="left" w:pos="5040"/>
              </w:tabs>
              <w:rPr>
                <w:b w:val="0"/>
                <w:szCs w:val="22"/>
              </w:rPr>
            </w:pPr>
            <w:r w:rsidRPr="00965215">
              <w:rPr>
                <w:b w:val="0"/>
                <w:szCs w:val="22"/>
              </w:rPr>
              <w:tab/>
            </w:r>
          </w:p>
          <w:p w:rsidR="00965215" w:rsidRPr="00965215" w:rsidP="00965215" w14:paraId="60F9F9F9" w14:textId="77777777">
            <w:pPr>
              <w:pStyle w:val="Header"/>
              <w:tabs>
                <w:tab w:val="left" w:pos="5040"/>
              </w:tabs>
              <w:rPr>
                <w:b w:val="0"/>
                <w:szCs w:val="22"/>
              </w:rPr>
            </w:pPr>
            <w:r w:rsidRPr="00965215">
              <w:rPr>
                <w:b w:val="0"/>
                <w:szCs w:val="22"/>
              </w:rPr>
              <w:t>Windstream Communications, LLC</w:t>
            </w:r>
          </w:p>
          <w:p w:rsidR="00965215" w:rsidRPr="00965215" w:rsidP="00965215" w14:paraId="70F79D7F" w14:textId="77777777">
            <w:pPr>
              <w:pStyle w:val="Header"/>
              <w:tabs>
                <w:tab w:val="left" w:pos="5040"/>
              </w:tabs>
              <w:rPr>
                <w:b w:val="0"/>
                <w:szCs w:val="22"/>
              </w:rPr>
            </w:pPr>
            <w:r w:rsidRPr="00965215">
              <w:rPr>
                <w:b w:val="0"/>
                <w:szCs w:val="22"/>
              </w:rPr>
              <w:t xml:space="preserve">Little Rock, Arkansas </w:t>
            </w:r>
          </w:p>
          <w:p w:rsidR="00965215" w:rsidRPr="00965215" w:rsidP="00965215" w14:paraId="6661FB62" w14:textId="77777777">
            <w:pPr>
              <w:pStyle w:val="Header"/>
              <w:tabs>
                <w:tab w:val="left" w:pos="5040"/>
              </w:tabs>
              <w:rPr>
                <w:b w:val="0"/>
                <w:szCs w:val="22"/>
              </w:rPr>
            </w:pPr>
            <w:r w:rsidRPr="00965215">
              <w:rPr>
                <w:b w:val="0"/>
                <w:szCs w:val="22"/>
              </w:rPr>
              <w:tab/>
            </w:r>
          </w:p>
          <w:p w:rsidR="00965215" w:rsidRPr="00965215" w:rsidP="00965215" w14:paraId="57F5CE52" w14:textId="77777777">
            <w:pPr>
              <w:pStyle w:val="Header"/>
              <w:tabs>
                <w:tab w:val="left" w:pos="5040"/>
              </w:tabs>
              <w:rPr>
                <w:b w:val="0"/>
                <w:szCs w:val="22"/>
              </w:rPr>
            </w:pPr>
            <w:r w:rsidRPr="00965215">
              <w:rPr>
                <w:b w:val="0"/>
                <w:szCs w:val="22"/>
              </w:rPr>
              <w:t>ABS Telecom LLC and Gary Speck</w:t>
            </w:r>
          </w:p>
          <w:p w:rsidR="00965215" w:rsidRPr="00965215" w:rsidP="00965215" w14:paraId="0BF8F2F7" w14:textId="77777777">
            <w:pPr>
              <w:pStyle w:val="Header"/>
              <w:tabs>
                <w:tab w:val="left" w:pos="5040"/>
              </w:tabs>
              <w:rPr>
                <w:b w:val="0"/>
                <w:szCs w:val="22"/>
              </w:rPr>
            </w:pPr>
            <w:r w:rsidRPr="00965215">
              <w:rPr>
                <w:b w:val="0"/>
                <w:szCs w:val="22"/>
              </w:rPr>
              <w:t>Plano, Texas</w:t>
            </w:r>
          </w:p>
          <w:p w:rsidR="00965215" w:rsidRPr="00965215" w:rsidP="00965215" w14:paraId="688D92AB" w14:textId="77777777">
            <w:pPr>
              <w:pStyle w:val="Header"/>
              <w:tabs>
                <w:tab w:val="left" w:pos="5040"/>
              </w:tabs>
              <w:rPr>
                <w:b w:val="0"/>
                <w:szCs w:val="22"/>
              </w:rPr>
            </w:pPr>
          </w:p>
          <w:p w:rsidR="00965215" w:rsidRPr="00965215" w:rsidP="00965215" w14:paraId="1A409905" w14:textId="77777777">
            <w:pPr>
              <w:pStyle w:val="Header"/>
              <w:tabs>
                <w:tab w:val="left" w:pos="5040"/>
              </w:tabs>
              <w:rPr>
                <w:b w:val="0"/>
                <w:szCs w:val="22"/>
              </w:rPr>
            </w:pPr>
            <w:r w:rsidRPr="00965215">
              <w:rPr>
                <w:b w:val="0"/>
                <w:szCs w:val="22"/>
              </w:rPr>
              <w:t xml:space="preserve">The Burke Center-West Austin Street; </w:t>
            </w:r>
          </w:p>
          <w:p w:rsidR="00965215" w:rsidRPr="00965215" w:rsidP="00965215" w14:paraId="3B3B01B3" w14:textId="77777777">
            <w:pPr>
              <w:pStyle w:val="Header"/>
              <w:tabs>
                <w:tab w:val="left" w:pos="5040"/>
              </w:tabs>
              <w:rPr>
                <w:b w:val="0"/>
                <w:szCs w:val="22"/>
              </w:rPr>
            </w:pPr>
            <w:r w:rsidRPr="00965215">
              <w:rPr>
                <w:b w:val="0"/>
                <w:szCs w:val="22"/>
              </w:rPr>
              <w:t>Trinity Valley Community College; and The</w:t>
            </w:r>
          </w:p>
          <w:p w:rsidR="00965215" w:rsidRPr="00965215" w:rsidP="00965215" w14:paraId="61BD024C" w14:textId="77777777">
            <w:pPr>
              <w:pStyle w:val="Header"/>
              <w:tabs>
                <w:tab w:val="left" w:pos="5040"/>
              </w:tabs>
              <w:rPr>
                <w:b w:val="0"/>
                <w:szCs w:val="22"/>
              </w:rPr>
            </w:pPr>
            <w:r w:rsidRPr="00965215">
              <w:rPr>
                <w:b w:val="0"/>
                <w:szCs w:val="22"/>
              </w:rPr>
              <w:t>University of Texas Health Science Center at Tyler on behalf of the East Texas Interactive</w:t>
            </w:r>
          </w:p>
          <w:p w:rsidR="00965215" w:rsidRPr="00965215" w:rsidP="00965215" w14:paraId="2B0E0862" w14:textId="77777777">
            <w:pPr>
              <w:pStyle w:val="Header"/>
              <w:tabs>
                <w:tab w:val="left" w:pos="5040"/>
              </w:tabs>
              <w:rPr>
                <w:b w:val="0"/>
                <w:szCs w:val="22"/>
              </w:rPr>
            </w:pPr>
            <w:r w:rsidRPr="00965215">
              <w:rPr>
                <w:b w:val="0"/>
                <w:szCs w:val="22"/>
              </w:rPr>
              <w:t>Healthcare Network-Andrews Center</w:t>
            </w:r>
            <w:r w:rsidRPr="00965215">
              <w:rPr>
                <w:b w:val="0"/>
                <w:szCs w:val="22"/>
              </w:rPr>
              <w:tab/>
              <w:t xml:space="preserve">    </w:t>
            </w:r>
          </w:p>
          <w:p w:rsidR="00965215" w:rsidRPr="00965215" w:rsidP="00965215" w14:paraId="54646B38" w14:textId="77777777">
            <w:pPr>
              <w:pStyle w:val="Header"/>
              <w:tabs>
                <w:tab w:val="left" w:pos="5040"/>
              </w:tabs>
              <w:rPr>
                <w:b w:val="0"/>
                <w:szCs w:val="22"/>
              </w:rPr>
            </w:pPr>
          </w:p>
          <w:p w:rsidR="00965215" w:rsidRPr="00965215" w:rsidP="00965215" w14:paraId="2B723875" w14:textId="77777777">
            <w:pPr>
              <w:pStyle w:val="Header"/>
              <w:tabs>
                <w:tab w:val="left" w:pos="5040"/>
              </w:tabs>
              <w:rPr>
                <w:b w:val="0"/>
                <w:szCs w:val="22"/>
              </w:rPr>
            </w:pPr>
            <w:r w:rsidRPr="00965215">
              <w:rPr>
                <w:b w:val="0"/>
                <w:szCs w:val="22"/>
              </w:rPr>
              <w:t xml:space="preserve">Rural Health Care Universal Service                 </w:t>
            </w:r>
            <w:r w:rsidRPr="00965215">
              <w:rPr>
                <w:b w:val="0"/>
                <w:szCs w:val="22"/>
              </w:rPr>
              <w:tab/>
            </w:r>
          </w:p>
          <w:p w:rsidR="00965215" w:rsidRPr="00965215" w:rsidP="00965215" w14:paraId="57ECB6AC" w14:textId="77777777">
            <w:pPr>
              <w:tabs>
                <w:tab w:val="center" w:pos="4680"/>
              </w:tabs>
              <w:suppressAutoHyphens/>
              <w:rPr>
                <w:spacing w:val="-2"/>
                <w:szCs w:val="22"/>
              </w:rPr>
            </w:pPr>
            <w:r w:rsidRPr="00965215">
              <w:rPr>
                <w:szCs w:val="22"/>
              </w:rPr>
              <w:t>Support Mechanism</w:t>
            </w:r>
          </w:p>
        </w:tc>
        <w:tc>
          <w:tcPr>
            <w:tcW w:w="630" w:type="dxa"/>
          </w:tcPr>
          <w:p w:rsidR="00965215" w:rsidRPr="00965215" w:rsidP="00965215" w14:paraId="2F28B9FB" w14:textId="77777777">
            <w:pPr>
              <w:tabs>
                <w:tab w:val="center" w:pos="4680"/>
              </w:tabs>
              <w:suppressAutoHyphens/>
              <w:rPr>
                <w:b/>
                <w:spacing w:val="-2"/>
                <w:szCs w:val="22"/>
              </w:rPr>
            </w:pPr>
            <w:r w:rsidRPr="00965215">
              <w:rPr>
                <w:b/>
                <w:spacing w:val="-2"/>
                <w:szCs w:val="22"/>
              </w:rPr>
              <w:t>)</w:t>
            </w:r>
          </w:p>
          <w:p w:rsidR="00965215" w:rsidRPr="00965215" w:rsidP="00965215" w14:paraId="48738F53" w14:textId="77777777">
            <w:pPr>
              <w:tabs>
                <w:tab w:val="center" w:pos="4680"/>
              </w:tabs>
              <w:suppressAutoHyphens/>
              <w:rPr>
                <w:b/>
                <w:spacing w:val="-2"/>
                <w:szCs w:val="22"/>
              </w:rPr>
            </w:pPr>
            <w:r w:rsidRPr="00965215">
              <w:rPr>
                <w:b/>
                <w:spacing w:val="-2"/>
                <w:szCs w:val="22"/>
              </w:rPr>
              <w:t>)</w:t>
            </w:r>
          </w:p>
          <w:p w:rsidR="00965215" w:rsidRPr="00965215" w:rsidP="00965215" w14:paraId="144E4563" w14:textId="77777777">
            <w:pPr>
              <w:tabs>
                <w:tab w:val="center" w:pos="4680"/>
              </w:tabs>
              <w:suppressAutoHyphens/>
              <w:rPr>
                <w:b/>
                <w:spacing w:val="-2"/>
                <w:szCs w:val="22"/>
              </w:rPr>
            </w:pPr>
            <w:r w:rsidRPr="00965215">
              <w:rPr>
                <w:b/>
                <w:spacing w:val="-2"/>
                <w:szCs w:val="22"/>
              </w:rPr>
              <w:t>)</w:t>
            </w:r>
          </w:p>
          <w:p w:rsidR="00965215" w:rsidRPr="00965215" w:rsidP="00965215" w14:paraId="19C89F77" w14:textId="77777777">
            <w:pPr>
              <w:tabs>
                <w:tab w:val="center" w:pos="4680"/>
              </w:tabs>
              <w:suppressAutoHyphens/>
              <w:rPr>
                <w:b/>
                <w:spacing w:val="-2"/>
                <w:szCs w:val="22"/>
              </w:rPr>
            </w:pPr>
            <w:r w:rsidRPr="00965215">
              <w:rPr>
                <w:b/>
                <w:spacing w:val="-2"/>
                <w:szCs w:val="22"/>
              </w:rPr>
              <w:t>)</w:t>
            </w:r>
          </w:p>
          <w:p w:rsidR="00965215" w:rsidRPr="00965215" w:rsidP="00965215" w14:paraId="409A4A0F" w14:textId="77777777">
            <w:pPr>
              <w:tabs>
                <w:tab w:val="center" w:pos="4680"/>
              </w:tabs>
              <w:suppressAutoHyphens/>
              <w:rPr>
                <w:b/>
                <w:spacing w:val="-2"/>
                <w:szCs w:val="22"/>
              </w:rPr>
            </w:pPr>
            <w:r w:rsidRPr="00965215">
              <w:rPr>
                <w:b/>
                <w:spacing w:val="-2"/>
                <w:szCs w:val="22"/>
              </w:rPr>
              <w:t>)</w:t>
            </w:r>
          </w:p>
          <w:p w:rsidR="00965215" w:rsidRPr="00965215" w:rsidP="00965215" w14:paraId="7A17F345" w14:textId="77777777">
            <w:pPr>
              <w:tabs>
                <w:tab w:val="center" w:pos="4680"/>
              </w:tabs>
              <w:suppressAutoHyphens/>
              <w:rPr>
                <w:b/>
                <w:spacing w:val="-2"/>
                <w:szCs w:val="22"/>
              </w:rPr>
            </w:pPr>
            <w:r w:rsidRPr="00965215">
              <w:rPr>
                <w:b/>
                <w:spacing w:val="-2"/>
                <w:szCs w:val="22"/>
              </w:rPr>
              <w:t>)</w:t>
            </w:r>
          </w:p>
          <w:p w:rsidR="00965215" w:rsidRPr="00965215" w:rsidP="00965215" w14:paraId="03DC8566" w14:textId="77777777">
            <w:pPr>
              <w:tabs>
                <w:tab w:val="center" w:pos="4680"/>
              </w:tabs>
              <w:suppressAutoHyphens/>
              <w:rPr>
                <w:b/>
                <w:spacing w:val="-2"/>
                <w:szCs w:val="22"/>
              </w:rPr>
            </w:pPr>
            <w:r w:rsidRPr="00965215">
              <w:rPr>
                <w:b/>
                <w:spacing w:val="-2"/>
                <w:szCs w:val="22"/>
              </w:rPr>
              <w:t>)</w:t>
            </w:r>
          </w:p>
          <w:p w:rsidR="00965215" w:rsidRPr="00965215" w:rsidP="00965215" w14:paraId="3DF639C0" w14:textId="77777777">
            <w:pPr>
              <w:tabs>
                <w:tab w:val="center" w:pos="4680"/>
              </w:tabs>
              <w:suppressAutoHyphens/>
              <w:rPr>
                <w:b/>
                <w:spacing w:val="-2"/>
                <w:szCs w:val="22"/>
              </w:rPr>
            </w:pPr>
            <w:r w:rsidRPr="00965215">
              <w:rPr>
                <w:b/>
                <w:spacing w:val="-2"/>
                <w:szCs w:val="22"/>
              </w:rPr>
              <w:t>)</w:t>
            </w:r>
          </w:p>
          <w:p w:rsidR="00965215" w:rsidRPr="00965215" w:rsidP="00965215" w14:paraId="2A124E39" w14:textId="77777777">
            <w:pPr>
              <w:tabs>
                <w:tab w:val="center" w:pos="4680"/>
              </w:tabs>
              <w:suppressAutoHyphens/>
              <w:rPr>
                <w:b/>
                <w:spacing w:val="-2"/>
                <w:szCs w:val="22"/>
              </w:rPr>
            </w:pPr>
            <w:r w:rsidRPr="00965215">
              <w:rPr>
                <w:b/>
                <w:spacing w:val="-2"/>
                <w:szCs w:val="22"/>
              </w:rPr>
              <w:t>)</w:t>
            </w:r>
          </w:p>
          <w:p w:rsidR="00965215" w:rsidRPr="00965215" w:rsidP="00965215" w14:paraId="1B4FA186" w14:textId="77777777">
            <w:pPr>
              <w:tabs>
                <w:tab w:val="center" w:pos="4680"/>
              </w:tabs>
              <w:suppressAutoHyphens/>
              <w:rPr>
                <w:b/>
                <w:spacing w:val="-2"/>
                <w:szCs w:val="22"/>
              </w:rPr>
            </w:pPr>
            <w:r w:rsidRPr="00965215">
              <w:rPr>
                <w:b/>
                <w:spacing w:val="-2"/>
                <w:szCs w:val="22"/>
              </w:rPr>
              <w:t>)</w:t>
            </w:r>
          </w:p>
          <w:p w:rsidR="00965215" w:rsidRPr="00965215" w:rsidP="00965215" w14:paraId="58F449BA" w14:textId="77777777">
            <w:pPr>
              <w:tabs>
                <w:tab w:val="center" w:pos="4680"/>
              </w:tabs>
              <w:suppressAutoHyphens/>
              <w:rPr>
                <w:b/>
                <w:spacing w:val="-2"/>
                <w:szCs w:val="22"/>
              </w:rPr>
            </w:pPr>
            <w:r w:rsidRPr="00965215">
              <w:rPr>
                <w:b/>
                <w:spacing w:val="-2"/>
                <w:szCs w:val="22"/>
              </w:rPr>
              <w:t>)</w:t>
            </w:r>
          </w:p>
          <w:p w:rsidR="00965215" w:rsidRPr="00965215" w:rsidP="00965215" w14:paraId="2EBD3951" w14:textId="77777777">
            <w:pPr>
              <w:tabs>
                <w:tab w:val="center" w:pos="4680"/>
              </w:tabs>
              <w:suppressAutoHyphens/>
              <w:rPr>
                <w:b/>
                <w:spacing w:val="-2"/>
                <w:szCs w:val="22"/>
              </w:rPr>
            </w:pPr>
            <w:r w:rsidRPr="00965215">
              <w:rPr>
                <w:b/>
                <w:spacing w:val="-2"/>
                <w:szCs w:val="22"/>
              </w:rPr>
              <w:t>)</w:t>
            </w:r>
          </w:p>
          <w:p w:rsidR="00965215" w:rsidRPr="00965215" w:rsidP="00965215" w14:paraId="2C4C9C9D" w14:textId="77777777">
            <w:pPr>
              <w:tabs>
                <w:tab w:val="center" w:pos="4680"/>
              </w:tabs>
              <w:suppressAutoHyphens/>
              <w:rPr>
                <w:b/>
                <w:spacing w:val="-2"/>
                <w:szCs w:val="22"/>
              </w:rPr>
            </w:pPr>
            <w:r w:rsidRPr="00965215">
              <w:rPr>
                <w:b/>
                <w:spacing w:val="-2"/>
                <w:szCs w:val="22"/>
              </w:rPr>
              <w:t>)</w:t>
            </w:r>
          </w:p>
          <w:p w:rsidR="00965215" w:rsidRPr="00965215" w:rsidP="00965215" w14:paraId="1220F1C1" w14:textId="77777777">
            <w:pPr>
              <w:tabs>
                <w:tab w:val="center" w:pos="4680"/>
              </w:tabs>
              <w:suppressAutoHyphens/>
              <w:rPr>
                <w:b/>
                <w:spacing w:val="-2"/>
                <w:szCs w:val="22"/>
              </w:rPr>
            </w:pPr>
            <w:r w:rsidRPr="00965215">
              <w:rPr>
                <w:b/>
                <w:spacing w:val="-2"/>
                <w:szCs w:val="22"/>
              </w:rPr>
              <w:t>)</w:t>
            </w:r>
          </w:p>
          <w:p w:rsidR="00965215" w:rsidRPr="00965215" w:rsidP="00965215" w14:paraId="14E72DDE" w14:textId="77777777">
            <w:pPr>
              <w:tabs>
                <w:tab w:val="center" w:pos="4680"/>
              </w:tabs>
              <w:suppressAutoHyphens/>
              <w:rPr>
                <w:b/>
                <w:spacing w:val="-2"/>
                <w:szCs w:val="22"/>
              </w:rPr>
            </w:pPr>
            <w:r w:rsidRPr="00965215">
              <w:rPr>
                <w:b/>
                <w:spacing w:val="-2"/>
                <w:szCs w:val="22"/>
              </w:rPr>
              <w:t>)</w:t>
            </w:r>
          </w:p>
          <w:p w:rsidR="00965215" w:rsidRPr="00965215" w:rsidP="00965215" w14:paraId="03D74C55" w14:textId="77777777">
            <w:pPr>
              <w:tabs>
                <w:tab w:val="center" w:pos="4680"/>
              </w:tabs>
              <w:suppressAutoHyphens/>
              <w:rPr>
                <w:b/>
                <w:spacing w:val="-2"/>
                <w:szCs w:val="22"/>
              </w:rPr>
            </w:pPr>
            <w:r w:rsidRPr="00965215">
              <w:rPr>
                <w:b/>
                <w:spacing w:val="-2"/>
                <w:szCs w:val="22"/>
              </w:rPr>
              <w:t>)</w:t>
            </w:r>
          </w:p>
          <w:p w:rsidR="00965215" w:rsidRPr="00965215" w:rsidP="00965215" w14:paraId="75981292" w14:textId="77777777">
            <w:pPr>
              <w:tabs>
                <w:tab w:val="center" w:pos="4680"/>
              </w:tabs>
              <w:suppressAutoHyphens/>
              <w:rPr>
                <w:b/>
                <w:spacing w:val="-2"/>
                <w:szCs w:val="22"/>
              </w:rPr>
            </w:pPr>
            <w:r w:rsidRPr="00965215">
              <w:rPr>
                <w:b/>
                <w:spacing w:val="-2"/>
                <w:szCs w:val="22"/>
              </w:rPr>
              <w:t>)</w:t>
            </w:r>
          </w:p>
          <w:p w:rsidR="00965215" w:rsidRPr="00965215" w:rsidP="00965215" w14:paraId="660D65FF" w14:textId="77777777">
            <w:pPr>
              <w:tabs>
                <w:tab w:val="center" w:pos="4680"/>
              </w:tabs>
              <w:suppressAutoHyphens/>
              <w:rPr>
                <w:b/>
                <w:spacing w:val="-2"/>
                <w:szCs w:val="22"/>
              </w:rPr>
            </w:pPr>
            <w:r w:rsidRPr="00965215">
              <w:rPr>
                <w:b/>
                <w:spacing w:val="-2"/>
                <w:szCs w:val="22"/>
              </w:rPr>
              <w:t>)</w:t>
            </w:r>
          </w:p>
          <w:p w:rsidR="00965215" w:rsidRPr="00965215" w:rsidP="00965215" w14:paraId="2B0EC453" w14:textId="77777777">
            <w:pPr>
              <w:tabs>
                <w:tab w:val="center" w:pos="4680"/>
              </w:tabs>
              <w:suppressAutoHyphens/>
              <w:rPr>
                <w:b/>
                <w:spacing w:val="-2"/>
                <w:szCs w:val="22"/>
              </w:rPr>
            </w:pPr>
            <w:r w:rsidRPr="00965215">
              <w:rPr>
                <w:b/>
                <w:spacing w:val="-2"/>
                <w:szCs w:val="22"/>
              </w:rPr>
              <w:t>)</w:t>
            </w:r>
          </w:p>
          <w:p w:rsidR="00965215" w:rsidRPr="00965215" w:rsidP="00965215" w14:paraId="708E7213" w14:textId="77777777">
            <w:pPr>
              <w:tabs>
                <w:tab w:val="center" w:pos="4680"/>
              </w:tabs>
              <w:suppressAutoHyphens/>
              <w:rPr>
                <w:b/>
                <w:spacing w:val="-2"/>
                <w:szCs w:val="22"/>
              </w:rPr>
            </w:pPr>
            <w:r w:rsidRPr="00965215">
              <w:rPr>
                <w:b/>
                <w:spacing w:val="-2"/>
                <w:szCs w:val="22"/>
              </w:rPr>
              <w:t>)</w:t>
            </w:r>
          </w:p>
        </w:tc>
        <w:tc>
          <w:tcPr>
            <w:tcW w:w="4248" w:type="dxa"/>
          </w:tcPr>
          <w:p w:rsidR="00965215" w:rsidRPr="00965215" w:rsidP="00965215" w14:paraId="23BB3F83" w14:textId="77777777">
            <w:pPr>
              <w:tabs>
                <w:tab w:val="center" w:pos="4680"/>
              </w:tabs>
              <w:suppressAutoHyphens/>
              <w:rPr>
                <w:spacing w:val="-2"/>
                <w:szCs w:val="22"/>
              </w:rPr>
            </w:pPr>
          </w:p>
          <w:p w:rsidR="00965215" w:rsidRPr="00965215" w:rsidP="00965215" w14:paraId="61803AC3" w14:textId="77777777">
            <w:pPr>
              <w:pStyle w:val="TOAHeading"/>
              <w:tabs>
                <w:tab w:val="center" w:pos="4680"/>
                <w:tab w:val="clear" w:pos="9360"/>
              </w:tabs>
              <w:rPr>
                <w:spacing w:val="-2"/>
                <w:szCs w:val="22"/>
              </w:rPr>
            </w:pPr>
          </w:p>
          <w:p w:rsidR="00965215" w:rsidRPr="00965215" w:rsidP="00965215" w14:paraId="0F5B3132" w14:textId="77777777">
            <w:pPr>
              <w:tabs>
                <w:tab w:val="center" w:pos="4680"/>
              </w:tabs>
              <w:suppressAutoHyphens/>
              <w:rPr>
                <w:szCs w:val="22"/>
              </w:rPr>
            </w:pPr>
          </w:p>
          <w:p w:rsidR="00965215" w:rsidRPr="00965215" w:rsidP="00965215" w14:paraId="387B0349" w14:textId="77777777">
            <w:pPr>
              <w:tabs>
                <w:tab w:val="center" w:pos="4680"/>
              </w:tabs>
              <w:suppressAutoHyphens/>
              <w:rPr>
                <w:szCs w:val="22"/>
              </w:rPr>
            </w:pPr>
          </w:p>
          <w:p w:rsidR="00965215" w:rsidRPr="00965215" w:rsidP="00965215" w14:paraId="6239E33B" w14:textId="77777777">
            <w:pPr>
              <w:tabs>
                <w:tab w:val="center" w:pos="4680"/>
              </w:tabs>
              <w:suppressAutoHyphens/>
              <w:rPr>
                <w:szCs w:val="22"/>
              </w:rPr>
            </w:pPr>
          </w:p>
          <w:p w:rsidR="00965215" w:rsidRPr="00965215" w:rsidP="00965215" w14:paraId="61CF34DC" w14:textId="77777777">
            <w:pPr>
              <w:tabs>
                <w:tab w:val="center" w:pos="4680"/>
              </w:tabs>
              <w:suppressAutoHyphens/>
              <w:rPr>
                <w:szCs w:val="22"/>
              </w:rPr>
            </w:pPr>
          </w:p>
          <w:p w:rsidR="00965215" w:rsidRPr="00965215" w:rsidP="00965215" w14:paraId="652BC15F" w14:textId="77777777">
            <w:pPr>
              <w:tabs>
                <w:tab w:val="center" w:pos="4680"/>
              </w:tabs>
              <w:suppressAutoHyphens/>
              <w:rPr>
                <w:szCs w:val="22"/>
              </w:rPr>
            </w:pPr>
          </w:p>
          <w:p w:rsidR="00965215" w:rsidRPr="00965215" w:rsidP="00965215" w14:paraId="5AA65777" w14:textId="77777777">
            <w:pPr>
              <w:tabs>
                <w:tab w:val="center" w:pos="4680"/>
              </w:tabs>
              <w:suppressAutoHyphens/>
              <w:rPr>
                <w:szCs w:val="22"/>
              </w:rPr>
            </w:pPr>
          </w:p>
          <w:p w:rsidR="00965215" w:rsidRPr="00965215" w:rsidP="00965215" w14:paraId="3A765708" w14:textId="77777777">
            <w:pPr>
              <w:tabs>
                <w:tab w:val="center" w:pos="4680"/>
              </w:tabs>
              <w:suppressAutoHyphens/>
              <w:rPr>
                <w:szCs w:val="22"/>
              </w:rPr>
            </w:pPr>
          </w:p>
          <w:p w:rsidR="00965215" w:rsidRPr="00965215" w:rsidP="00965215" w14:paraId="68F5AFD6" w14:textId="77777777">
            <w:pPr>
              <w:tabs>
                <w:tab w:val="center" w:pos="4680"/>
              </w:tabs>
              <w:suppressAutoHyphens/>
              <w:rPr>
                <w:szCs w:val="22"/>
              </w:rPr>
            </w:pPr>
          </w:p>
          <w:p w:rsidR="00965215" w:rsidRPr="00965215" w:rsidP="00965215" w14:paraId="34678E18" w14:textId="77777777">
            <w:pPr>
              <w:tabs>
                <w:tab w:val="center" w:pos="4680"/>
              </w:tabs>
              <w:suppressAutoHyphens/>
              <w:rPr>
                <w:szCs w:val="22"/>
              </w:rPr>
            </w:pPr>
          </w:p>
          <w:p w:rsidR="00965215" w:rsidRPr="00965215" w:rsidP="00965215" w14:paraId="03C2F109" w14:textId="77777777">
            <w:pPr>
              <w:tabs>
                <w:tab w:val="center" w:pos="4680"/>
              </w:tabs>
              <w:suppressAutoHyphens/>
              <w:rPr>
                <w:szCs w:val="22"/>
              </w:rPr>
            </w:pPr>
          </w:p>
          <w:p w:rsidR="00965215" w:rsidRPr="00965215" w:rsidP="00965215" w14:paraId="68A5903A" w14:textId="77777777">
            <w:pPr>
              <w:tabs>
                <w:tab w:val="center" w:pos="4680"/>
              </w:tabs>
              <w:suppressAutoHyphens/>
              <w:rPr>
                <w:szCs w:val="22"/>
              </w:rPr>
            </w:pPr>
          </w:p>
          <w:p w:rsidR="00965215" w:rsidRPr="00965215" w:rsidP="00965215" w14:paraId="329AF67C" w14:textId="77777777">
            <w:pPr>
              <w:tabs>
                <w:tab w:val="center" w:pos="4680"/>
              </w:tabs>
              <w:suppressAutoHyphens/>
              <w:rPr>
                <w:szCs w:val="22"/>
              </w:rPr>
            </w:pPr>
          </w:p>
          <w:p w:rsidR="00965215" w:rsidRPr="00965215" w:rsidP="00965215" w14:paraId="7DEEBEB9" w14:textId="77777777">
            <w:pPr>
              <w:tabs>
                <w:tab w:val="center" w:pos="4680"/>
              </w:tabs>
              <w:suppressAutoHyphens/>
              <w:rPr>
                <w:szCs w:val="22"/>
              </w:rPr>
            </w:pPr>
          </w:p>
          <w:p w:rsidR="00965215" w:rsidRPr="00965215" w:rsidP="00965215" w14:paraId="4B17AA94" w14:textId="77777777">
            <w:pPr>
              <w:tabs>
                <w:tab w:val="center" w:pos="4680"/>
              </w:tabs>
              <w:suppressAutoHyphens/>
              <w:rPr>
                <w:szCs w:val="22"/>
              </w:rPr>
            </w:pPr>
          </w:p>
          <w:p w:rsidR="00965215" w:rsidRPr="00965215" w:rsidP="00965215" w14:paraId="65F7D4D8" w14:textId="77777777">
            <w:pPr>
              <w:tabs>
                <w:tab w:val="center" w:pos="4680"/>
              </w:tabs>
              <w:suppressAutoHyphens/>
              <w:rPr>
                <w:szCs w:val="22"/>
              </w:rPr>
            </w:pPr>
          </w:p>
          <w:p w:rsidR="00965215" w:rsidRPr="00965215" w:rsidP="00965215" w14:paraId="6FAD3D94" w14:textId="77777777">
            <w:pPr>
              <w:tabs>
                <w:tab w:val="center" w:pos="4680"/>
              </w:tabs>
              <w:suppressAutoHyphens/>
              <w:rPr>
                <w:szCs w:val="22"/>
              </w:rPr>
            </w:pPr>
          </w:p>
          <w:p w:rsidR="00965215" w:rsidRPr="00965215" w:rsidP="00965215" w14:paraId="6420522C" w14:textId="77777777">
            <w:pPr>
              <w:tabs>
                <w:tab w:val="center" w:pos="4680"/>
              </w:tabs>
              <w:suppressAutoHyphens/>
              <w:rPr>
                <w:spacing w:val="-2"/>
                <w:szCs w:val="22"/>
              </w:rPr>
            </w:pPr>
            <w:r w:rsidRPr="00965215">
              <w:rPr>
                <w:szCs w:val="22"/>
              </w:rPr>
              <w:t xml:space="preserve">WC Docket No. 02-60 </w:t>
            </w:r>
          </w:p>
        </w:tc>
      </w:tr>
      <w:tr w14:paraId="50CD95E6" w14:textId="77777777" w:rsidTr="00965215">
        <w:tblPrEx>
          <w:tblW w:w="0" w:type="auto"/>
          <w:tblLayout w:type="fixed"/>
          <w:tblLook w:val="0000"/>
        </w:tblPrEx>
        <w:tc>
          <w:tcPr>
            <w:tcW w:w="4698" w:type="dxa"/>
          </w:tcPr>
          <w:p w:rsidR="00965215" w:rsidRPr="00965215" w:rsidP="00965215" w14:paraId="7CDE5475" w14:textId="77777777">
            <w:pPr>
              <w:tabs>
                <w:tab w:val="center" w:pos="4680"/>
              </w:tabs>
              <w:suppressAutoHyphens/>
              <w:rPr>
                <w:spacing w:val="-2"/>
                <w:szCs w:val="22"/>
              </w:rPr>
            </w:pPr>
          </w:p>
        </w:tc>
        <w:tc>
          <w:tcPr>
            <w:tcW w:w="630" w:type="dxa"/>
          </w:tcPr>
          <w:p w:rsidR="00965215" w:rsidRPr="00965215" w:rsidP="00965215" w14:paraId="785B0B5B" w14:textId="77777777">
            <w:pPr>
              <w:tabs>
                <w:tab w:val="center" w:pos="4680"/>
              </w:tabs>
              <w:suppressAutoHyphens/>
              <w:rPr>
                <w:b/>
                <w:spacing w:val="-2"/>
                <w:szCs w:val="22"/>
              </w:rPr>
            </w:pPr>
          </w:p>
        </w:tc>
        <w:tc>
          <w:tcPr>
            <w:tcW w:w="4248" w:type="dxa"/>
          </w:tcPr>
          <w:p w:rsidR="00965215" w:rsidRPr="00965215" w:rsidP="00965215" w14:paraId="57CF8FD4" w14:textId="77777777">
            <w:pPr>
              <w:tabs>
                <w:tab w:val="center" w:pos="4680"/>
              </w:tabs>
              <w:suppressAutoHyphens/>
              <w:rPr>
                <w:spacing w:val="-2"/>
                <w:szCs w:val="22"/>
              </w:rPr>
            </w:pPr>
          </w:p>
        </w:tc>
      </w:tr>
    </w:tbl>
    <w:p w:rsidR="00965215" w:rsidRPr="00965215" w:rsidP="00965215" w14:paraId="79FC893E" w14:textId="77777777">
      <w:pPr>
        <w:rPr>
          <w:szCs w:val="22"/>
        </w:rPr>
      </w:pPr>
    </w:p>
    <w:p w:rsidR="00965215" w:rsidRPr="00965215" w:rsidP="00965215" w14:paraId="682A16EB" w14:textId="77777777">
      <w:pPr>
        <w:pStyle w:val="StyleBoldCentered"/>
        <w:rPr>
          <w:rFonts w:ascii="Times New Roman" w:hAnsi="Times New Roman"/>
        </w:rPr>
      </w:pPr>
      <w:r w:rsidRPr="00965215">
        <w:rPr>
          <w:rFonts w:ascii="Times New Roman" w:hAnsi="Times New Roman"/>
        </w:rPr>
        <w:t>Order</w:t>
      </w:r>
    </w:p>
    <w:p w:rsidR="00965215" w:rsidRPr="00965215" w:rsidP="00965215" w14:paraId="31BE17E7" w14:textId="77777777">
      <w:pPr>
        <w:tabs>
          <w:tab w:val="left" w:pos="-720"/>
        </w:tabs>
        <w:suppressAutoHyphens/>
        <w:spacing w:line="227" w:lineRule="auto"/>
        <w:rPr>
          <w:spacing w:val="-2"/>
          <w:szCs w:val="22"/>
        </w:rPr>
      </w:pPr>
    </w:p>
    <w:p w:rsidR="00965215" w:rsidRPr="00965215" w:rsidP="00965215" w14:paraId="64A7CD49" w14:textId="163422D5">
      <w:pPr>
        <w:tabs>
          <w:tab w:val="left" w:pos="720"/>
          <w:tab w:val="right" w:pos="9360"/>
        </w:tabs>
        <w:suppressAutoHyphens/>
        <w:spacing w:line="227" w:lineRule="auto"/>
        <w:rPr>
          <w:spacing w:val="-2"/>
          <w:szCs w:val="22"/>
        </w:rPr>
      </w:pPr>
      <w:r w:rsidRPr="00965215">
        <w:rPr>
          <w:b/>
          <w:spacing w:val="-2"/>
          <w:szCs w:val="22"/>
        </w:rPr>
        <w:t>Adopted:  September 15, 2020</w:t>
      </w:r>
      <w:r w:rsidRPr="00965215">
        <w:rPr>
          <w:b/>
          <w:spacing w:val="-2"/>
          <w:szCs w:val="22"/>
        </w:rPr>
        <w:tab/>
        <w:t>Released:  September 15, 2020</w:t>
      </w:r>
    </w:p>
    <w:p w:rsidR="00965215" w:rsidRPr="00965215" w:rsidP="00965215" w14:paraId="147B5798" w14:textId="77777777">
      <w:pPr>
        <w:rPr>
          <w:szCs w:val="22"/>
        </w:rPr>
      </w:pPr>
    </w:p>
    <w:p w:rsidR="00965215" w:rsidRPr="00965215" w:rsidP="00965215" w14:paraId="5ADC0F2D" w14:textId="77777777">
      <w:pPr>
        <w:pStyle w:val="Numberedparagraphs"/>
        <w:numPr>
          <w:ilvl w:val="0"/>
          <w:numId w:val="0"/>
        </w:numPr>
        <w:rPr>
          <w:sz w:val="22"/>
          <w:szCs w:val="22"/>
        </w:rPr>
      </w:pPr>
      <w:r w:rsidRPr="00965215">
        <w:rPr>
          <w:sz w:val="22"/>
          <w:szCs w:val="22"/>
        </w:rPr>
        <w:t xml:space="preserve">By the </w:t>
      </w:r>
      <w:r w:rsidRPr="00965215">
        <w:rPr>
          <w:spacing w:val="-2"/>
          <w:sz w:val="22"/>
          <w:szCs w:val="22"/>
        </w:rPr>
        <w:t xml:space="preserve">Chief, </w:t>
      </w:r>
      <w:r w:rsidRPr="00965215">
        <w:rPr>
          <w:sz w:val="22"/>
          <w:szCs w:val="22"/>
        </w:rPr>
        <w:t>Telecommunications Access Policy Division, Wireline Competition Bureau:</w:t>
      </w:r>
    </w:p>
    <w:p w:rsidR="00965215" w:rsidRPr="00965215" w:rsidP="00965215" w14:paraId="473F0A96" w14:textId="77777777">
      <w:pPr>
        <w:pStyle w:val="Heading1"/>
        <w:rPr>
          <w:rFonts w:ascii="Times New Roman" w:hAnsi="Times New Roman"/>
          <w:szCs w:val="22"/>
        </w:rPr>
      </w:pPr>
      <w:r w:rsidRPr="00965215">
        <w:rPr>
          <w:rFonts w:ascii="Times New Roman" w:hAnsi="Times New Roman"/>
          <w:szCs w:val="22"/>
        </w:rPr>
        <w:t>INTRODUCTION</w:t>
      </w:r>
    </w:p>
    <w:p w:rsidR="00965215" w:rsidRPr="00965215" w:rsidP="00965215" w14:paraId="58860325" w14:textId="77777777">
      <w:pPr>
        <w:pStyle w:val="ParaNum"/>
        <w:rPr>
          <w:rStyle w:val="StyleNumberedparagraphs11ptChar"/>
          <w:kern w:val="0"/>
          <w:szCs w:val="22"/>
        </w:rPr>
      </w:pPr>
      <w:r w:rsidRPr="00965215">
        <w:rPr>
          <w:rStyle w:val="StyleNumberedparagraphs11ptChar"/>
          <w:kern w:val="0"/>
          <w:szCs w:val="22"/>
        </w:rPr>
        <w:t xml:space="preserve">In this Order, we address a request filed by Windstream Communications, LLC (Windstream) and a joint request filed by ABS Telecom LLC and Gary Speck (collectively, ABS), seeking review of decisions made by the Universal Service Administrative Company (USAC) </w:t>
      </w:r>
      <w:r w:rsidRPr="00965215">
        <w:rPr>
          <w:szCs w:val="22"/>
        </w:rPr>
        <w:t>under the rural health care universal service support mechanism.</w:t>
      </w:r>
      <w:r>
        <w:rPr>
          <w:rStyle w:val="FootnoteReference"/>
          <w:kern w:val="0"/>
          <w:sz w:val="22"/>
          <w:szCs w:val="22"/>
        </w:rPr>
        <w:footnoteReference w:id="3"/>
      </w:r>
      <w:r w:rsidRPr="00965215">
        <w:rPr>
          <w:rStyle w:val="StyleNumberedparagraphs11ptChar"/>
          <w:kern w:val="0"/>
          <w:szCs w:val="22"/>
        </w:rPr>
        <w:t xml:space="preserve"> </w:t>
      </w:r>
      <w:r w:rsidRPr="00965215">
        <w:rPr>
          <w:szCs w:val="22"/>
        </w:rPr>
        <w:t xml:space="preserve"> </w:t>
      </w:r>
      <w:r w:rsidRPr="00965215">
        <w:rPr>
          <w:rStyle w:val="StyleNumberedparagraphs11ptChar"/>
          <w:kern w:val="0"/>
          <w:szCs w:val="22"/>
        </w:rPr>
        <w:t xml:space="preserve">We also consider a request filed by Burke </w:t>
      </w:r>
      <w:r w:rsidRPr="00965215">
        <w:rPr>
          <w:rStyle w:val="StyleNumberedparagraphs11ptChar"/>
          <w:kern w:val="0"/>
          <w:szCs w:val="22"/>
        </w:rPr>
        <w:t xml:space="preserve">Center-West Austin Street, Trinity Valley Community College, and The University of Texas Health Science Center at Tyler on behalf of the East Texas Interactive Healthcare Network-Andrews Center (collectively, </w:t>
      </w:r>
      <w:r w:rsidRPr="00965215">
        <w:rPr>
          <w:rStyle w:val="StyleNumberedparagraphs11ptChar"/>
          <w:kern w:val="0"/>
          <w:szCs w:val="22"/>
        </w:rPr>
        <w:t>UTHSCT</w:t>
      </w:r>
      <w:r w:rsidRPr="00965215">
        <w:rPr>
          <w:rStyle w:val="StyleNumberedparagraphs11ptChar"/>
          <w:kern w:val="0"/>
          <w:szCs w:val="22"/>
        </w:rPr>
        <w:t>) seeking a waiver of the Commission’s competitive bidding requirements underlying the same USAC decisions.</w:t>
      </w:r>
      <w:r>
        <w:rPr>
          <w:rStyle w:val="FootnoteReference"/>
          <w:kern w:val="0"/>
          <w:sz w:val="22"/>
          <w:szCs w:val="22"/>
        </w:rPr>
        <w:footnoteReference w:id="4"/>
      </w:r>
      <w:r w:rsidRPr="00965215">
        <w:rPr>
          <w:rStyle w:val="StyleNumberedparagraphs11ptChar"/>
          <w:kern w:val="0"/>
          <w:szCs w:val="22"/>
        </w:rPr>
        <w:t xml:space="preserve">  In its decisions, USAC denied </w:t>
      </w:r>
      <w:r w:rsidRPr="00965215">
        <w:rPr>
          <w:rStyle w:val="StyleNumberedparagraphs11ptChar"/>
          <w:kern w:val="0"/>
          <w:szCs w:val="22"/>
        </w:rPr>
        <w:t>UTHSCT’s</w:t>
      </w:r>
      <w:r w:rsidRPr="00965215">
        <w:rPr>
          <w:rStyle w:val="StyleNumberedparagraphs11ptChar"/>
          <w:kern w:val="0"/>
          <w:szCs w:val="22"/>
        </w:rPr>
        <w:t xml:space="preserve"> requests for Rural Health Care (</w:t>
      </w:r>
      <w:r w:rsidRPr="00965215">
        <w:rPr>
          <w:rStyle w:val="StyleNumberedparagraphs11ptChar"/>
          <w:kern w:val="0"/>
          <w:szCs w:val="22"/>
        </w:rPr>
        <w:t>RHC</w:t>
      </w:r>
      <w:r w:rsidRPr="00965215">
        <w:rPr>
          <w:rStyle w:val="StyleNumberedparagraphs11ptChar"/>
          <w:kern w:val="0"/>
          <w:szCs w:val="22"/>
        </w:rPr>
        <w:t xml:space="preserve">) Telecommunications (Telecom) Program support for funding years (FY) 2012 through 2016 after determining that the business relationship between </w:t>
      </w:r>
      <w:r w:rsidRPr="00965215">
        <w:rPr>
          <w:rStyle w:val="StyleNumberedparagraphs11ptChar"/>
          <w:kern w:val="0"/>
          <w:szCs w:val="22"/>
        </w:rPr>
        <w:t>UTHSCT’s</w:t>
      </w:r>
      <w:r w:rsidRPr="00965215">
        <w:rPr>
          <w:rStyle w:val="StyleNumberedparagraphs11ptChar"/>
          <w:kern w:val="0"/>
          <w:szCs w:val="22"/>
        </w:rPr>
        <w:t xml:space="preserve"> consultant (i.e., ABS) and selected service provider (i.e., Windstream) created a conflict of interest that impaired </w:t>
      </w:r>
      <w:r w:rsidRPr="00965215">
        <w:rPr>
          <w:rStyle w:val="StyleNumberedparagraphs11ptChar"/>
          <w:kern w:val="0"/>
          <w:szCs w:val="22"/>
        </w:rPr>
        <w:t>UTHSCT’s</w:t>
      </w:r>
      <w:r w:rsidRPr="00965215">
        <w:rPr>
          <w:rStyle w:val="StyleNumberedparagraphs11ptChar"/>
          <w:kern w:val="0"/>
          <w:szCs w:val="22"/>
        </w:rPr>
        <w:t xml:space="preserve"> ability to hold a fair and open competitive bidding process.</w:t>
      </w:r>
      <w:r>
        <w:rPr>
          <w:rStyle w:val="FootnoteReference"/>
          <w:kern w:val="0"/>
          <w:sz w:val="22"/>
          <w:szCs w:val="22"/>
        </w:rPr>
        <w:footnoteReference w:id="5"/>
      </w:r>
      <w:r w:rsidRPr="00965215">
        <w:rPr>
          <w:rStyle w:val="StyleNumberedparagraphs11ptChar"/>
          <w:kern w:val="0"/>
          <w:szCs w:val="22"/>
        </w:rPr>
        <w:t xml:space="preserve">  USAC also adjusted and sought to recover </w:t>
      </w:r>
      <w:r w:rsidRPr="00965215">
        <w:rPr>
          <w:rStyle w:val="StyleNumberedparagraphs11ptChar"/>
          <w:kern w:val="0"/>
          <w:szCs w:val="22"/>
        </w:rPr>
        <w:t>RHC</w:t>
      </w:r>
      <w:r w:rsidRPr="00965215">
        <w:rPr>
          <w:rStyle w:val="StyleNumberedparagraphs11ptChar"/>
          <w:kern w:val="0"/>
          <w:szCs w:val="22"/>
        </w:rPr>
        <w:t xml:space="preserve"> Program funds committed or disbursed to </w:t>
      </w:r>
      <w:r w:rsidRPr="00965215">
        <w:rPr>
          <w:rStyle w:val="StyleNumberedparagraphs11ptChar"/>
          <w:kern w:val="0"/>
          <w:szCs w:val="22"/>
        </w:rPr>
        <w:t>UTHSCT</w:t>
      </w:r>
      <w:r w:rsidRPr="00965215">
        <w:rPr>
          <w:rStyle w:val="StyleNumberedparagraphs11ptChar"/>
          <w:kern w:val="0"/>
          <w:szCs w:val="22"/>
        </w:rPr>
        <w:t xml:space="preserve"> for its FY 2012-2015 funding requests.</w:t>
      </w:r>
      <w:r>
        <w:rPr>
          <w:rStyle w:val="FootnoteReference"/>
          <w:kern w:val="0"/>
          <w:sz w:val="22"/>
          <w:szCs w:val="22"/>
        </w:rPr>
        <w:footnoteReference w:id="6"/>
      </w:r>
      <w:r w:rsidRPr="00965215">
        <w:rPr>
          <w:rStyle w:val="StyleNumberedparagraphs11ptChar"/>
          <w:kern w:val="0"/>
          <w:szCs w:val="22"/>
        </w:rPr>
        <w:t xml:space="preserve">  USAC initiated recovery actions against Windstream after determining that Windstream was aware of the business relationship that created the impermissible conflict of interest.</w:t>
      </w:r>
      <w:r>
        <w:rPr>
          <w:rStyle w:val="FootnoteReference"/>
          <w:kern w:val="0"/>
          <w:sz w:val="22"/>
          <w:szCs w:val="22"/>
        </w:rPr>
        <w:footnoteReference w:id="7"/>
      </w:r>
      <w:r w:rsidRPr="00965215">
        <w:rPr>
          <w:rStyle w:val="StyleNumberedparagraphs11ptChar"/>
          <w:kern w:val="0"/>
          <w:szCs w:val="22"/>
        </w:rPr>
        <w:t xml:space="preserve">  </w:t>
      </w:r>
    </w:p>
    <w:p w:rsidR="00965215" w:rsidRPr="00965215" w:rsidP="00965215" w14:paraId="28337670" w14:textId="77777777">
      <w:pPr>
        <w:pStyle w:val="ParaNum"/>
        <w:rPr>
          <w:rStyle w:val="StyleNumberedparagraphs11ptChar"/>
          <w:szCs w:val="22"/>
        </w:rPr>
      </w:pPr>
      <w:r w:rsidRPr="00965215">
        <w:rPr>
          <w:rStyle w:val="StyleNumberedparagraphs11ptChar"/>
          <w:szCs w:val="22"/>
        </w:rPr>
        <w:t xml:space="preserve">This matter involves a significant conflict of interest, where one individual having simultaneous business relationships with an </w:t>
      </w:r>
      <w:r w:rsidRPr="00965215">
        <w:rPr>
          <w:rStyle w:val="StyleNumberedparagraphs11ptChar"/>
          <w:szCs w:val="22"/>
        </w:rPr>
        <w:t>RHC</w:t>
      </w:r>
      <w:r w:rsidRPr="00965215">
        <w:rPr>
          <w:rStyle w:val="StyleNumberedparagraphs11ptChar"/>
          <w:szCs w:val="22"/>
        </w:rPr>
        <w:t xml:space="preserve"> Program applicant and service provider represented both sides during the applicant’s competitive bidding process, ultimately undermining the integrity of that process.  </w:t>
      </w:r>
      <w:r w:rsidRPr="00965215">
        <w:rPr>
          <w:szCs w:val="22"/>
        </w:rPr>
        <w:t xml:space="preserve">After reviewing the record, we agree with USAC’s determinations and find that Windstream and </w:t>
      </w:r>
      <w:r w:rsidRPr="00965215">
        <w:rPr>
          <w:szCs w:val="22"/>
        </w:rPr>
        <w:t>ABS’s</w:t>
      </w:r>
      <w:r w:rsidRPr="00965215">
        <w:rPr>
          <w:szCs w:val="22"/>
        </w:rPr>
        <w:t xml:space="preserve"> actions compromised the fairness of </w:t>
      </w:r>
      <w:r w:rsidRPr="00965215">
        <w:rPr>
          <w:szCs w:val="22"/>
        </w:rPr>
        <w:t>UTHSCT’s</w:t>
      </w:r>
      <w:r w:rsidRPr="00965215">
        <w:rPr>
          <w:szCs w:val="22"/>
        </w:rPr>
        <w:t xml:space="preserve"> competitive bidding process in violation of </w:t>
      </w:r>
      <w:r w:rsidRPr="00965215">
        <w:rPr>
          <w:szCs w:val="22"/>
        </w:rPr>
        <w:t>RHC</w:t>
      </w:r>
      <w:r w:rsidRPr="00965215">
        <w:rPr>
          <w:szCs w:val="22"/>
        </w:rPr>
        <w:t xml:space="preserve"> Program requirements.</w:t>
      </w:r>
      <w:r w:rsidRPr="00965215">
        <w:rPr>
          <w:rStyle w:val="StyleNumberedparagraphs11ptChar"/>
          <w:szCs w:val="22"/>
        </w:rPr>
        <w:t xml:space="preserve">  We therefore deny Windstream and </w:t>
      </w:r>
      <w:r w:rsidRPr="00965215">
        <w:rPr>
          <w:rStyle w:val="StyleNumberedparagraphs11ptChar"/>
          <w:szCs w:val="22"/>
        </w:rPr>
        <w:t>ABS’s</w:t>
      </w:r>
      <w:r w:rsidRPr="00965215">
        <w:rPr>
          <w:rStyle w:val="StyleNumberedparagraphs11ptChar"/>
          <w:szCs w:val="22"/>
        </w:rPr>
        <w:t xml:space="preserve"> requests for review and </w:t>
      </w:r>
      <w:r w:rsidRPr="00965215">
        <w:rPr>
          <w:szCs w:val="22"/>
        </w:rPr>
        <w:t xml:space="preserve">direct USAC to continue recovery actions against Windstream, the party in this case that was in the best position to prevent the violation of </w:t>
      </w:r>
      <w:r w:rsidRPr="00965215">
        <w:rPr>
          <w:szCs w:val="22"/>
        </w:rPr>
        <w:t>RHC</w:t>
      </w:r>
      <w:r w:rsidRPr="00965215">
        <w:rPr>
          <w:szCs w:val="22"/>
        </w:rPr>
        <w:t xml:space="preserve"> Program requirements.</w:t>
      </w:r>
      <w:r w:rsidRPr="00965215">
        <w:rPr>
          <w:rStyle w:val="FootnoteReference"/>
          <w:sz w:val="22"/>
          <w:szCs w:val="22"/>
        </w:rPr>
        <w:t xml:space="preserve"> </w:t>
      </w:r>
      <w:r w:rsidRPr="00965215">
        <w:rPr>
          <w:szCs w:val="22"/>
        </w:rPr>
        <w:t xml:space="preserve">  For the same reasons, we also deny </w:t>
      </w:r>
      <w:r w:rsidRPr="00965215">
        <w:rPr>
          <w:szCs w:val="22"/>
        </w:rPr>
        <w:t>UTHSCT’s</w:t>
      </w:r>
      <w:r w:rsidRPr="00965215">
        <w:rPr>
          <w:szCs w:val="22"/>
        </w:rPr>
        <w:t xml:space="preserve"> request for a waiver of the Commission’s competitive bidding requirements under the </w:t>
      </w:r>
      <w:r w:rsidRPr="00965215">
        <w:rPr>
          <w:szCs w:val="22"/>
        </w:rPr>
        <w:t>RHC</w:t>
      </w:r>
      <w:r w:rsidRPr="00965215">
        <w:rPr>
          <w:szCs w:val="22"/>
        </w:rPr>
        <w:t xml:space="preserve"> Program.</w:t>
      </w:r>
      <w:r w:rsidRPr="00965215">
        <w:rPr>
          <w:rStyle w:val="StyleNumberedparagraphs11ptChar"/>
          <w:szCs w:val="22"/>
        </w:rPr>
        <w:t xml:space="preserve"> </w:t>
      </w:r>
    </w:p>
    <w:p w:rsidR="00965215" w:rsidRPr="00965215" w:rsidP="00965215" w14:paraId="595371EA" w14:textId="77777777">
      <w:pPr>
        <w:pStyle w:val="Heading1"/>
        <w:rPr>
          <w:rStyle w:val="StyleNumberedparagraphs11ptChar"/>
          <w:rFonts w:ascii="Times New Roman" w:hAnsi="Times New Roman"/>
          <w:szCs w:val="22"/>
        </w:rPr>
      </w:pPr>
      <w:r w:rsidRPr="00965215">
        <w:rPr>
          <w:rStyle w:val="StyleNumberedparagraphs11ptChar"/>
          <w:rFonts w:ascii="Times New Roman" w:hAnsi="Times New Roman"/>
          <w:szCs w:val="22"/>
        </w:rPr>
        <w:t>BACKGROUND</w:t>
      </w:r>
    </w:p>
    <w:p w:rsidR="00965215" w:rsidRPr="00965215" w:rsidP="00965215" w14:paraId="714605EE" w14:textId="77777777">
      <w:pPr>
        <w:pStyle w:val="ParaNum"/>
        <w:rPr>
          <w:szCs w:val="22"/>
        </w:rPr>
      </w:pPr>
      <w:r w:rsidRPr="00965215">
        <w:rPr>
          <w:szCs w:val="22"/>
        </w:rPr>
        <w:t>Under the</w:t>
      </w:r>
      <w:r w:rsidRPr="00965215">
        <w:rPr>
          <w:i/>
          <w:szCs w:val="22"/>
        </w:rPr>
        <w:t xml:space="preserve"> </w:t>
      </w:r>
      <w:r w:rsidRPr="00965215">
        <w:rPr>
          <w:szCs w:val="22"/>
        </w:rPr>
        <w:t>rural health care universal service support mechanism, eligible rural health care providers (</w:t>
      </w:r>
      <w:r w:rsidRPr="00965215">
        <w:rPr>
          <w:szCs w:val="22"/>
        </w:rPr>
        <w:t>HCPs</w:t>
      </w:r>
      <w:r w:rsidRPr="00965215">
        <w:rPr>
          <w:szCs w:val="22"/>
        </w:rPr>
        <w:t xml:space="preserve">) and consortia that include eligible rural </w:t>
      </w:r>
      <w:r w:rsidRPr="00965215">
        <w:rPr>
          <w:szCs w:val="22"/>
        </w:rPr>
        <w:t>HCPs</w:t>
      </w:r>
      <w:r w:rsidRPr="00965215">
        <w:rPr>
          <w:szCs w:val="22"/>
        </w:rPr>
        <w:t xml:space="preserve"> may apply for discounts for telecommunications and broadband services necessary for the provision of health care.</w:t>
      </w:r>
      <w:r>
        <w:rPr>
          <w:rStyle w:val="FootnoteReference"/>
          <w:color w:val="000000"/>
          <w:sz w:val="22"/>
          <w:szCs w:val="22"/>
        </w:rPr>
        <w:footnoteReference w:id="8"/>
      </w:r>
      <w:r w:rsidRPr="00965215">
        <w:rPr>
          <w:szCs w:val="22"/>
        </w:rPr>
        <w:t xml:space="preserve">  Telecom Program applicants must make a bona fide request for eligible services by posting an FCC Form 465 to </w:t>
      </w:r>
      <w:r w:rsidRPr="00965215">
        <w:rPr>
          <w:szCs w:val="22"/>
        </w:rPr>
        <w:t>USAC’s website for telecommunications carriers to review.</w:t>
      </w:r>
      <w:r>
        <w:rPr>
          <w:rStyle w:val="FootnoteReference"/>
          <w:color w:val="000000"/>
          <w:sz w:val="22"/>
          <w:szCs w:val="22"/>
        </w:rPr>
        <w:footnoteReference w:id="9"/>
      </w:r>
      <w:r w:rsidRPr="00965215">
        <w:rPr>
          <w:szCs w:val="22"/>
        </w:rPr>
        <w:t xml:space="preserve">  Applicants must review all bids submitted in response to the FCC Form 465 and wait at least 28 days before entering into a service agreement with the selected service provider.</w:t>
      </w:r>
      <w:r>
        <w:rPr>
          <w:rStyle w:val="FootnoteReference"/>
          <w:sz w:val="22"/>
          <w:szCs w:val="22"/>
        </w:rPr>
        <w:footnoteReference w:id="10"/>
      </w:r>
      <w:r w:rsidRPr="00965215">
        <w:rPr>
          <w:szCs w:val="22"/>
        </w:rPr>
        <w:t xml:space="preserve">  </w:t>
      </w:r>
      <w:r w:rsidRPr="00965215">
        <w:rPr>
          <w:rStyle w:val="documentbody1"/>
          <w:rFonts w:ascii="Times New Roman" w:hAnsi="Times New Roman"/>
          <w:bCs/>
          <w:sz w:val="22"/>
          <w:szCs w:val="22"/>
        </w:rPr>
        <w:t xml:space="preserve">Once </w:t>
      </w:r>
      <w:r w:rsidRPr="00965215">
        <w:rPr>
          <w:rStyle w:val="documentbody1"/>
          <w:rFonts w:ascii="Times New Roman" w:hAnsi="Times New Roman"/>
          <w:sz w:val="22"/>
          <w:szCs w:val="22"/>
        </w:rPr>
        <w:t>the applicant has selected a provider and entered into a service contract, the applicant must submit its request for discounts to USAC by filing an FCC Form 466</w:t>
      </w:r>
      <w:r w:rsidRPr="00965215">
        <w:rPr>
          <w:szCs w:val="22"/>
        </w:rPr>
        <w:t>.</w:t>
      </w:r>
      <w:r>
        <w:rPr>
          <w:rStyle w:val="FootnoteReference"/>
          <w:sz w:val="22"/>
          <w:szCs w:val="22"/>
        </w:rPr>
        <w:footnoteReference w:id="11"/>
      </w:r>
      <w:r w:rsidRPr="00965215">
        <w:rPr>
          <w:szCs w:val="22"/>
        </w:rPr>
        <w:t xml:space="preserve">  T</w:t>
      </w:r>
      <w:r w:rsidRPr="00965215">
        <w:rPr>
          <w:rStyle w:val="documentbody1"/>
          <w:rFonts w:ascii="Times New Roman" w:hAnsi="Times New Roman"/>
          <w:sz w:val="22"/>
          <w:szCs w:val="22"/>
        </w:rPr>
        <w:t>he a</w:t>
      </w:r>
      <w:r w:rsidRPr="00965215">
        <w:rPr>
          <w:szCs w:val="22"/>
        </w:rPr>
        <w:t>pplicant uses the FCC Form 466 to verify the type of services ordered and to certify that the selected service provider is the most cost-effective option.</w:t>
      </w:r>
      <w:r>
        <w:rPr>
          <w:rStyle w:val="FootnoteReference"/>
          <w:sz w:val="22"/>
          <w:szCs w:val="22"/>
        </w:rPr>
        <w:footnoteReference w:id="12"/>
      </w:r>
      <w:r w:rsidRPr="00965215">
        <w:rPr>
          <w:szCs w:val="22"/>
        </w:rPr>
        <w:t xml:space="preserve">  After reviewing the funding requests, USAC issues funding decisions in accordance with the Commission’s rules.</w:t>
      </w:r>
    </w:p>
    <w:p w:rsidR="00965215" w:rsidRPr="00965215" w:rsidP="00965215" w14:paraId="265E7931" w14:textId="77777777">
      <w:pPr>
        <w:pStyle w:val="ParaNum"/>
        <w:rPr>
          <w:szCs w:val="22"/>
        </w:rPr>
      </w:pPr>
      <w:r w:rsidRPr="00965215">
        <w:rPr>
          <w:szCs w:val="22"/>
        </w:rPr>
        <w:t xml:space="preserve"> The Commission has consistently stated that competitive bidding is fundamental to the </w:t>
      </w:r>
      <w:r w:rsidRPr="00965215">
        <w:rPr>
          <w:szCs w:val="22"/>
        </w:rPr>
        <w:t>RHC</w:t>
      </w:r>
      <w:r w:rsidRPr="00965215">
        <w:rPr>
          <w:szCs w:val="22"/>
        </w:rPr>
        <w:t xml:space="preserve"> Program, and that a critical requirement of the competitive bidding process is to ensure that it is conducted in a manner that does not give one bidder an unfair advantage over another bidder.</w:t>
      </w:r>
      <w:r>
        <w:rPr>
          <w:rStyle w:val="FootnoteReference"/>
          <w:sz w:val="22"/>
          <w:szCs w:val="22"/>
        </w:rPr>
        <w:footnoteReference w:id="13"/>
      </w:r>
      <w:r w:rsidRPr="00965215">
        <w:rPr>
          <w:szCs w:val="22"/>
        </w:rPr>
        <w:t xml:space="preserve">  The Commission has further explained that “[t]o preserve the integrity of the competitive bidding process, an applicant’s consultant is subject to the same prohibitions as an applicant itself with regard to the competitive bidding process.”</w:t>
      </w:r>
      <w:r>
        <w:rPr>
          <w:rStyle w:val="FootnoteReference"/>
          <w:sz w:val="22"/>
          <w:szCs w:val="22"/>
        </w:rPr>
        <w:footnoteReference w:id="14"/>
      </w:r>
      <w:r w:rsidRPr="00965215">
        <w:rPr>
          <w:szCs w:val="22"/>
        </w:rPr>
        <w:t xml:space="preserve">  Service providers also have long been on notice that competitive bidding is compromised when they or their representatives place themselves in a position to influence the health care provider’s vendor selection process.</w:t>
      </w:r>
      <w:r>
        <w:rPr>
          <w:rStyle w:val="FootnoteReference"/>
          <w:sz w:val="22"/>
          <w:szCs w:val="22"/>
        </w:rPr>
        <w:footnoteReference w:id="15"/>
      </w:r>
      <w:r w:rsidRPr="00965215">
        <w:rPr>
          <w:szCs w:val="22"/>
        </w:rPr>
        <w:t xml:space="preserve">  Thus, the Commission has made clear that </w:t>
      </w:r>
      <w:r w:rsidRPr="00965215">
        <w:rPr>
          <w:kern w:val="0"/>
          <w:szCs w:val="22"/>
        </w:rPr>
        <w:t xml:space="preserve">competitive bidding must be fair </w:t>
      </w:r>
      <w:r w:rsidRPr="00965215">
        <w:rPr>
          <w:szCs w:val="22"/>
        </w:rPr>
        <w:t xml:space="preserve">and not undermined by improper conduct by the applicant, service provider, or consultant representing either or both parties.  </w:t>
      </w:r>
    </w:p>
    <w:p w:rsidR="00965215" w:rsidRPr="00965215" w:rsidP="00965215" w14:paraId="115C1EDA" w14:textId="77777777">
      <w:pPr>
        <w:pStyle w:val="ParaNum"/>
        <w:widowControl/>
        <w:rPr>
          <w:bCs/>
          <w:szCs w:val="22"/>
        </w:rPr>
      </w:pPr>
      <w:r w:rsidRPr="00965215">
        <w:rPr>
          <w:szCs w:val="22"/>
        </w:rPr>
        <w:t>Windstream is a provider of telecommunications services to residential, small business, and enterprise customers.</w:t>
      </w:r>
      <w:r>
        <w:rPr>
          <w:rStyle w:val="FootnoteReference"/>
          <w:sz w:val="22"/>
          <w:szCs w:val="22"/>
        </w:rPr>
        <w:footnoteReference w:id="16"/>
      </w:r>
      <w:r w:rsidRPr="00965215">
        <w:rPr>
          <w:szCs w:val="22"/>
        </w:rPr>
        <w:t xml:space="preserve">  ABS is a network design and technology distribution company that designs telecommunications solutions for businesses and sets prices using access to more than 100 service providers nationwide.</w:t>
      </w:r>
      <w:r>
        <w:rPr>
          <w:rStyle w:val="FootnoteReference"/>
          <w:sz w:val="22"/>
          <w:szCs w:val="22"/>
        </w:rPr>
        <w:footnoteReference w:id="17"/>
      </w:r>
      <w:r w:rsidRPr="00965215">
        <w:rPr>
          <w:szCs w:val="22"/>
        </w:rPr>
        <w:t xml:space="preserve">  Mr. Gary H. Speck is the managing partner and senior design engineer for ABS and has served as a partner since July 2006.</w:t>
      </w:r>
      <w:r>
        <w:rPr>
          <w:rStyle w:val="FootnoteReference"/>
          <w:sz w:val="22"/>
          <w:szCs w:val="22"/>
        </w:rPr>
        <w:footnoteReference w:id="18"/>
      </w:r>
      <w:r w:rsidRPr="00965215">
        <w:rPr>
          <w:szCs w:val="22"/>
        </w:rPr>
        <w:t xml:space="preserve">  The East Texas Interactive Healthcare Network provides connectivity between medical health care centers and health care education institutions in east Texas, including the Burke Mental Health Clinic (Burke Center), the Andrews Center Behavioral Healthcare System (Andrews Center), and the Trinity Valley Community College Health Science Center (</w:t>
      </w:r>
      <w:r w:rsidRPr="00965215">
        <w:rPr>
          <w:szCs w:val="22"/>
        </w:rPr>
        <w:t>TVCC</w:t>
      </w:r>
      <w:r w:rsidRPr="00965215">
        <w:rPr>
          <w:szCs w:val="22"/>
        </w:rPr>
        <w:t>).</w:t>
      </w:r>
      <w:r>
        <w:rPr>
          <w:rStyle w:val="FootnoteReference"/>
          <w:sz w:val="22"/>
          <w:szCs w:val="22"/>
        </w:rPr>
        <w:footnoteReference w:id="19"/>
      </w:r>
      <w:r w:rsidRPr="00965215">
        <w:rPr>
          <w:szCs w:val="22"/>
        </w:rPr>
        <w:t xml:space="preserve">  </w:t>
      </w:r>
      <w:r w:rsidRPr="00965215">
        <w:rPr>
          <w:szCs w:val="22"/>
        </w:rPr>
        <w:t>UTHSCT</w:t>
      </w:r>
      <w:r w:rsidRPr="00965215">
        <w:rPr>
          <w:szCs w:val="22"/>
        </w:rPr>
        <w:t xml:space="preserve"> serves as the fiscal agent for these health care centers and provides them with facilities and staffing.</w:t>
      </w:r>
      <w:r>
        <w:rPr>
          <w:rStyle w:val="FootnoteReference"/>
          <w:sz w:val="22"/>
          <w:szCs w:val="22"/>
        </w:rPr>
        <w:footnoteReference w:id="20"/>
      </w:r>
      <w:r w:rsidRPr="00965215">
        <w:rPr>
          <w:szCs w:val="22"/>
        </w:rPr>
        <w:t xml:space="preserve">  </w:t>
      </w:r>
    </w:p>
    <w:p w:rsidR="00965215" w:rsidRPr="00965215" w:rsidP="00965215" w14:paraId="161840B4" w14:textId="77777777">
      <w:pPr>
        <w:pStyle w:val="ParaNum"/>
        <w:widowControl/>
        <w:rPr>
          <w:bCs/>
          <w:szCs w:val="22"/>
        </w:rPr>
      </w:pPr>
      <w:r w:rsidRPr="00965215">
        <w:rPr>
          <w:szCs w:val="22"/>
        </w:rPr>
        <w:t xml:space="preserve">In early 2011, </w:t>
      </w:r>
      <w:r w:rsidRPr="00965215">
        <w:rPr>
          <w:szCs w:val="22"/>
        </w:rPr>
        <w:t>UTHSCT</w:t>
      </w:r>
      <w:r w:rsidRPr="00965215">
        <w:rPr>
          <w:szCs w:val="22"/>
        </w:rPr>
        <w:t xml:space="preserve"> engaged ABS as a consultant to assist </w:t>
      </w:r>
      <w:r w:rsidRPr="00965215">
        <w:rPr>
          <w:szCs w:val="22"/>
        </w:rPr>
        <w:t>UTHSCT</w:t>
      </w:r>
      <w:r w:rsidRPr="00965215">
        <w:rPr>
          <w:szCs w:val="22"/>
        </w:rPr>
        <w:t xml:space="preserve"> with obtaining </w:t>
      </w:r>
      <w:r w:rsidRPr="00965215">
        <w:rPr>
          <w:szCs w:val="22"/>
        </w:rPr>
        <w:t>RHC</w:t>
      </w:r>
      <w:r w:rsidRPr="00965215">
        <w:rPr>
          <w:szCs w:val="22"/>
        </w:rPr>
        <w:t xml:space="preserve"> Program support for a procurement.</w:t>
      </w:r>
      <w:r>
        <w:rPr>
          <w:rStyle w:val="FootnoteReference"/>
          <w:sz w:val="22"/>
          <w:szCs w:val="22"/>
        </w:rPr>
        <w:footnoteReference w:id="21"/>
      </w:r>
      <w:r w:rsidRPr="00965215">
        <w:rPr>
          <w:szCs w:val="22"/>
        </w:rPr>
        <w:t xml:space="preserve">  ABS was responsible for managing a procurement that would supply telecommunications services to the Burke Center, Andrews Center, and </w:t>
      </w:r>
      <w:r w:rsidRPr="00965215">
        <w:rPr>
          <w:szCs w:val="22"/>
        </w:rPr>
        <w:t>TVCC</w:t>
      </w:r>
      <w:r w:rsidRPr="00965215">
        <w:rPr>
          <w:szCs w:val="22"/>
        </w:rPr>
        <w:t>.</w:t>
      </w:r>
      <w:r>
        <w:rPr>
          <w:rStyle w:val="FootnoteReference"/>
          <w:sz w:val="22"/>
          <w:szCs w:val="22"/>
        </w:rPr>
        <w:footnoteReference w:id="22"/>
      </w:r>
      <w:r w:rsidRPr="00965215">
        <w:rPr>
          <w:szCs w:val="22"/>
        </w:rPr>
        <w:t xml:space="preserve">  Specifically, ABS was in charge of properly preparing and filing all forms necessary to obtain Telecom Program funding for each of these centers and assisting them with their bid evaluation processes.</w:t>
      </w:r>
      <w:r>
        <w:rPr>
          <w:rStyle w:val="FootnoteReference"/>
          <w:sz w:val="22"/>
          <w:szCs w:val="22"/>
        </w:rPr>
        <w:footnoteReference w:id="23"/>
      </w:r>
      <w:r w:rsidRPr="00965215">
        <w:rPr>
          <w:szCs w:val="22"/>
        </w:rPr>
        <w:t xml:space="preserve">  Mr. Speck served as the contact person for each of the centers’ FCC Forms 465 that collectively are the subject of this proceeding.</w:t>
      </w:r>
      <w:r>
        <w:rPr>
          <w:rStyle w:val="FootnoteReference"/>
          <w:sz w:val="22"/>
          <w:szCs w:val="22"/>
        </w:rPr>
        <w:footnoteReference w:id="24"/>
      </w:r>
      <w:r w:rsidRPr="00965215">
        <w:rPr>
          <w:szCs w:val="22"/>
        </w:rPr>
        <w:t xml:space="preserve">  </w:t>
      </w:r>
    </w:p>
    <w:p w:rsidR="00965215" w:rsidRPr="00965215" w:rsidP="00965215" w14:paraId="3B76F303" w14:textId="77777777">
      <w:pPr>
        <w:pStyle w:val="ParaNum"/>
        <w:widowControl/>
        <w:rPr>
          <w:bCs/>
          <w:szCs w:val="22"/>
        </w:rPr>
      </w:pPr>
      <w:r w:rsidRPr="00965215">
        <w:rPr>
          <w:szCs w:val="22"/>
        </w:rPr>
        <w:t>On March 15, 2011, ABS entered into a “channel partner” (i.e., dealer) agreement with Windstream and its affiliates under which ABS would serve as Windstream’s non-exclusive representative to solicit orders from new business customers within Windstream’s service area.</w:t>
      </w:r>
      <w:r>
        <w:rPr>
          <w:rStyle w:val="FootnoteReference"/>
          <w:sz w:val="22"/>
          <w:szCs w:val="22"/>
        </w:rPr>
        <w:footnoteReference w:id="25"/>
      </w:r>
      <w:r w:rsidRPr="00965215">
        <w:rPr>
          <w:szCs w:val="22"/>
        </w:rPr>
        <w:t xml:space="preserve">  The agreement and any services provided to business customers solicited by ABS were to be governed by Windstream’s tariffs and price lists on file with federal and state regulatory agencies.</w:t>
      </w:r>
      <w:r>
        <w:rPr>
          <w:rStyle w:val="FootnoteReference"/>
          <w:sz w:val="22"/>
          <w:szCs w:val="22"/>
        </w:rPr>
        <w:footnoteReference w:id="26"/>
      </w:r>
      <w:r w:rsidRPr="00965215">
        <w:rPr>
          <w:szCs w:val="22"/>
        </w:rPr>
        <w:t xml:space="preserve">  Windstream compensated ABS in the amount of 20% of monthly recurring revenue from the contracts attributable to ABS.</w:t>
      </w:r>
      <w:r>
        <w:rPr>
          <w:rStyle w:val="FootnoteReference"/>
          <w:sz w:val="22"/>
          <w:szCs w:val="22"/>
        </w:rPr>
        <w:footnoteReference w:id="27"/>
      </w:r>
      <w:r w:rsidRPr="00965215">
        <w:rPr>
          <w:szCs w:val="22"/>
        </w:rPr>
        <w:t xml:space="preserve">  The agreement remained in effect until April 19, 2016, when it was terminated by Windstream after Windstream determined that Mr. Speck was in breach of the channel partner agreement due to his dual role as </w:t>
      </w:r>
      <w:r w:rsidRPr="00965215">
        <w:rPr>
          <w:szCs w:val="22"/>
        </w:rPr>
        <w:t>UTHSCT’s</w:t>
      </w:r>
      <w:r w:rsidRPr="00965215">
        <w:rPr>
          <w:szCs w:val="22"/>
        </w:rPr>
        <w:t xml:space="preserve"> consultant and Windstream’s channel partner.</w:t>
      </w:r>
      <w:r>
        <w:rPr>
          <w:rStyle w:val="FootnoteReference"/>
          <w:sz w:val="22"/>
          <w:szCs w:val="22"/>
        </w:rPr>
        <w:footnoteReference w:id="28"/>
      </w:r>
      <w:r w:rsidRPr="00965215">
        <w:rPr>
          <w:szCs w:val="22"/>
        </w:rPr>
        <w:t xml:space="preserve">  </w:t>
      </w:r>
      <w:r w:rsidRPr="00965215">
        <w:rPr>
          <w:bCs/>
          <w:szCs w:val="22"/>
        </w:rPr>
        <w:t>UTHSCT</w:t>
      </w:r>
      <w:r w:rsidRPr="00965215">
        <w:rPr>
          <w:bCs/>
          <w:szCs w:val="22"/>
        </w:rPr>
        <w:t xml:space="preserve"> also terminated its relationship with ABS after learning of Mr. Speck’s dual role.</w:t>
      </w:r>
      <w:r>
        <w:rPr>
          <w:rStyle w:val="FootnoteReference"/>
          <w:bCs/>
          <w:sz w:val="22"/>
          <w:szCs w:val="22"/>
        </w:rPr>
        <w:footnoteReference w:id="29"/>
      </w:r>
      <w:r w:rsidRPr="00965215">
        <w:rPr>
          <w:szCs w:val="22"/>
        </w:rPr>
        <w:t xml:space="preserve">  </w:t>
      </w:r>
    </w:p>
    <w:p w:rsidR="00965215" w:rsidRPr="00965215" w:rsidP="00965215" w14:paraId="5D5587B7" w14:textId="77777777">
      <w:pPr>
        <w:pStyle w:val="ParaNum"/>
        <w:widowControl/>
        <w:rPr>
          <w:bCs/>
          <w:szCs w:val="22"/>
        </w:rPr>
      </w:pPr>
      <w:r w:rsidRPr="00965215">
        <w:rPr>
          <w:szCs w:val="22"/>
        </w:rPr>
        <w:t xml:space="preserve">Between April 20, 2012, and June 5, 2015, ABS submitted </w:t>
      </w:r>
      <w:r w:rsidRPr="00965215">
        <w:rPr>
          <w:szCs w:val="22"/>
        </w:rPr>
        <w:t>UTHSCT’s</w:t>
      </w:r>
      <w:r w:rsidRPr="00965215">
        <w:rPr>
          <w:szCs w:val="22"/>
        </w:rPr>
        <w:t xml:space="preserve"> FCC Forms 465 soliciting bids for services able to stream media and provide internet access, telemedicine, and link facilities.</w:t>
      </w:r>
      <w:r>
        <w:rPr>
          <w:rStyle w:val="FootnoteReference"/>
          <w:sz w:val="22"/>
          <w:szCs w:val="22"/>
        </w:rPr>
        <w:footnoteReference w:id="30"/>
      </w:r>
      <w:r w:rsidRPr="00965215">
        <w:rPr>
          <w:szCs w:val="22"/>
        </w:rPr>
        <w:t xml:space="preserve">  Each of these forms identified Mr. Speck as the named contact person and “ABS Telecom LLC” as Mr. Speck’s employer.</w:t>
      </w:r>
      <w:r>
        <w:rPr>
          <w:rStyle w:val="FootnoteReference"/>
          <w:sz w:val="22"/>
          <w:szCs w:val="22"/>
        </w:rPr>
        <w:footnoteReference w:id="31"/>
      </w:r>
      <w:r w:rsidRPr="00965215">
        <w:rPr>
          <w:szCs w:val="22"/>
        </w:rPr>
        <w:t xml:space="preserve">  Mr. Speck managed the procurement, interfaced with all prospective bidders, and provided them with bid sheets for the desired services during the competitive bidding period.</w:t>
      </w:r>
      <w:r>
        <w:rPr>
          <w:rStyle w:val="FootnoteReference"/>
          <w:sz w:val="22"/>
          <w:szCs w:val="22"/>
        </w:rPr>
        <w:footnoteReference w:id="32"/>
      </w:r>
      <w:r w:rsidRPr="00965215">
        <w:rPr>
          <w:szCs w:val="22"/>
        </w:rPr>
        <w:t xml:space="preserve">  Although multiple vendors requested additional information from </w:t>
      </w:r>
      <w:r w:rsidRPr="00965215">
        <w:rPr>
          <w:szCs w:val="22"/>
        </w:rPr>
        <w:t>UTHSCT</w:t>
      </w:r>
      <w:r w:rsidRPr="00965215">
        <w:rPr>
          <w:szCs w:val="22"/>
        </w:rPr>
        <w:t xml:space="preserve"> about the various projects, Windstream was the only vendor to submit a bid for the sites in question.</w:t>
      </w:r>
      <w:bookmarkStart w:id="3" w:name="_Hlk525128013"/>
      <w:r>
        <w:rPr>
          <w:rStyle w:val="FootnoteReference"/>
          <w:sz w:val="22"/>
          <w:szCs w:val="22"/>
        </w:rPr>
        <w:footnoteReference w:id="33"/>
      </w:r>
      <w:bookmarkEnd w:id="3"/>
      <w:r w:rsidRPr="00965215">
        <w:rPr>
          <w:szCs w:val="22"/>
        </w:rPr>
        <w:t xml:space="preserve">  Since Windstream was the only responsive bidder, </w:t>
      </w:r>
      <w:r w:rsidRPr="00965215">
        <w:rPr>
          <w:szCs w:val="22"/>
        </w:rPr>
        <w:t>UTHSCT</w:t>
      </w:r>
      <w:r w:rsidRPr="00965215">
        <w:rPr>
          <w:szCs w:val="22"/>
        </w:rPr>
        <w:t xml:space="preserve"> selected it as the service provider for all </w:t>
      </w:r>
      <w:r w:rsidRPr="00965215">
        <w:rPr>
          <w:szCs w:val="22"/>
        </w:rPr>
        <w:t>UTHSCT</w:t>
      </w:r>
      <w:r w:rsidRPr="00965215">
        <w:rPr>
          <w:szCs w:val="22"/>
        </w:rPr>
        <w:t xml:space="preserve"> sites.</w:t>
      </w:r>
      <w:r>
        <w:rPr>
          <w:rStyle w:val="FootnoteReference"/>
          <w:sz w:val="22"/>
          <w:szCs w:val="22"/>
        </w:rPr>
        <w:footnoteReference w:id="34"/>
      </w:r>
      <w:r w:rsidRPr="00965215">
        <w:rPr>
          <w:szCs w:val="22"/>
        </w:rPr>
        <w:t xml:space="preserve">  </w:t>
      </w:r>
    </w:p>
    <w:p w:rsidR="00965215" w:rsidRPr="00965215" w:rsidP="00965215" w14:paraId="35445837" w14:textId="77777777">
      <w:pPr>
        <w:pStyle w:val="ParaNum"/>
        <w:widowControl/>
        <w:rPr>
          <w:bCs/>
          <w:szCs w:val="22"/>
        </w:rPr>
      </w:pPr>
      <w:r w:rsidRPr="00965215">
        <w:rPr>
          <w:szCs w:val="22"/>
        </w:rPr>
        <w:t xml:space="preserve">On March 13, 2017, USAC denied </w:t>
      </w:r>
      <w:r w:rsidRPr="00965215">
        <w:rPr>
          <w:szCs w:val="22"/>
        </w:rPr>
        <w:t>UTHSCT’s</w:t>
      </w:r>
      <w:r w:rsidRPr="00965215">
        <w:rPr>
          <w:szCs w:val="22"/>
        </w:rPr>
        <w:t xml:space="preserve"> FY 2012-16 funding requests after determining that </w:t>
      </w:r>
      <w:r w:rsidRPr="00965215">
        <w:rPr>
          <w:szCs w:val="22"/>
        </w:rPr>
        <w:t>UTHSCT’s</w:t>
      </w:r>
      <w:r w:rsidRPr="00965215">
        <w:rPr>
          <w:szCs w:val="22"/>
        </w:rPr>
        <w:t xml:space="preserve"> selection of Windstream as the service provider was not the result of a fair and open competitive bidding process.</w:t>
      </w:r>
      <w:r>
        <w:rPr>
          <w:rStyle w:val="FootnoteReference"/>
          <w:sz w:val="22"/>
          <w:szCs w:val="22"/>
        </w:rPr>
        <w:footnoteReference w:id="35"/>
      </w:r>
      <w:r w:rsidRPr="00965215">
        <w:rPr>
          <w:szCs w:val="22"/>
        </w:rPr>
        <w:t xml:space="preserve">  USAC concluded that the relationship between Windstream and Mr. Speck created a conflict of interest that undermined the competitive bidding process for the </w:t>
      </w:r>
      <w:r w:rsidRPr="00965215">
        <w:rPr>
          <w:szCs w:val="22"/>
        </w:rPr>
        <w:t>FRNs</w:t>
      </w:r>
      <w:r w:rsidRPr="00965215">
        <w:rPr>
          <w:szCs w:val="22"/>
        </w:rPr>
        <w:t xml:space="preserve"> at issue.</w:t>
      </w:r>
      <w:r>
        <w:rPr>
          <w:szCs w:val="22"/>
          <w:vertAlign w:val="superscript"/>
        </w:rPr>
        <w:footnoteReference w:id="36"/>
      </w:r>
      <w:r w:rsidRPr="00965215">
        <w:rPr>
          <w:szCs w:val="22"/>
        </w:rPr>
        <w:t xml:space="preserve">  USAC also determined that ABS had a financial interest in selecting Windstream as the winning bidder since it received a sales commission from Windstream for identifying customers, and that this financial arrangement further tainted the competitive bidding process for the subject </w:t>
      </w:r>
      <w:r w:rsidRPr="00965215">
        <w:rPr>
          <w:szCs w:val="22"/>
        </w:rPr>
        <w:t>FRNs</w:t>
      </w:r>
      <w:r w:rsidRPr="00965215">
        <w:rPr>
          <w:szCs w:val="22"/>
        </w:rPr>
        <w:t>.</w:t>
      </w:r>
      <w:r>
        <w:rPr>
          <w:rStyle w:val="FootnoteReference"/>
          <w:sz w:val="22"/>
          <w:szCs w:val="22"/>
        </w:rPr>
        <w:footnoteReference w:id="37"/>
      </w:r>
      <w:r w:rsidRPr="00965215">
        <w:rPr>
          <w:szCs w:val="22"/>
        </w:rPr>
        <w:t xml:space="preserve">  Because the selection of Windstream was not the result of a fair and open competitive bidding process, USAC deemed the underlying FCC Forms 465 defective and therefore denied all funding requests arising from these forms.</w:t>
      </w:r>
      <w:r>
        <w:rPr>
          <w:rStyle w:val="FootnoteReference"/>
          <w:sz w:val="22"/>
          <w:szCs w:val="22"/>
        </w:rPr>
        <w:footnoteReference w:id="38"/>
      </w:r>
      <w:r w:rsidRPr="00965215">
        <w:rPr>
          <w:szCs w:val="22"/>
        </w:rPr>
        <w:t xml:space="preserve">  To the extent USAC had previously disbursed funding for </w:t>
      </w:r>
      <w:r w:rsidRPr="00965215">
        <w:rPr>
          <w:szCs w:val="22"/>
        </w:rPr>
        <w:t>FRNs</w:t>
      </w:r>
      <w:r w:rsidRPr="00965215">
        <w:rPr>
          <w:szCs w:val="22"/>
        </w:rPr>
        <w:t xml:space="preserve"> arising from these defective FCC Forms 465, USAC separately initiated recovery of these funds.</w:t>
      </w:r>
      <w:r>
        <w:rPr>
          <w:rStyle w:val="FootnoteReference"/>
          <w:sz w:val="22"/>
          <w:szCs w:val="22"/>
        </w:rPr>
        <w:footnoteReference w:id="39"/>
      </w:r>
      <w:r w:rsidRPr="00965215">
        <w:rPr>
          <w:szCs w:val="22"/>
        </w:rPr>
        <w:t xml:space="preserve">  </w:t>
      </w:r>
    </w:p>
    <w:p w:rsidR="00965215" w:rsidRPr="00965215" w:rsidP="00965215" w14:paraId="19F8FC91" w14:textId="77777777">
      <w:pPr>
        <w:pStyle w:val="ParaNum"/>
        <w:widowControl/>
        <w:rPr>
          <w:bCs/>
          <w:szCs w:val="22"/>
        </w:rPr>
      </w:pPr>
      <w:r w:rsidRPr="00965215">
        <w:rPr>
          <w:szCs w:val="22"/>
        </w:rPr>
        <w:t>On May 11 and December 19, 2017, Windstream filed appeals of USAC’s decisions, acknowledging that it had a business relationship with Mr. Speck arising from a channel partner agreement executed on March 15, 2011, under which ABS served as its sales agent by identifying business opportunities on its behalf.</w:t>
      </w:r>
      <w:r>
        <w:rPr>
          <w:rStyle w:val="FootnoteReference"/>
          <w:sz w:val="22"/>
          <w:szCs w:val="22"/>
        </w:rPr>
        <w:footnoteReference w:id="40"/>
      </w:r>
      <w:r w:rsidRPr="00965215">
        <w:rPr>
          <w:szCs w:val="22"/>
        </w:rPr>
        <w:t xml:space="preserve">  Notwithstanding this agreement, Windstream argued that it was not responsible for any conflict of interest involving the procurements at issue and that USAC should direct recovery action towards ABS because Mr. Speck and ABS were the only parties that could have improperly profited from the commission arrangement with Windstream.</w:t>
      </w:r>
      <w:r>
        <w:rPr>
          <w:rStyle w:val="FootnoteReference"/>
          <w:sz w:val="22"/>
          <w:szCs w:val="22"/>
        </w:rPr>
        <w:footnoteReference w:id="41"/>
      </w:r>
      <w:r w:rsidRPr="00965215">
        <w:rPr>
          <w:szCs w:val="22"/>
        </w:rPr>
        <w:t xml:space="preserve">  Windstream also argued that USAC should reverse its decision to deny funding to Windstream because the current Telecom Program rules do not contain any fair and open competitive bidding requirements, which USAC contends were violated.</w:t>
      </w:r>
      <w:r>
        <w:rPr>
          <w:rStyle w:val="FootnoteReference"/>
          <w:sz w:val="22"/>
          <w:szCs w:val="22"/>
        </w:rPr>
        <w:footnoteReference w:id="42"/>
      </w:r>
      <w:r w:rsidRPr="00965215">
        <w:rPr>
          <w:szCs w:val="22"/>
        </w:rPr>
        <w:t xml:space="preserve">  Finally, Windstream argued that constitutional and equitable considerations mitigate against depriving Windstream of Telecom Program funding.</w:t>
      </w:r>
      <w:r>
        <w:rPr>
          <w:rStyle w:val="FootnoteReference"/>
          <w:sz w:val="22"/>
          <w:szCs w:val="22"/>
        </w:rPr>
        <w:footnoteReference w:id="43"/>
      </w:r>
      <w:r w:rsidRPr="00965215">
        <w:rPr>
          <w:szCs w:val="22"/>
        </w:rPr>
        <w:t xml:space="preserve">  </w:t>
      </w:r>
    </w:p>
    <w:p w:rsidR="00965215" w:rsidRPr="00965215" w:rsidP="00965215" w14:paraId="7FFDFE32" w14:textId="77777777">
      <w:pPr>
        <w:pStyle w:val="ParaNum"/>
        <w:widowControl/>
        <w:rPr>
          <w:bCs/>
          <w:szCs w:val="22"/>
        </w:rPr>
      </w:pPr>
      <w:r w:rsidRPr="00965215">
        <w:rPr>
          <w:szCs w:val="22"/>
        </w:rPr>
        <w:t>ABS filed its own appeal of USAC’s decisions on May 12, 2017.</w:t>
      </w:r>
      <w:r>
        <w:rPr>
          <w:rStyle w:val="FootnoteReference"/>
          <w:sz w:val="22"/>
          <w:szCs w:val="22"/>
        </w:rPr>
        <w:footnoteReference w:id="44"/>
      </w:r>
      <w:r w:rsidRPr="00965215">
        <w:rPr>
          <w:szCs w:val="22"/>
        </w:rPr>
        <w:t xml:space="preserve">  In its appeal, ABS also acknowledged that it had a business relationship with Windstream arising from a non-exclusive agreement under which ABS would receive commissions for soliciting new business projects on its behalf.</w:t>
      </w:r>
      <w:r>
        <w:rPr>
          <w:rStyle w:val="FootnoteReference"/>
          <w:sz w:val="22"/>
          <w:szCs w:val="22"/>
        </w:rPr>
        <w:footnoteReference w:id="45"/>
      </w:r>
      <w:r w:rsidRPr="00965215">
        <w:rPr>
          <w:szCs w:val="22"/>
        </w:rPr>
        <w:t xml:space="preserve">  ABS argued that </w:t>
      </w:r>
      <w:r w:rsidRPr="00965215">
        <w:rPr>
          <w:szCs w:val="22"/>
        </w:rPr>
        <w:t>UTHSCT</w:t>
      </w:r>
      <w:r w:rsidRPr="00965215">
        <w:rPr>
          <w:szCs w:val="22"/>
        </w:rPr>
        <w:t xml:space="preserve"> and ABS were only subject to the competitive bidding and certification requirements of section 54.603 of the Commission’s rules, which do not require the competitive bidding process to be fair and open, and that neither </w:t>
      </w:r>
      <w:r w:rsidRPr="00965215">
        <w:rPr>
          <w:szCs w:val="22"/>
        </w:rPr>
        <w:t>UTHSCT</w:t>
      </w:r>
      <w:r w:rsidRPr="00965215">
        <w:rPr>
          <w:szCs w:val="22"/>
        </w:rPr>
        <w:t xml:space="preserve"> nor ABS violated any provision of section 54.603.</w:t>
      </w:r>
      <w:r>
        <w:rPr>
          <w:rStyle w:val="FootnoteReference"/>
          <w:sz w:val="22"/>
          <w:szCs w:val="22"/>
        </w:rPr>
        <w:footnoteReference w:id="46"/>
      </w:r>
      <w:r w:rsidRPr="00965215">
        <w:rPr>
          <w:szCs w:val="22"/>
        </w:rPr>
        <w:t xml:space="preserve">  ABS then asserted that, regardless of the foregoing, </w:t>
      </w:r>
      <w:r w:rsidRPr="00965215">
        <w:rPr>
          <w:szCs w:val="22"/>
        </w:rPr>
        <w:t>UTHSCT’s</w:t>
      </w:r>
      <w:r w:rsidRPr="00965215">
        <w:rPr>
          <w:szCs w:val="22"/>
        </w:rPr>
        <w:t xml:space="preserve"> competitive bidding process was in fact fair and open.</w:t>
      </w:r>
      <w:r>
        <w:rPr>
          <w:rStyle w:val="FootnoteReference"/>
          <w:sz w:val="22"/>
          <w:szCs w:val="22"/>
        </w:rPr>
        <w:footnoteReference w:id="47"/>
      </w:r>
      <w:r w:rsidRPr="00965215">
        <w:rPr>
          <w:szCs w:val="22"/>
        </w:rPr>
        <w:t xml:space="preserve">  Finally, ABS argued that USAC improperly withheld certain documents from ABS relating to USAC’s denial of funding to </w:t>
      </w:r>
      <w:r w:rsidRPr="00965215">
        <w:rPr>
          <w:szCs w:val="22"/>
        </w:rPr>
        <w:t>UTHSCT</w:t>
      </w:r>
      <w:r w:rsidRPr="00965215">
        <w:rPr>
          <w:szCs w:val="22"/>
        </w:rPr>
        <w:t>.</w:t>
      </w:r>
      <w:r>
        <w:rPr>
          <w:rStyle w:val="FootnoteReference"/>
          <w:sz w:val="22"/>
          <w:szCs w:val="22"/>
        </w:rPr>
        <w:footnoteReference w:id="48"/>
      </w:r>
      <w:r w:rsidRPr="00965215">
        <w:rPr>
          <w:szCs w:val="22"/>
        </w:rPr>
        <w:t xml:space="preserve">  </w:t>
      </w:r>
    </w:p>
    <w:p w:rsidR="00965215" w:rsidRPr="00965215" w:rsidP="00965215" w14:paraId="4E0DB4DB" w14:textId="77777777">
      <w:pPr>
        <w:pStyle w:val="ParaNum"/>
        <w:widowControl/>
        <w:rPr>
          <w:bCs/>
          <w:szCs w:val="22"/>
        </w:rPr>
      </w:pPr>
      <w:r w:rsidRPr="00965215">
        <w:rPr>
          <w:szCs w:val="22"/>
        </w:rPr>
        <w:t xml:space="preserve">In separate letters issued on June 29, 2018, USAC denied Windstream and </w:t>
      </w:r>
      <w:r w:rsidRPr="00965215">
        <w:rPr>
          <w:szCs w:val="22"/>
        </w:rPr>
        <w:t>ABS’s</w:t>
      </w:r>
      <w:r w:rsidRPr="00965215">
        <w:rPr>
          <w:szCs w:val="22"/>
        </w:rPr>
        <w:t xml:space="preserve"> appeals.</w:t>
      </w:r>
      <w:r>
        <w:rPr>
          <w:rStyle w:val="FootnoteReference"/>
          <w:sz w:val="22"/>
          <w:szCs w:val="22"/>
        </w:rPr>
        <w:footnoteReference w:id="49"/>
      </w:r>
      <w:r w:rsidRPr="00965215">
        <w:rPr>
          <w:szCs w:val="22"/>
        </w:rPr>
        <w:t xml:space="preserve">  USAC rejected Windstream’s position that funding should not be denied because Windstream was not responsible for any conflict of interest between itself and Mr. Speck, explaining that denial was required because the support requested was for services procured through a competitive bidding process that was not fair and open.</w:t>
      </w:r>
      <w:r>
        <w:rPr>
          <w:rStyle w:val="FootnoteReference"/>
          <w:sz w:val="22"/>
          <w:szCs w:val="22"/>
        </w:rPr>
        <w:footnoteReference w:id="50"/>
      </w:r>
      <w:r w:rsidRPr="00965215">
        <w:rPr>
          <w:szCs w:val="22"/>
        </w:rPr>
        <w:t xml:space="preserve">  USAC also rejected the arguments of both parties that, because the fair and open standard is not codified in the Telecom Program rules, they are not bound by that standard.</w:t>
      </w:r>
      <w:r>
        <w:rPr>
          <w:rStyle w:val="FootnoteReference"/>
          <w:sz w:val="22"/>
          <w:szCs w:val="22"/>
        </w:rPr>
        <w:footnoteReference w:id="51"/>
      </w:r>
      <w:r w:rsidRPr="00965215">
        <w:rPr>
          <w:szCs w:val="22"/>
        </w:rPr>
        <w:t xml:space="preserve">  USAC found that the Commission has consistently held that the competitive bidding process must be fair and open notwithstanding the fact that the standard has not be codified in the existing Telecom Program rules.</w:t>
      </w:r>
      <w:r>
        <w:rPr>
          <w:rStyle w:val="FootnoteReference"/>
          <w:sz w:val="22"/>
          <w:szCs w:val="22"/>
        </w:rPr>
        <w:footnoteReference w:id="52"/>
      </w:r>
      <w:r w:rsidRPr="00965215">
        <w:rPr>
          <w:szCs w:val="22"/>
        </w:rPr>
        <w:t xml:space="preserve">  USAC was also not persuaded by </w:t>
      </w:r>
      <w:r w:rsidRPr="00965215">
        <w:rPr>
          <w:szCs w:val="22"/>
        </w:rPr>
        <w:t>ABS’s</w:t>
      </w:r>
      <w:r w:rsidRPr="00965215">
        <w:rPr>
          <w:szCs w:val="22"/>
        </w:rPr>
        <w:t xml:space="preserve"> argument that even if the fair and open standard did apply to the instant procurements, </w:t>
      </w:r>
      <w:r w:rsidRPr="00965215">
        <w:rPr>
          <w:szCs w:val="22"/>
        </w:rPr>
        <w:t>UTHSCT</w:t>
      </w:r>
      <w:r w:rsidRPr="00965215">
        <w:rPr>
          <w:szCs w:val="22"/>
        </w:rPr>
        <w:t xml:space="preserve"> conducted a fair and open bidding process because all potential bidders were treated in the same manner and had the same opportunity to bid.</w:t>
      </w:r>
      <w:r>
        <w:rPr>
          <w:rStyle w:val="FootnoteReference"/>
          <w:sz w:val="22"/>
          <w:szCs w:val="22"/>
        </w:rPr>
        <w:footnoteReference w:id="53"/>
      </w:r>
      <w:r w:rsidRPr="00965215">
        <w:rPr>
          <w:szCs w:val="22"/>
        </w:rPr>
        <w:t xml:space="preserve">  USAC found that the relationship between Windstream and Mr. Speck created a conflict of interest because the relationship gave the contact person the ability to influence an </w:t>
      </w:r>
      <w:r w:rsidRPr="00965215">
        <w:rPr>
          <w:szCs w:val="22"/>
        </w:rPr>
        <w:t>HCP’s</w:t>
      </w:r>
      <w:r w:rsidRPr="00965215">
        <w:rPr>
          <w:szCs w:val="22"/>
        </w:rPr>
        <w:t xml:space="preserve"> competitive bidding process, which undermined the competitive bidding process for all </w:t>
      </w:r>
      <w:r w:rsidRPr="00965215">
        <w:rPr>
          <w:szCs w:val="22"/>
        </w:rPr>
        <w:t>FRNs</w:t>
      </w:r>
      <w:r w:rsidRPr="00965215">
        <w:rPr>
          <w:szCs w:val="22"/>
        </w:rPr>
        <w:t xml:space="preserve"> at issue.</w:t>
      </w:r>
      <w:r>
        <w:rPr>
          <w:rStyle w:val="FootnoteReference"/>
          <w:sz w:val="22"/>
          <w:szCs w:val="22"/>
        </w:rPr>
        <w:footnoteReference w:id="54"/>
      </w:r>
      <w:r w:rsidRPr="00965215">
        <w:rPr>
          <w:szCs w:val="22"/>
        </w:rPr>
        <w:t xml:space="preserve">  USAC also determined that Windstream was in fact aware of Mr. Speck’s dual role as its channel partner and </w:t>
      </w:r>
      <w:r w:rsidRPr="00965215">
        <w:rPr>
          <w:szCs w:val="22"/>
        </w:rPr>
        <w:t>UTHSCT’s</w:t>
      </w:r>
      <w:r w:rsidRPr="00965215">
        <w:rPr>
          <w:szCs w:val="22"/>
        </w:rPr>
        <w:t xml:space="preserve"> consultant, and despite this knowledge, submitted bids in response to FCC Forms 465 that listed Mr. Speck as the contact person for </w:t>
      </w:r>
      <w:r w:rsidRPr="00965215">
        <w:rPr>
          <w:szCs w:val="22"/>
        </w:rPr>
        <w:t>UTHSCT</w:t>
      </w:r>
      <w:r w:rsidRPr="00965215">
        <w:rPr>
          <w:szCs w:val="22"/>
        </w:rPr>
        <w:t>.</w:t>
      </w:r>
      <w:r>
        <w:rPr>
          <w:rStyle w:val="FootnoteReference"/>
          <w:sz w:val="22"/>
          <w:szCs w:val="22"/>
        </w:rPr>
        <w:footnoteReference w:id="55"/>
      </w:r>
      <w:r w:rsidRPr="00965215">
        <w:rPr>
          <w:szCs w:val="22"/>
        </w:rPr>
        <w:t xml:space="preserve">  USAC therefore directed its recovery actions against Windstream, finding that Windstream was the party responsible for violating the Commission’s competitive bidding requirements.</w:t>
      </w:r>
      <w:r>
        <w:rPr>
          <w:rStyle w:val="FootnoteReference"/>
          <w:sz w:val="22"/>
          <w:szCs w:val="22"/>
        </w:rPr>
        <w:footnoteReference w:id="56"/>
      </w:r>
      <w:r w:rsidRPr="00965215">
        <w:rPr>
          <w:szCs w:val="22"/>
        </w:rPr>
        <w:t xml:space="preserve">  </w:t>
      </w:r>
    </w:p>
    <w:p w:rsidR="00965215" w:rsidRPr="00965215" w:rsidP="00965215" w14:paraId="7EE01696" w14:textId="77777777">
      <w:pPr>
        <w:pStyle w:val="ParaNum"/>
        <w:widowControl/>
        <w:rPr>
          <w:bCs/>
          <w:szCs w:val="22"/>
        </w:rPr>
      </w:pPr>
      <w:bookmarkStart w:id="4" w:name="_Hlk25231269"/>
      <w:r w:rsidRPr="00965215">
        <w:rPr>
          <w:szCs w:val="22"/>
        </w:rPr>
        <w:t>Windstream and ABS then filed the instant requests for review with the Commission.</w:t>
      </w:r>
      <w:r>
        <w:rPr>
          <w:rStyle w:val="FootnoteReference"/>
          <w:sz w:val="22"/>
          <w:szCs w:val="22"/>
        </w:rPr>
        <w:footnoteReference w:id="57"/>
      </w:r>
      <w:r w:rsidRPr="00965215">
        <w:rPr>
          <w:szCs w:val="22"/>
        </w:rPr>
        <w:t xml:space="preserve">  In their requests, Windstream and ABS reiterate the argument that the Commission’s fair and open competitive bidding requirements do not apply to Telecom Program participants because those requirements did not apply to the Telecom Program during the time frame relevant to </w:t>
      </w:r>
      <w:r w:rsidRPr="00965215">
        <w:rPr>
          <w:szCs w:val="22"/>
        </w:rPr>
        <w:t>UTHSCT’s</w:t>
      </w:r>
      <w:r w:rsidRPr="00965215">
        <w:rPr>
          <w:szCs w:val="22"/>
        </w:rPr>
        <w:t xml:space="preserve"> procurements.</w:t>
      </w:r>
      <w:r>
        <w:rPr>
          <w:rStyle w:val="FootnoteReference"/>
          <w:sz w:val="22"/>
          <w:szCs w:val="22"/>
        </w:rPr>
        <w:footnoteReference w:id="58"/>
      </w:r>
      <w:r w:rsidRPr="00965215">
        <w:rPr>
          <w:szCs w:val="22"/>
        </w:rPr>
        <w:t xml:space="preserve">  Windstream further argues that, even if the fair and open standard were applicable, it applies only to health care providers (and not to service providers such as Windstream) because the rule governing competitive bidding, by its terms, only concerns health care provider applicants.</w:t>
      </w:r>
      <w:r>
        <w:rPr>
          <w:rStyle w:val="FootnoteReference"/>
          <w:sz w:val="22"/>
          <w:szCs w:val="22"/>
        </w:rPr>
        <w:footnoteReference w:id="59"/>
      </w:r>
      <w:r w:rsidRPr="00965215">
        <w:rPr>
          <w:szCs w:val="22"/>
        </w:rPr>
        <w:t xml:space="preserve">  Windstream also maintains that it was unaware of ABS and Mr. Speck’s dual role at the time the bid was submitted notwithstanding USAC’s finding to the contrary</w:t>
      </w:r>
      <w:r>
        <w:rPr>
          <w:rStyle w:val="FootnoteReference"/>
          <w:sz w:val="22"/>
          <w:szCs w:val="22"/>
        </w:rPr>
        <w:footnoteReference w:id="60"/>
      </w:r>
      <w:r w:rsidRPr="00965215">
        <w:rPr>
          <w:szCs w:val="22"/>
        </w:rPr>
        <w:t xml:space="preserve"> and that, under Commission precedent, Windstream cannot be held liable for the conflict of interest because it was not the party that committed the rule violation.</w:t>
      </w:r>
      <w:r>
        <w:rPr>
          <w:rStyle w:val="FootnoteReference"/>
          <w:sz w:val="22"/>
          <w:szCs w:val="22"/>
        </w:rPr>
        <w:footnoteReference w:id="61"/>
      </w:r>
      <w:r w:rsidRPr="00965215">
        <w:rPr>
          <w:szCs w:val="22"/>
        </w:rPr>
        <w:t xml:space="preserve">  To the extent the Commission finds a violation of its competitive bidding requirements, Windstream requests a waiver of such requirements because </w:t>
      </w:r>
      <w:r w:rsidRPr="00965215">
        <w:rPr>
          <w:szCs w:val="22"/>
        </w:rPr>
        <w:t>UTHSCT’s</w:t>
      </w:r>
      <w:r w:rsidRPr="00965215">
        <w:rPr>
          <w:szCs w:val="22"/>
        </w:rPr>
        <w:t xml:space="preserve"> bidding processes were not compromised by what amounts to a technical rule violation and that the process was otherwise consistent with the Commission’s competitive bidding policy goals.</w:t>
      </w:r>
      <w:r>
        <w:rPr>
          <w:rStyle w:val="FootnoteReference"/>
          <w:sz w:val="22"/>
          <w:szCs w:val="22"/>
        </w:rPr>
        <w:footnoteReference w:id="62"/>
      </w:r>
      <w:r w:rsidRPr="00965215">
        <w:rPr>
          <w:szCs w:val="22"/>
        </w:rPr>
        <w:t xml:space="preserve">  </w:t>
      </w:r>
      <w:r w:rsidRPr="00965215">
        <w:rPr>
          <w:szCs w:val="22"/>
        </w:rPr>
        <w:t>UTHSCT</w:t>
      </w:r>
      <w:r w:rsidRPr="00965215">
        <w:rPr>
          <w:szCs w:val="22"/>
        </w:rPr>
        <w:t xml:space="preserve"> also seeks waiver of the Commission’s competitive bidding rules, on the grounds that the service provider involvement in the procurement processes at issue did not affect the outcome of the procurements and the </w:t>
      </w:r>
      <w:r w:rsidRPr="00965215">
        <w:rPr>
          <w:szCs w:val="22"/>
        </w:rPr>
        <w:t>HCPs</w:t>
      </w:r>
      <w:r w:rsidRPr="00965215">
        <w:rPr>
          <w:szCs w:val="22"/>
        </w:rPr>
        <w:t xml:space="preserve"> were unaware of, and did not benefit from, the conflict of interest.</w:t>
      </w:r>
      <w:r>
        <w:rPr>
          <w:rStyle w:val="FootnoteReference"/>
          <w:sz w:val="22"/>
          <w:szCs w:val="22"/>
        </w:rPr>
        <w:footnoteReference w:id="63"/>
      </w:r>
      <w:r w:rsidRPr="00965215">
        <w:rPr>
          <w:szCs w:val="22"/>
        </w:rPr>
        <w:t xml:space="preserve">     </w:t>
      </w:r>
    </w:p>
    <w:bookmarkEnd w:id="4"/>
    <w:p w:rsidR="00965215" w:rsidRPr="00965215" w:rsidP="00965215" w14:paraId="75CF814F" w14:textId="77777777">
      <w:pPr>
        <w:pStyle w:val="Heading1"/>
        <w:rPr>
          <w:rFonts w:ascii="Times New Roman" w:hAnsi="Times New Roman"/>
          <w:szCs w:val="22"/>
        </w:rPr>
      </w:pPr>
      <w:r w:rsidRPr="00965215">
        <w:rPr>
          <w:rFonts w:ascii="Times New Roman" w:hAnsi="Times New Roman"/>
          <w:szCs w:val="22"/>
        </w:rPr>
        <w:t xml:space="preserve">DISCUSSION   </w:t>
      </w:r>
    </w:p>
    <w:p w:rsidR="00965215" w:rsidRPr="00965215" w:rsidP="00965215" w14:paraId="34A0A79D" w14:textId="77777777">
      <w:pPr>
        <w:pStyle w:val="ParaNum"/>
        <w:rPr>
          <w:szCs w:val="22"/>
        </w:rPr>
      </w:pPr>
      <w:r w:rsidRPr="00965215">
        <w:rPr>
          <w:rStyle w:val="documentbody1"/>
          <w:rFonts w:ascii="Times New Roman" w:hAnsi="Times New Roman"/>
          <w:color w:val="000000"/>
          <w:sz w:val="22"/>
          <w:szCs w:val="22"/>
        </w:rPr>
        <w:t xml:space="preserve">Consistent with our obligation to conduct a </w:t>
      </w:r>
      <w:r w:rsidRPr="00965215">
        <w:rPr>
          <w:rStyle w:val="documentbody1"/>
          <w:rFonts w:ascii="Times New Roman" w:hAnsi="Times New Roman"/>
          <w:i/>
          <w:color w:val="000000"/>
          <w:sz w:val="22"/>
          <w:szCs w:val="22"/>
        </w:rPr>
        <w:t>de novo</w:t>
      </w:r>
      <w:r w:rsidRPr="00965215">
        <w:rPr>
          <w:rStyle w:val="documentbody1"/>
          <w:rFonts w:ascii="Times New Roman" w:hAnsi="Times New Roman"/>
          <w:color w:val="000000"/>
          <w:sz w:val="22"/>
          <w:szCs w:val="22"/>
        </w:rPr>
        <w:t xml:space="preserve"> review of appeals of decisions made by USAC</w:t>
      </w:r>
      <w:r w:rsidRPr="00965215">
        <w:rPr>
          <w:rStyle w:val="StyleNumberedparagraphs11ptChar"/>
          <w:szCs w:val="22"/>
        </w:rPr>
        <w:t>,</w:t>
      </w:r>
      <w:r>
        <w:rPr>
          <w:rStyle w:val="FootnoteReference"/>
          <w:sz w:val="22"/>
          <w:szCs w:val="22"/>
        </w:rPr>
        <w:footnoteReference w:id="64"/>
      </w:r>
      <w:r w:rsidRPr="00965215">
        <w:rPr>
          <w:rStyle w:val="StyleNumberedparagraphs11ptChar"/>
          <w:szCs w:val="22"/>
        </w:rPr>
        <w:t xml:space="preserve"> we find that the relationship between </w:t>
      </w:r>
      <w:r w:rsidRPr="00965215">
        <w:rPr>
          <w:rStyle w:val="StyleNumberedparagraphs11ptChar"/>
          <w:szCs w:val="22"/>
        </w:rPr>
        <w:t>UTHSCT’s</w:t>
      </w:r>
      <w:r w:rsidRPr="00965215">
        <w:rPr>
          <w:rStyle w:val="StyleNumberedparagraphs11ptChar"/>
          <w:szCs w:val="22"/>
        </w:rPr>
        <w:t xml:space="preserve"> consultant, Mr. Speck, and the selected service provider, Windstream, created a conflict of interest that irreparably undermined the integrity of </w:t>
      </w:r>
      <w:r w:rsidRPr="00965215">
        <w:rPr>
          <w:rStyle w:val="StyleNumberedparagraphs11ptChar"/>
          <w:szCs w:val="22"/>
        </w:rPr>
        <w:t>UTHSCT’s</w:t>
      </w:r>
      <w:r w:rsidRPr="00965215">
        <w:rPr>
          <w:rStyle w:val="StyleNumberedparagraphs11ptChar"/>
          <w:szCs w:val="22"/>
        </w:rPr>
        <w:t xml:space="preserve"> competitive bidding process in violation of </w:t>
      </w:r>
      <w:r w:rsidRPr="00965215">
        <w:rPr>
          <w:rStyle w:val="StyleNumberedparagraphs11ptChar"/>
          <w:szCs w:val="22"/>
        </w:rPr>
        <w:t>RHC</w:t>
      </w:r>
      <w:r w:rsidRPr="00965215">
        <w:rPr>
          <w:rStyle w:val="StyleNumberedparagraphs11ptChar"/>
          <w:szCs w:val="22"/>
        </w:rPr>
        <w:t xml:space="preserve"> Program requirements.  We therefore deny the petitioners’ requests for review and waiver and direct</w:t>
      </w:r>
      <w:r w:rsidRPr="00965215">
        <w:rPr>
          <w:szCs w:val="22"/>
        </w:rPr>
        <w:t xml:space="preserve"> USAC to continue recovery actions against Windstream consistent with this Order. </w:t>
      </w:r>
    </w:p>
    <w:p w:rsidR="00965215" w:rsidRPr="00965215" w:rsidP="00965215" w14:paraId="124B0BE1" w14:textId="77777777">
      <w:pPr>
        <w:pStyle w:val="ParaNum"/>
        <w:rPr>
          <w:szCs w:val="22"/>
        </w:rPr>
      </w:pPr>
      <w:r w:rsidRPr="00965215">
        <w:rPr>
          <w:rStyle w:val="StyleNumberedparagraphs11ptChar"/>
          <w:szCs w:val="22"/>
        </w:rPr>
        <w:t xml:space="preserve">The record shows that Mr. Speck served as FCC Form 465 contact person for and consultant to </w:t>
      </w:r>
      <w:r w:rsidRPr="00965215">
        <w:rPr>
          <w:rStyle w:val="StyleNumberedparagraphs11ptChar"/>
          <w:szCs w:val="22"/>
        </w:rPr>
        <w:t>UTHSCT</w:t>
      </w:r>
      <w:r w:rsidRPr="00965215">
        <w:rPr>
          <w:rStyle w:val="StyleNumberedparagraphs11ptChar"/>
          <w:szCs w:val="22"/>
        </w:rPr>
        <w:t xml:space="preserve"> </w:t>
      </w:r>
      <w:r w:rsidRPr="00965215">
        <w:rPr>
          <w:szCs w:val="22"/>
          <w:shd w:val="clear" w:color="auto" w:fill="FFFFFF"/>
        </w:rPr>
        <w:t>and as channel partner to Windstream</w:t>
      </w:r>
      <w:r w:rsidRPr="00965215">
        <w:rPr>
          <w:rStyle w:val="StyleNumberedparagraphs11ptChar"/>
          <w:szCs w:val="22"/>
        </w:rPr>
        <w:t xml:space="preserve"> simultaneously during funding years 2012-16.</w:t>
      </w:r>
      <w:r>
        <w:rPr>
          <w:rStyle w:val="FootnoteReference"/>
          <w:sz w:val="22"/>
          <w:szCs w:val="22"/>
          <w:shd w:val="clear" w:color="auto" w:fill="FFFFFF"/>
        </w:rPr>
        <w:footnoteReference w:id="65"/>
      </w:r>
      <w:r w:rsidRPr="00965215">
        <w:rPr>
          <w:szCs w:val="22"/>
          <w:shd w:val="clear" w:color="auto" w:fill="FFFFFF"/>
        </w:rPr>
        <w:t xml:space="preserve">  </w:t>
      </w:r>
      <w:r w:rsidRPr="00965215">
        <w:rPr>
          <w:szCs w:val="22"/>
        </w:rPr>
        <w:t>We are troubled by this arrangement and the conflict of interest that it created.  A contact person can greatly influence the competitive bidding process by controlling the dissemination of information regarding the services requested.</w:t>
      </w:r>
      <w:r>
        <w:rPr>
          <w:rStyle w:val="FootnoteReference"/>
          <w:sz w:val="22"/>
          <w:szCs w:val="22"/>
        </w:rPr>
        <w:footnoteReference w:id="66"/>
      </w:r>
      <w:r w:rsidRPr="00965215">
        <w:rPr>
          <w:szCs w:val="22"/>
        </w:rPr>
        <w:t xml:space="preserve">  Where a contact person with this degree of influence also has a relationship with a service provider, the risk of an unfair competitive bidding process becomes significantly magnified.  For instance, a contact person with a relationship with a prospective bidder may be inclined to not provide information to other bidders of the same type and quality that the contact person retains for its own use as a bidder.</w:t>
      </w:r>
      <w:r>
        <w:rPr>
          <w:rStyle w:val="FootnoteReference"/>
          <w:sz w:val="22"/>
          <w:szCs w:val="22"/>
        </w:rPr>
        <w:footnoteReference w:id="67"/>
      </w:r>
      <w:r w:rsidRPr="00965215">
        <w:rPr>
          <w:szCs w:val="22"/>
        </w:rPr>
        <w:t xml:space="preserve">  This contact person also may discourage prospective bidders from submitting a bid or exclude prospective bidders from the bidding process altogether.</w:t>
      </w:r>
      <w:r>
        <w:rPr>
          <w:rStyle w:val="FootnoteReference"/>
          <w:sz w:val="22"/>
          <w:szCs w:val="22"/>
        </w:rPr>
        <w:footnoteReference w:id="68"/>
      </w:r>
      <w:r w:rsidRPr="00965215">
        <w:rPr>
          <w:szCs w:val="22"/>
        </w:rPr>
        <w:t xml:space="preserve">  He or she could likewise lead </w:t>
      </w:r>
      <w:r w:rsidRPr="00965215">
        <w:rPr>
          <w:szCs w:val="22"/>
          <w:shd w:val="clear" w:color="auto" w:fill="FFFFFF"/>
        </w:rPr>
        <w:t>prospective bidders not to participate in the competitive bidding process if the would-be bidder believes that vendor evaluations will not be conducted fairly given that another bidder is serving as the contact person.</w:t>
      </w:r>
      <w:r>
        <w:rPr>
          <w:rStyle w:val="FootnoteReference"/>
          <w:sz w:val="22"/>
          <w:szCs w:val="22"/>
        </w:rPr>
        <w:footnoteReference w:id="69"/>
      </w:r>
      <w:r w:rsidRPr="00965215">
        <w:rPr>
          <w:szCs w:val="22"/>
        </w:rPr>
        <w:t xml:space="preserve">  For all these reasons, it is well established under Commission precedent that an FCC Form 465 that lists as the contact person an employee or representative of a service provider that also participates in the bidding process or is ultimately selected to provide the requested service will be deemed defective.</w:t>
      </w:r>
      <w:r>
        <w:rPr>
          <w:rStyle w:val="FootnoteReference"/>
          <w:sz w:val="22"/>
          <w:szCs w:val="22"/>
        </w:rPr>
        <w:footnoteReference w:id="70"/>
      </w:r>
      <w:r w:rsidRPr="00965215">
        <w:rPr>
          <w:szCs w:val="22"/>
        </w:rPr>
        <w:t xml:space="preserve">  That is the case here.  Upon review of the facts, we agree with USAC that Mr. Speck’s connection to </w:t>
      </w:r>
      <w:r w:rsidRPr="00965215">
        <w:rPr>
          <w:szCs w:val="22"/>
        </w:rPr>
        <w:t>UTHSCT</w:t>
      </w:r>
      <w:r w:rsidRPr="00965215">
        <w:rPr>
          <w:szCs w:val="22"/>
        </w:rPr>
        <w:t xml:space="preserve"> and Windstream created an impermissible conflict of interest.  USAC correctly concluded that the dual role held by Mr. Speck compromised the impartiality and fairness of the competitive bidding process, as prohibited by Commission precedent, and thus invalidated the service contracts at issue for purposes of receiving rural health care support. </w:t>
      </w:r>
      <w:bookmarkStart w:id="5" w:name="_Hlk23339874"/>
    </w:p>
    <w:bookmarkEnd w:id="5"/>
    <w:p w:rsidR="00965215" w:rsidRPr="00965215" w:rsidP="00965215" w14:paraId="6413620C" w14:textId="77777777">
      <w:pPr>
        <w:pStyle w:val="ParaNum"/>
        <w:tabs>
          <w:tab w:val="clear" w:pos="1440"/>
        </w:tabs>
        <w:rPr>
          <w:szCs w:val="22"/>
        </w:rPr>
      </w:pPr>
      <w:r w:rsidRPr="00965215">
        <w:rPr>
          <w:szCs w:val="22"/>
        </w:rPr>
        <w:t>Windstream and ABS argue that, when reaching its decisions, USAC improperly relied on a “fair and open” competitive bidding requirement that the petitioners maintain is absent from the Telecom Program rules.</w:t>
      </w:r>
      <w:r>
        <w:rPr>
          <w:rStyle w:val="FootnoteReference"/>
          <w:sz w:val="22"/>
          <w:szCs w:val="22"/>
        </w:rPr>
        <w:footnoteReference w:id="71"/>
      </w:r>
      <w:r w:rsidRPr="00965215">
        <w:rPr>
          <w:szCs w:val="22"/>
        </w:rPr>
        <w:t xml:space="preserve">  The parties also point to the Commission’s then-pending proposal to add a specific “fair and open” standard to the Telecom Program rules as evidence that USAC’s application of the standard now in advance of its adoption amounts to an impermissible retroactive application of that standard.</w:t>
      </w:r>
      <w:r>
        <w:rPr>
          <w:rStyle w:val="FootnoteReference"/>
          <w:sz w:val="22"/>
          <w:szCs w:val="22"/>
        </w:rPr>
        <w:footnoteReference w:id="72"/>
      </w:r>
      <w:r w:rsidRPr="00965215">
        <w:rPr>
          <w:szCs w:val="22"/>
        </w:rPr>
        <w:t xml:space="preserve">  We reject these arguments.  The requirement that Telecom Program competitive bidding be conducted fairly and openly is not new</w:t>
      </w:r>
      <w:r w:rsidRPr="00965215">
        <w:rPr>
          <w:color w:val="000000"/>
          <w:szCs w:val="22"/>
        </w:rPr>
        <w:t>.</w:t>
      </w:r>
      <w:r>
        <w:rPr>
          <w:rStyle w:val="FootnoteReference"/>
          <w:color w:val="000000"/>
          <w:sz w:val="22"/>
          <w:szCs w:val="22"/>
        </w:rPr>
        <w:footnoteReference w:id="73"/>
      </w:r>
      <w:r w:rsidRPr="00965215">
        <w:rPr>
          <w:color w:val="000000"/>
          <w:szCs w:val="22"/>
        </w:rPr>
        <w:t xml:space="preserve">  The Commission has consistently stated that competitive bidding is fundamental to the </w:t>
      </w:r>
      <w:r w:rsidRPr="00965215">
        <w:rPr>
          <w:color w:val="000000"/>
          <w:szCs w:val="22"/>
        </w:rPr>
        <w:t>RHC</w:t>
      </w:r>
      <w:r w:rsidRPr="00965215">
        <w:rPr>
          <w:color w:val="000000"/>
          <w:szCs w:val="22"/>
        </w:rPr>
        <w:t xml:space="preserve"> Program, and that “a critical requirement of the competitive bidding process is to ensure that [it] is conducted in a manner that does not give one bidder an unfair advantage over another bidder.”</w:t>
      </w:r>
      <w:r>
        <w:rPr>
          <w:rStyle w:val="FootnoteReference"/>
          <w:color w:val="000000"/>
          <w:sz w:val="22"/>
          <w:szCs w:val="22"/>
        </w:rPr>
        <w:footnoteReference w:id="74"/>
      </w:r>
      <w:r w:rsidRPr="00965215">
        <w:rPr>
          <w:color w:val="000000"/>
          <w:szCs w:val="22"/>
        </w:rPr>
        <w:t xml:space="preserve"> </w:t>
      </w:r>
      <w:r w:rsidRPr="00965215">
        <w:rPr>
          <w:szCs w:val="22"/>
        </w:rPr>
        <w:t xml:space="preserve"> Thus, notwithstanding the absence of the precise phrase “fair and open” in the program’s rules, notions of fairness and openness have long served as the foundation of the Telecom Program’s competitive bidding mechanism. </w:t>
      </w:r>
    </w:p>
    <w:p w:rsidR="00965215" w:rsidRPr="00965215" w:rsidP="00965215" w14:paraId="56A53FBF" w14:textId="77777777">
      <w:pPr>
        <w:pStyle w:val="ParaNum"/>
        <w:tabs>
          <w:tab w:val="clear" w:pos="1440"/>
        </w:tabs>
        <w:rPr>
          <w:szCs w:val="22"/>
        </w:rPr>
      </w:pPr>
      <w:r w:rsidRPr="00965215">
        <w:rPr>
          <w:szCs w:val="22"/>
        </w:rPr>
        <w:t xml:space="preserve">Indeed, the </w:t>
      </w:r>
      <w:r w:rsidRPr="00965215">
        <w:rPr>
          <w:rStyle w:val="documentbody1"/>
          <w:rFonts w:ascii="Times New Roman" w:hAnsi="Times New Roman"/>
          <w:color w:val="000000"/>
          <w:sz w:val="22"/>
          <w:szCs w:val="22"/>
        </w:rPr>
        <w:t>principles underlying the Commission’s orders addressing fair and open competitive bidding apply not only to the E-Rate Program (as Windstream and ABS point out) but also to the Telecom Program.</w:t>
      </w:r>
      <w:r>
        <w:rPr>
          <w:rStyle w:val="FootnoteReference"/>
          <w:sz w:val="22"/>
          <w:szCs w:val="22"/>
        </w:rPr>
        <w:footnoteReference w:id="75"/>
      </w:r>
      <w:r w:rsidRPr="00965215">
        <w:rPr>
          <w:rStyle w:val="documentbody1"/>
          <w:rFonts w:ascii="Times New Roman" w:hAnsi="Times New Roman"/>
          <w:color w:val="000000"/>
          <w:sz w:val="22"/>
          <w:szCs w:val="22"/>
        </w:rPr>
        <w:t xml:space="preserve">  Notably, the mechanics of the bidding processes in the two programs are effectively the same.  Like the FCC Form 470 in the E-Rate Program (</w:t>
      </w:r>
      <w:r w:rsidRPr="00965215">
        <w:rPr>
          <w:rStyle w:val="documentbody1"/>
          <w:rFonts w:ascii="Times New Roman" w:hAnsi="Times New Roman"/>
          <w:i/>
          <w:color w:val="000000"/>
          <w:sz w:val="22"/>
          <w:szCs w:val="22"/>
        </w:rPr>
        <w:t>i.e</w:t>
      </w:r>
      <w:r w:rsidRPr="00965215">
        <w:rPr>
          <w:rStyle w:val="documentbody1"/>
          <w:rFonts w:ascii="Times New Roman" w:hAnsi="Times New Roman"/>
          <w:color w:val="000000"/>
          <w:sz w:val="22"/>
          <w:szCs w:val="22"/>
        </w:rPr>
        <w:t>., the FCC form inviting service providers to submit bids in response to an applicant’s request for services), the Telecom Program’s FCC Form 465 describes the applicant’s planned service requirements, as well as other information regarding the applicant and its competitive bidding process that may be relevant to the preparation of bids.</w:t>
      </w:r>
      <w:r>
        <w:rPr>
          <w:rStyle w:val="FootnoteReference"/>
          <w:sz w:val="22"/>
          <w:szCs w:val="22"/>
        </w:rPr>
        <w:footnoteReference w:id="76"/>
      </w:r>
      <w:r w:rsidRPr="00965215">
        <w:rPr>
          <w:rStyle w:val="documentbody1"/>
          <w:rFonts w:ascii="Times New Roman" w:hAnsi="Times New Roman"/>
          <w:color w:val="000000"/>
          <w:sz w:val="22"/>
          <w:szCs w:val="22"/>
        </w:rPr>
        <w:t xml:space="preserve">  Both forms must be completed by the entity that will negotiate with prospective service providers and signed by a person who is authorized to order the requested services on behalf of the applicant.</w:t>
      </w:r>
      <w:r>
        <w:rPr>
          <w:rStyle w:val="FootnoteReference"/>
          <w:sz w:val="22"/>
          <w:szCs w:val="22"/>
        </w:rPr>
        <w:footnoteReference w:id="77"/>
      </w:r>
      <w:r w:rsidRPr="00965215">
        <w:rPr>
          <w:rStyle w:val="documentbody1"/>
          <w:rFonts w:ascii="Times New Roman" w:hAnsi="Times New Roman"/>
          <w:color w:val="000000"/>
          <w:sz w:val="22"/>
          <w:szCs w:val="22"/>
        </w:rPr>
        <w:t xml:space="preserve">  Both forms also require the applicant to name a person whom prospective service providers may contact for additional information.</w:t>
      </w:r>
      <w:r>
        <w:rPr>
          <w:rStyle w:val="FootnoteReference"/>
          <w:sz w:val="22"/>
          <w:szCs w:val="22"/>
        </w:rPr>
        <w:footnoteReference w:id="78"/>
      </w:r>
      <w:r w:rsidRPr="00965215">
        <w:rPr>
          <w:rStyle w:val="documentbody1"/>
          <w:rFonts w:ascii="Times New Roman" w:hAnsi="Times New Roman"/>
          <w:color w:val="000000"/>
          <w:sz w:val="22"/>
          <w:szCs w:val="22"/>
        </w:rPr>
        <w:t xml:space="preserve">  As discussed above, this contact person may not be affiliated with a service provider that participates in the bidding process as a bidder, and in cases where there is such an affiliation, the underlying FCC Form 465 or Form 470 is deemed defective.</w:t>
      </w:r>
      <w:r>
        <w:rPr>
          <w:rStyle w:val="FootnoteReference"/>
          <w:sz w:val="22"/>
          <w:szCs w:val="22"/>
        </w:rPr>
        <w:footnoteReference w:id="79"/>
      </w:r>
      <w:r w:rsidRPr="00965215">
        <w:rPr>
          <w:rStyle w:val="documentbody1"/>
          <w:rFonts w:ascii="Times New Roman" w:hAnsi="Times New Roman"/>
          <w:color w:val="000000"/>
          <w:sz w:val="22"/>
          <w:szCs w:val="22"/>
        </w:rPr>
        <w:t xml:space="preserve">  </w:t>
      </w:r>
      <w:r w:rsidRPr="00965215">
        <w:rPr>
          <w:szCs w:val="22"/>
        </w:rPr>
        <w:t>While it is correct that the Commission proposed to,</w:t>
      </w:r>
      <w:r>
        <w:rPr>
          <w:rStyle w:val="FootnoteReference"/>
          <w:sz w:val="22"/>
          <w:szCs w:val="22"/>
        </w:rPr>
        <w:footnoteReference w:id="80"/>
      </w:r>
      <w:r w:rsidRPr="00965215">
        <w:rPr>
          <w:szCs w:val="22"/>
        </w:rPr>
        <w:t xml:space="preserve"> and subsequently did,</w:t>
      </w:r>
      <w:r>
        <w:rPr>
          <w:rStyle w:val="FootnoteReference"/>
          <w:sz w:val="22"/>
          <w:szCs w:val="22"/>
        </w:rPr>
        <w:footnoteReference w:id="81"/>
      </w:r>
      <w:r w:rsidRPr="00965215">
        <w:rPr>
          <w:szCs w:val="22"/>
        </w:rPr>
        <w:t xml:space="preserve"> align the “fair and open” competitive bidding standard by codifying it within the Telecom Program’s rules, that proposal, and the Commission’s subsequent adoption of the proposal, merely codified longstanding Commission precedent and did not impose a new competitive bidding requirement.  As the Commission explained when making the proposal, “numerous Commission orders state than an applicant must conduct a fair and open competitive bidding process prior to submitting a request for funding, and indeed, a process that is not ‘fair and open’ is inherently inconsistent with ‘competitive bidding.’”</w:t>
      </w:r>
      <w:r>
        <w:rPr>
          <w:rStyle w:val="FootnoteReference"/>
          <w:sz w:val="22"/>
          <w:szCs w:val="22"/>
        </w:rPr>
        <w:footnoteReference w:id="82"/>
      </w:r>
      <w:r w:rsidRPr="00965215">
        <w:rPr>
          <w:szCs w:val="22"/>
        </w:rPr>
        <w:t xml:space="preserve">  Simply put, we do not accept the argument that the mere absence of the words “fair and open” from the Telecom Program rules excuses unfair, anti-competitive conduct on the part of </w:t>
      </w:r>
      <w:r w:rsidRPr="00965215">
        <w:rPr>
          <w:szCs w:val="22"/>
        </w:rPr>
        <w:t>RHC</w:t>
      </w:r>
      <w:r w:rsidRPr="00965215">
        <w:rPr>
          <w:szCs w:val="22"/>
        </w:rPr>
        <w:t xml:space="preserve"> program participants.</w:t>
      </w:r>
      <w:r>
        <w:rPr>
          <w:rStyle w:val="FootnoteReference"/>
          <w:sz w:val="22"/>
          <w:szCs w:val="22"/>
        </w:rPr>
        <w:footnoteReference w:id="83"/>
      </w:r>
    </w:p>
    <w:p w:rsidR="00965215" w:rsidRPr="00965215" w:rsidP="00965215" w14:paraId="1C8B76FA" w14:textId="77777777">
      <w:pPr>
        <w:pStyle w:val="ParaNum"/>
        <w:widowControl/>
        <w:rPr>
          <w:szCs w:val="22"/>
        </w:rPr>
      </w:pPr>
      <w:r w:rsidRPr="00965215">
        <w:rPr>
          <w:szCs w:val="22"/>
        </w:rPr>
        <w:t>Windstream maintains that, even if the “fair and open” requirement applies to the Telecom Program, it imposes no obligation on service providers because the Telecom Program competitive bidding rules only mention, and thus only apply to, “health care provider” applicants.</w:t>
      </w:r>
      <w:r>
        <w:rPr>
          <w:rStyle w:val="FootnoteReference"/>
          <w:sz w:val="22"/>
          <w:szCs w:val="22"/>
        </w:rPr>
        <w:footnoteReference w:id="84"/>
      </w:r>
      <w:r w:rsidRPr="00965215">
        <w:rPr>
          <w:szCs w:val="22"/>
        </w:rPr>
        <w:t xml:space="preserve">  We reject this argument.  Windstream’s status as a service provider does not grant it immunity from compliance with our competitive bidding rules.  Service providers “have long been aware that the Commission will take action against service providers that seek to secure an unfair advantage in competing for contracts supported by the USF or otherwise engage in conduct that threatens to damage the integrity of USF programs in violation of the Commission’s Rules.”</w:t>
      </w:r>
      <w:r>
        <w:rPr>
          <w:rStyle w:val="FootnoteReference"/>
          <w:sz w:val="22"/>
          <w:szCs w:val="22"/>
        </w:rPr>
        <w:footnoteReference w:id="85"/>
      </w:r>
      <w:r w:rsidRPr="00965215">
        <w:rPr>
          <w:szCs w:val="22"/>
        </w:rPr>
        <w:t xml:space="preserve">  As the Commission has explained, “the danger of waste, fraud, and abuse by service providers is as great as the danger of such conduct by rural health care providers.”</w:t>
      </w:r>
      <w:r>
        <w:rPr>
          <w:rStyle w:val="FootnoteReference"/>
          <w:sz w:val="22"/>
          <w:szCs w:val="22"/>
        </w:rPr>
        <w:footnoteReference w:id="86"/>
      </w:r>
      <w:r w:rsidRPr="00965215">
        <w:rPr>
          <w:szCs w:val="22"/>
        </w:rPr>
        <w:t xml:space="preserve">  </w:t>
      </w:r>
    </w:p>
    <w:p w:rsidR="00965215" w:rsidRPr="00965215" w:rsidP="00965215" w14:paraId="2D602093" w14:textId="77777777">
      <w:pPr>
        <w:pStyle w:val="ParaNum"/>
        <w:widowControl/>
        <w:rPr>
          <w:szCs w:val="22"/>
        </w:rPr>
      </w:pPr>
      <w:r w:rsidRPr="00965215">
        <w:rPr>
          <w:szCs w:val="22"/>
        </w:rPr>
        <w:t>We concur with USAC’s determination that Windstream was the party responsible for the competitive bidding violation.</w:t>
      </w:r>
      <w:r>
        <w:rPr>
          <w:rStyle w:val="FootnoteReference"/>
          <w:sz w:val="22"/>
          <w:szCs w:val="22"/>
        </w:rPr>
        <w:footnoteReference w:id="87"/>
      </w:r>
      <w:r w:rsidRPr="00965215">
        <w:rPr>
          <w:szCs w:val="22"/>
        </w:rPr>
        <w:t xml:space="preserve">  We find that Windstream’s claim that it first discovered in February 2016 that Mr. Speck “may have been” acting as a consultant for </w:t>
      </w:r>
      <w:r w:rsidRPr="00965215">
        <w:rPr>
          <w:szCs w:val="22"/>
        </w:rPr>
        <w:t>UTHSCT</w:t>
      </w:r>
      <w:r w:rsidRPr="00965215">
        <w:rPr>
          <w:szCs w:val="22"/>
        </w:rPr>
        <w:t xml:space="preserve"> is not credible.</w:t>
      </w:r>
      <w:r>
        <w:rPr>
          <w:rStyle w:val="FootnoteReference"/>
          <w:sz w:val="22"/>
          <w:szCs w:val="22"/>
        </w:rPr>
        <w:footnoteReference w:id="88"/>
      </w:r>
      <w:r w:rsidRPr="00965215">
        <w:rPr>
          <w:szCs w:val="22"/>
        </w:rPr>
        <w:t xml:space="preserve">  Between April 20, 2012, and June 2, 2015, ABS submitted on </w:t>
      </w:r>
      <w:r w:rsidRPr="00965215">
        <w:rPr>
          <w:szCs w:val="22"/>
        </w:rPr>
        <w:t>UTHSCT’s</w:t>
      </w:r>
      <w:r w:rsidRPr="00965215">
        <w:rPr>
          <w:szCs w:val="22"/>
        </w:rPr>
        <w:t xml:space="preserve"> behalf multiple FCC Forms 465 requesting eligible services.</w:t>
      </w:r>
      <w:r>
        <w:rPr>
          <w:rStyle w:val="FootnoteReference"/>
          <w:sz w:val="22"/>
          <w:szCs w:val="22"/>
        </w:rPr>
        <w:footnoteReference w:id="89"/>
      </w:r>
      <w:r w:rsidRPr="00965215">
        <w:rPr>
          <w:szCs w:val="22"/>
        </w:rPr>
        <w:t xml:space="preserve">  The FCC Form 465 in each case listed Mr. Speck and his organization, ABS Telecom LLC, as the contact for the </w:t>
      </w:r>
      <w:r w:rsidRPr="00965215">
        <w:rPr>
          <w:szCs w:val="22"/>
        </w:rPr>
        <w:t>UTHSCT</w:t>
      </w:r>
      <w:r w:rsidRPr="00965215">
        <w:rPr>
          <w:szCs w:val="22"/>
        </w:rPr>
        <w:t xml:space="preserve"> health care provider.</w:t>
      </w:r>
      <w:r>
        <w:rPr>
          <w:rStyle w:val="FootnoteReference"/>
          <w:sz w:val="22"/>
          <w:szCs w:val="22"/>
        </w:rPr>
        <w:footnoteReference w:id="90"/>
      </w:r>
      <w:r w:rsidRPr="00965215">
        <w:rPr>
          <w:szCs w:val="22"/>
        </w:rPr>
        <w:t xml:space="preserve">  Windstream submitted bids in response to these forms, which were ultimately accepted for funding support.  Windstream therefore cannot credibly claim that it lacked knowledge of Mr. Speck’s involvement with </w:t>
      </w:r>
      <w:r w:rsidRPr="00965215">
        <w:rPr>
          <w:szCs w:val="22"/>
        </w:rPr>
        <w:t>UTHSCT</w:t>
      </w:r>
      <w:r w:rsidRPr="00965215">
        <w:rPr>
          <w:szCs w:val="22"/>
        </w:rPr>
        <w:t xml:space="preserve"> when his name and organization were collectively listed as the point of contact for the </w:t>
      </w:r>
      <w:r w:rsidRPr="00965215">
        <w:rPr>
          <w:szCs w:val="22"/>
        </w:rPr>
        <w:t>UTHSCT</w:t>
      </w:r>
      <w:r w:rsidRPr="00965215">
        <w:rPr>
          <w:szCs w:val="22"/>
        </w:rPr>
        <w:t xml:space="preserve"> entities – particularly given the fact that Windstream had an active contractual relationship with Mr. Speck’s organization related to the same transactions involving </w:t>
      </w:r>
      <w:r w:rsidRPr="00965215">
        <w:rPr>
          <w:szCs w:val="22"/>
        </w:rPr>
        <w:t>UTHSCT</w:t>
      </w:r>
      <w:r w:rsidRPr="00965215">
        <w:rPr>
          <w:szCs w:val="22"/>
        </w:rPr>
        <w:t>.</w:t>
      </w:r>
      <w:r>
        <w:rPr>
          <w:rStyle w:val="FootnoteReference"/>
          <w:sz w:val="22"/>
          <w:szCs w:val="22"/>
        </w:rPr>
        <w:footnoteReference w:id="91"/>
      </w:r>
      <w:r w:rsidRPr="00965215">
        <w:rPr>
          <w:szCs w:val="22"/>
        </w:rPr>
        <w:t xml:space="preserve">  </w:t>
      </w:r>
    </w:p>
    <w:p w:rsidR="00965215" w:rsidRPr="00965215" w:rsidP="00965215" w14:paraId="5BCE7361" w14:textId="77777777">
      <w:pPr>
        <w:pStyle w:val="ParaNum"/>
        <w:widowControl/>
        <w:rPr>
          <w:szCs w:val="22"/>
        </w:rPr>
      </w:pPr>
      <w:r w:rsidRPr="00965215">
        <w:rPr>
          <w:szCs w:val="22"/>
        </w:rPr>
        <w:t>Our precedent requires that recovery actions be taken against the party in the best position to prevent the competitive bidding rule violation.</w:t>
      </w:r>
      <w:r>
        <w:rPr>
          <w:rStyle w:val="FootnoteReference"/>
          <w:sz w:val="22"/>
          <w:szCs w:val="22"/>
        </w:rPr>
        <w:footnoteReference w:id="92"/>
      </w:r>
      <w:r w:rsidRPr="00965215">
        <w:rPr>
          <w:szCs w:val="22"/>
        </w:rPr>
        <w:t xml:space="preserve">  In this case, that party is Windstream because it was aware of (or should have been aware of) its business relationship with Mr. Speck.</w:t>
      </w:r>
      <w:r>
        <w:rPr>
          <w:rStyle w:val="FootnoteReference"/>
          <w:sz w:val="22"/>
          <w:szCs w:val="22"/>
        </w:rPr>
        <w:footnoteReference w:id="93"/>
      </w:r>
      <w:r w:rsidRPr="00965215">
        <w:rPr>
          <w:szCs w:val="22"/>
        </w:rPr>
        <w:t xml:space="preserve">  Rather than ending that relationship, Windstream submitted bids over multiple years in response to FCC Forms 465 that listed Mr. Speck as the contact person for the applicants, and then received significant funding support based on those very forms.  To be sure, Windstream eventually terminated its agreement with Mr. Speck in 2016 after determining that Mr. Speck’s dual role created a conflict of interest.  But Windstream undertook such action after several years passed where the impermissible conflict of interest persisted. Had Windstream been more diligent, it could have terminated the relationship with Mr. Speck much sooner in the process before funding was committed.</w:t>
      </w:r>
      <w:r>
        <w:rPr>
          <w:rStyle w:val="FootnoteReference"/>
          <w:sz w:val="22"/>
          <w:szCs w:val="22"/>
        </w:rPr>
        <w:footnoteReference w:id="94"/>
      </w:r>
      <w:r w:rsidRPr="00965215">
        <w:rPr>
          <w:szCs w:val="22"/>
        </w:rPr>
        <w:t xml:space="preserve">  </w:t>
      </w:r>
    </w:p>
    <w:p w:rsidR="00965215" w:rsidRPr="00965215" w:rsidP="00965215" w14:paraId="1A2D3120" w14:textId="77777777">
      <w:pPr>
        <w:pStyle w:val="ParaNum"/>
        <w:widowControl/>
        <w:rPr>
          <w:szCs w:val="22"/>
        </w:rPr>
      </w:pPr>
      <w:r w:rsidRPr="00965215">
        <w:rPr>
          <w:szCs w:val="22"/>
        </w:rPr>
        <w:t xml:space="preserve">Finally, we dismiss the Windstream and </w:t>
      </w:r>
      <w:r w:rsidRPr="00965215">
        <w:rPr>
          <w:szCs w:val="22"/>
        </w:rPr>
        <w:t>UTHSCT</w:t>
      </w:r>
      <w:r w:rsidRPr="00965215">
        <w:rPr>
          <w:szCs w:val="22"/>
        </w:rPr>
        <w:t xml:space="preserve"> requests to waive the Telecom Program competitive bidding rules.  Both parties rely on our prior decisions holding that waiver is appropriate in cases where the competitive bidding process was not compromised by technical rule violations and the outcomes of the vendor selection processes were otherwise consistent with the policy goals underlying the Commission’s competitive bidding rules.</w:t>
      </w:r>
      <w:r>
        <w:rPr>
          <w:rStyle w:val="FootnoteReference"/>
          <w:sz w:val="22"/>
          <w:szCs w:val="22"/>
        </w:rPr>
        <w:footnoteReference w:id="95"/>
      </w:r>
      <w:r w:rsidRPr="00965215">
        <w:rPr>
          <w:szCs w:val="22"/>
        </w:rPr>
        <w:t xml:space="preserve">  Both parties specifically point to the fact that Windstream was the only service provider to submit a bid in response to </w:t>
      </w:r>
      <w:r w:rsidRPr="00965215">
        <w:rPr>
          <w:szCs w:val="22"/>
        </w:rPr>
        <w:t>UTHSCT’s</w:t>
      </w:r>
      <w:r w:rsidRPr="00965215">
        <w:rPr>
          <w:szCs w:val="22"/>
        </w:rPr>
        <w:t xml:space="preserve"> FCC Forms 465 as evidence that the competitive bidding process was not compromised and consistent with policy.</w:t>
      </w:r>
      <w:r>
        <w:rPr>
          <w:rStyle w:val="FootnoteReference"/>
          <w:sz w:val="22"/>
          <w:szCs w:val="22"/>
        </w:rPr>
        <w:footnoteReference w:id="96"/>
      </w:r>
      <w:r w:rsidRPr="00965215">
        <w:rPr>
          <w:szCs w:val="22"/>
        </w:rPr>
        <w:t xml:space="preserve">  </w:t>
      </w:r>
    </w:p>
    <w:p w:rsidR="00965215" w:rsidRPr="00965215" w:rsidP="00965215" w14:paraId="52C246C8" w14:textId="77777777">
      <w:pPr>
        <w:pStyle w:val="ParaNum"/>
        <w:widowControl/>
        <w:rPr>
          <w:szCs w:val="22"/>
        </w:rPr>
      </w:pPr>
      <w:r w:rsidRPr="00965215">
        <w:rPr>
          <w:szCs w:val="22"/>
        </w:rPr>
        <w:t>Waiver of the Commission’s rules is appropriate if special circumstances warrant a deviation from the general rule and such deviation will serve the public interest.</w:t>
      </w:r>
      <w:r>
        <w:rPr>
          <w:rStyle w:val="FootnoteReference"/>
          <w:sz w:val="22"/>
          <w:szCs w:val="22"/>
        </w:rPr>
        <w:footnoteReference w:id="97"/>
      </w:r>
      <w:r w:rsidRPr="00965215">
        <w:rPr>
          <w:szCs w:val="22"/>
        </w:rPr>
        <w:t xml:space="preserve">  Neither Windstream nor </w:t>
      </w:r>
      <w:r w:rsidRPr="00965215">
        <w:rPr>
          <w:szCs w:val="22"/>
        </w:rPr>
        <w:t>UTHSCT</w:t>
      </w:r>
      <w:r w:rsidRPr="00965215">
        <w:rPr>
          <w:szCs w:val="22"/>
        </w:rPr>
        <w:t xml:space="preserve"> has demonstrated that a waiver is warranted in this case.  The dual role held by Mr. Speck represents a violation of our rules that rises far above a mere “technical” rule violation because the underlying conflict of interest that the dual role created fundamentally undermined the notion of fairness that is critical to the competitive bidding process.  Unlike the cases relied on by Windstream and </w:t>
      </w:r>
      <w:r w:rsidRPr="00965215">
        <w:rPr>
          <w:szCs w:val="22"/>
        </w:rPr>
        <w:t>UTHSCT</w:t>
      </w:r>
      <w:r w:rsidRPr="00965215">
        <w:rPr>
          <w:szCs w:val="22"/>
        </w:rPr>
        <w:t xml:space="preserve"> involving violations whose outcomes on the competitive bidding process were “likely to impose the least burden on the federal universal service fund,”</w:t>
      </w:r>
      <w:r>
        <w:rPr>
          <w:rStyle w:val="FootnoteReference"/>
          <w:sz w:val="22"/>
          <w:szCs w:val="22"/>
        </w:rPr>
        <w:footnoteReference w:id="98"/>
      </w:r>
      <w:r w:rsidRPr="00965215">
        <w:rPr>
          <w:szCs w:val="22"/>
        </w:rPr>
        <w:t xml:space="preserve"> Mr. Speck’s dual role had unknown consequences on the bidding outcomes because it could have convinced prospective bidders to refrain from participating.  Even the perception of a relationship between a service provider and applicant could lead prospective bidders to believe that bidding will not be conducted in a fair and open manner and depress participation in the bidding process.</w:t>
      </w:r>
      <w:r>
        <w:rPr>
          <w:rStyle w:val="FootnoteReference"/>
          <w:sz w:val="22"/>
          <w:szCs w:val="22"/>
        </w:rPr>
        <w:footnoteReference w:id="99"/>
      </w:r>
      <w:r w:rsidRPr="00965215">
        <w:rPr>
          <w:szCs w:val="22"/>
        </w:rPr>
        <w:t xml:space="preserve">  Thus, the fact that Windstream alone submitted bids in response to the subject FCC Forms 465 is not necessarily evidence of a lack of harm to the competitive bidding process.  We recognize that strict enforcement of our competitive bidding rules in this case means a harsh result for Windstream.  However, our underlying policy of ensuring that rural health care providers receive the most cost-effective services eligible for universal service support requires that we not waive our rules in the face of such a significant conflict of interest.  </w:t>
      </w:r>
    </w:p>
    <w:p w:rsidR="00965215" w:rsidRPr="00965215" w:rsidP="00965215" w14:paraId="02223C4E" w14:textId="77777777">
      <w:pPr>
        <w:pStyle w:val="ParaNum"/>
        <w:widowControl/>
        <w:rPr>
          <w:szCs w:val="22"/>
        </w:rPr>
      </w:pPr>
      <w:r w:rsidRPr="00965215">
        <w:rPr>
          <w:szCs w:val="22"/>
        </w:rPr>
        <w:t>As the administrator of the rural health care universal service support mechanism, USAC is expected to commence recovery actions when it becomes aware of a violation of program rules and requirements.</w:t>
      </w:r>
      <w:r>
        <w:rPr>
          <w:rStyle w:val="FootnoteReference"/>
          <w:sz w:val="22"/>
          <w:szCs w:val="22"/>
        </w:rPr>
        <w:footnoteReference w:id="100"/>
      </w:r>
      <w:r w:rsidRPr="00965215">
        <w:rPr>
          <w:szCs w:val="22"/>
        </w:rPr>
        <w:t xml:space="preserve">  In the instant matter, USAC reviewed </w:t>
      </w:r>
      <w:r w:rsidRPr="00965215">
        <w:rPr>
          <w:szCs w:val="22"/>
        </w:rPr>
        <w:t>UTHSCT’s</w:t>
      </w:r>
      <w:r w:rsidRPr="00965215">
        <w:rPr>
          <w:szCs w:val="22"/>
        </w:rPr>
        <w:t xml:space="preserve"> competitive bidding processes and documentation submitted on appeal concerning these processes and acted appropriately pursuant to its findings.  We are deeply concerned about the practices of the type addressed here, which undermine the framework of the competitive bidding process and ultimately damage the integrity of the program.  Neither Windstream, ABS, nor </w:t>
      </w:r>
      <w:r w:rsidRPr="00965215">
        <w:rPr>
          <w:szCs w:val="22"/>
        </w:rPr>
        <w:t>UTHSCT</w:t>
      </w:r>
      <w:r w:rsidRPr="00965215">
        <w:rPr>
          <w:szCs w:val="22"/>
        </w:rPr>
        <w:t xml:space="preserve"> has provided </w:t>
      </w:r>
      <w:r w:rsidRPr="00965215">
        <w:rPr>
          <w:szCs w:val="22"/>
        </w:rPr>
        <w:t>sufficient</w:t>
      </w:r>
      <w:r w:rsidRPr="00965215">
        <w:rPr>
          <w:szCs w:val="22"/>
        </w:rPr>
        <w:t xml:space="preserve"> evidence demonstrating that USAC erred in its decisions.  We therefore deny the petitioners’ requests for review and/or waiver and direct USAC to continue its recovery actions against Windstream for any monies disbursed for the funding year 2012-2015 </w:t>
      </w:r>
      <w:r w:rsidRPr="00965215">
        <w:rPr>
          <w:szCs w:val="22"/>
        </w:rPr>
        <w:t>FRNs</w:t>
      </w:r>
      <w:r w:rsidRPr="00965215">
        <w:rPr>
          <w:szCs w:val="22"/>
        </w:rPr>
        <w:t xml:space="preserve"> identified in Appendix B.  We also affirm USAC’s decision to rescind funding commitments for the funding year 2012-2016 </w:t>
      </w:r>
      <w:r w:rsidRPr="00965215">
        <w:rPr>
          <w:szCs w:val="22"/>
        </w:rPr>
        <w:t>FRNs</w:t>
      </w:r>
      <w:r w:rsidRPr="00965215">
        <w:rPr>
          <w:szCs w:val="22"/>
        </w:rPr>
        <w:t xml:space="preserve"> identified in Appendix A.  </w:t>
      </w:r>
      <w:r w:rsidRPr="00965215">
        <w:rPr>
          <w:rStyle w:val="documentbody1"/>
          <w:rFonts w:ascii="Times New Roman" w:hAnsi="Times New Roman"/>
          <w:color w:val="000000"/>
          <w:sz w:val="22"/>
          <w:szCs w:val="22"/>
        </w:rPr>
        <w:t xml:space="preserve">  </w:t>
      </w:r>
      <w:r w:rsidRPr="00965215">
        <w:rPr>
          <w:szCs w:val="22"/>
        </w:rPr>
        <w:t xml:space="preserve"> </w:t>
      </w:r>
    </w:p>
    <w:p w:rsidR="00965215" w:rsidRPr="00965215" w:rsidP="00965215" w14:paraId="7670210C" w14:textId="77777777">
      <w:pPr>
        <w:pStyle w:val="Heading1"/>
        <w:rPr>
          <w:rFonts w:ascii="Times New Roman" w:hAnsi="Times New Roman"/>
          <w:szCs w:val="22"/>
        </w:rPr>
      </w:pPr>
      <w:r w:rsidRPr="00965215">
        <w:rPr>
          <w:rFonts w:ascii="Times New Roman" w:hAnsi="Times New Roman"/>
          <w:szCs w:val="22"/>
        </w:rPr>
        <w:t>ORDERING CLAUSES</w:t>
      </w:r>
    </w:p>
    <w:p w:rsidR="00965215" w:rsidRPr="00965215" w:rsidP="00965215" w14:paraId="46B0C9B7" w14:textId="77777777">
      <w:pPr>
        <w:pStyle w:val="ParaNum"/>
        <w:rPr>
          <w:rStyle w:val="StyleNumberedparagraphs11ptChar"/>
          <w:szCs w:val="22"/>
        </w:rPr>
      </w:pPr>
      <w:r w:rsidRPr="00965215">
        <w:rPr>
          <w:rStyle w:val="StyleNumberedparagraphs11ptChar"/>
          <w:szCs w:val="22"/>
        </w:rPr>
        <w:t>ACCORDINGLY, IT IS ORDERED that, pursuant to the authority contained in sections 1-4 and 254 of the Communications Act of 1934, as amended, 47 U.S.C. §§ 151-154 and 254, and pursuant to authority delegated in sections 0.91, 0.291 and 54.722(a) of the Commission’s rules, 47 C.F.R. §§ 0.91, 0.291 and 54.722(a), the requests for review filed by Windstream Communications, LLC, Little Rock, Arkansas, on August 23, 2018, and ABS Telecom, LLC and Gary Speck, Plano, Texas, on August 28, 2018, ARE DENIED.</w:t>
      </w:r>
    </w:p>
    <w:p w:rsidR="00965215" w:rsidRPr="00965215" w:rsidP="00965215" w14:paraId="073741BC" w14:textId="77777777">
      <w:pPr>
        <w:pStyle w:val="ParaNum"/>
        <w:rPr>
          <w:rStyle w:val="StyleNumberedparagraphs11ptChar"/>
          <w:szCs w:val="22"/>
        </w:rPr>
      </w:pPr>
      <w:r w:rsidRPr="00965215">
        <w:rPr>
          <w:rStyle w:val="StyleNumberedparagraphs11ptChar"/>
          <w:szCs w:val="22"/>
        </w:rPr>
        <w:t>IT IS FURTHER ORDERED that, pursuant to</w:t>
      </w:r>
      <w:r w:rsidRPr="00965215">
        <w:rPr>
          <w:szCs w:val="22"/>
        </w:rPr>
        <w:t xml:space="preserve"> </w:t>
      </w:r>
      <w:r w:rsidRPr="00965215">
        <w:rPr>
          <w:rStyle w:val="StyleNumberedparagraphs11ptChar"/>
          <w:szCs w:val="22"/>
        </w:rPr>
        <w:t>the authority contained in sections 1-4 and 254 of the Communications Act of 1934, as amended, 47 U.S.C. §§ 151-154 and 254, and sections 0.91, 0.291, and 1.3 of the Commission’s rules, 47 C.F.R. §§ 0.91, 0.291, and 1.3, the request for waiver of sections 54.603 and 54.615 of the Commission’s rules, 47 C.F.R. §§ 54.603, 54.615, filed by Burke Center-West Austin Street, Trinity Valley Community College, and the University of Texas Health Science Center at Tyler on behalf of the East Texas Interactive Healthcare Network-Andrews Center on May 12, 2017, IS DENIED.</w:t>
      </w:r>
    </w:p>
    <w:p w:rsidR="00965215" w:rsidRPr="00965215" w:rsidP="00965215" w14:paraId="6DE16B03" w14:textId="77777777">
      <w:pPr>
        <w:pStyle w:val="ParaNum"/>
        <w:rPr>
          <w:szCs w:val="22"/>
        </w:rPr>
      </w:pPr>
      <w:r w:rsidRPr="00965215">
        <w:rPr>
          <w:rStyle w:val="StyleNumberedparagraphs11ptChar"/>
          <w:szCs w:val="22"/>
        </w:rPr>
        <w:t xml:space="preserve">IT IS FURTHER ORDERED, pursuant to the authority contained in sections 1-4 and 254 of the Communications Act of 1934, as amended, 47 U.S.C. §§ 151-154 and 254, </w:t>
      </w:r>
      <w:r w:rsidRPr="00965215">
        <w:rPr>
          <w:szCs w:val="22"/>
        </w:rPr>
        <w:t xml:space="preserve">and sections 0.91 and 0.291 of the Commission’s rules, 47 C.F.R. §§ 0.91 and 0.291, </w:t>
      </w:r>
      <w:r w:rsidRPr="00965215">
        <w:rPr>
          <w:rStyle w:val="StyleNumberedparagraphs11ptChar"/>
          <w:szCs w:val="22"/>
        </w:rPr>
        <w:t>that</w:t>
      </w:r>
      <w:r w:rsidRPr="00965215">
        <w:rPr>
          <w:szCs w:val="22"/>
        </w:rPr>
        <w:t xml:space="preserve"> USAC SHALL CONTINUE its recovery actions against Windstream Communications, LLC</w:t>
      </w:r>
      <w:r w:rsidRPr="00965215">
        <w:rPr>
          <w:rStyle w:val="StyleNumberedparagraphs11ptChar"/>
          <w:szCs w:val="22"/>
        </w:rPr>
        <w:t xml:space="preserve">, and SHALL SEEK recovery for any monies disbursed under the funding year 2012, 2013, 2014, and 2015 funding request numbers identified herein.  </w:t>
      </w:r>
    </w:p>
    <w:p w:rsidR="00965215" w:rsidRPr="00965215" w:rsidP="00965215" w14:paraId="7BD34840" w14:textId="77777777">
      <w:pPr>
        <w:pStyle w:val="ParaNum"/>
        <w:widowControl/>
        <w:rPr>
          <w:rStyle w:val="StyleNumberedparagraphs11ptChar"/>
          <w:szCs w:val="22"/>
        </w:rPr>
      </w:pPr>
      <w:r w:rsidRPr="00965215">
        <w:rPr>
          <w:color w:val="000000"/>
          <w:szCs w:val="22"/>
        </w:rPr>
        <w:t xml:space="preserve">IT IS </w:t>
      </w:r>
      <w:r w:rsidRPr="00965215">
        <w:rPr>
          <w:rStyle w:val="StyleNumberedparagraphs11ptChar"/>
          <w:szCs w:val="22"/>
        </w:rPr>
        <w:t xml:space="preserve">FURTHER ORDERED, pursuant to the authority contained in sections 1-4 and 254 of the Communications Act of 1934, as amended, 47 U.S.C. §§ 151-154 and 254, </w:t>
      </w:r>
      <w:r w:rsidRPr="00965215">
        <w:rPr>
          <w:szCs w:val="22"/>
        </w:rPr>
        <w:t xml:space="preserve">and sections 0.91 and 0.291 of the Commission’s rules, 47 C.F.R. §§ 0.91 and 0.291, </w:t>
      </w:r>
      <w:r w:rsidRPr="00965215">
        <w:rPr>
          <w:rStyle w:val="StyleNumberedparagraphs11ptChar"/>
          <w:szCs w:val="22"/>
        </w:rPr>
        <w:t>that</w:t>
      </w:r>
      <w:r w:rsidRPr="00965215">
        <w:rPr>
          <w:szCs w:val="22"/>
        </w:rPr>
        <w:t xml:space="preserve"> USAC SHALL RESCIND funding committed for the funding year 2012, 2013, 2014, 2015, and 2016 </w:t>
      </w:r>
      <w:r w:rsidRPr="00965215">
        <w:rPr>
          <w:rStyle w:val="StyleNumberedparagraphs11ptChar"/>
          <w:szCs w:val="22"/>
        </w:rPr>
        <w:t>FRNs</w:t>
      </w:r>
      <w:r w:rsidRPr="00965215">
        <w:rPr>
          <w:rStyle w:val="StyleNumberedparagraphs11ptChar"/>
          <w:szCs w:val="22"/>
        </w:rPr>
        <w:t xml:space="preserve"> identified herein. </w:t>
      </w:r>
    </w:p>
    <w:p w:rsidR="00965215" w:rsidRPr="00965215" w:rsidP="00965215" w14:paraId="7387AA52" w14:textId="77777777">
      <w:pPr>
        <w:pStyle w:val="ParaNum"/>
        <w:rPr>
          <w:rStyle w:val="StyleNumberedparagraphs11ptChar"/>
          <w:szCs w:val="22"/>
        </w:rPr>
      </w:pPr>
      <w:r w:rsidRPr="00965215">
        <w:rPr>
          <w:rStyle w:val="StyleNumberedparagraphs11ptChar"/>
          <w:szCs w:val="22"/>
        </w:rPr>
        <w:t xml:space="preserve">IT IS FURTHER ORDERED that, pursuant to the authority contained in sections 1-4 and 254 of the Communications Act of 1934, as amended, 47 U.S.C. §§ 151-154 and 254, and sections 0.91, 0.291, and 1.3 of the Commission’s rules, 47 C.F.R. §§ 0.91, 0.291, and 1.3, the request for waiver of section 54.720(a) of the Commission’s rules, 47 C.F.R. § 54.720(a), filed by ABS Telecom LLC and Gary Speck, Plano, Texas, on September 11, 2018, IS GRANTED. </w:t>
      </w:r>
    </w:p>
    <w:p w:rsidR="00965215" w:rsidRPr="00965215" w:rsidP="00965215" w14:paraId="369DFB5C" w14:textId="77777777">
      <w:pPr>
        <w:pStyle w:val="ParaNum"/>
        <w:rPr>
          <w:rStyle w:val="StyleNumberedparagraphs11ptChar"/>
          <w:szCs w:val="22"/>
        </w:rPr>
      </w:pPr>
      <w:r w:rsidRPr="00965215">
        <w:rPr>
          <w:rStyle w:val="StyleNumberedparagraphs11ptChar"/>
          <w:szCs w:val="22"/>
        </w:rPr>
        <w:t>IT IS FURTHER ORDERED that, pursuant to the authority contained in sections 1-4 and 254 of the Communications Act of 1934, as amended, 47 U.S.C. §§ 151-154 and 254, and sections 0.91, 0.291, and 1.3 of the Commission’s rules, 47 C.F.R. §§ 0.91, 0.291, and 1.3, the request for waiver of section 54.720(a) of the Commission’s rules, 47 C.F.R. § 54.720(a), filed by Burke Center-West Austin Street, Trinity Valley Community College, and the University of Texas Health Science Center at Tyler on behalf of the East Texas Interactive Healthcare Network-Andrews Center on April 18, 2017, IS DISMISSED AS MOOT.</w:t>
      </w:r>
    </w:p>
    <w:p w:rsidR="00965215" w:rsidRPr="00965215" w:rsidP="00965215" w14:paraId="65C0BDBB" w14:textId="77777777">
      <w:pPr>
        <w:pStyle w:val="ParaNum"/>
        <w:rPr>
          <w:rStyle w:val="StyleNumberedparagraphs11ptChar"/>
          <w:szCs w:val="22"/>
        </w:rPr>
      </w:pPr>
      <w:r w:rsidRPr="00965215">
        <w:rPr>
          <w:rStyle w:val="StyleNumberedparagraphs11ptChar"/>
          <w:szCs w:val="22"/>
        </w:rPr>
        <w:t>IT IS FURTHER ORDERED that, pursuant to the authority delegated in section 1.102(b)(1) of the Commission’s rules, 47 C.F.R. § 1.102(b)(1), this order SHALL BE EFFECTIVE upon release.</w:t>
      </w:r>
    </w:p>
    <w:p w:rsidR="00965215" w:rsidRPr="00965215" w:rsidP="00965215" w14:paraId="2E3B8973" w14:textId="77777777">
      <w:pPr>
        <w:pStyle w:val="Numberedparagraphs"/>
        <w:numPr>
          <w:ilvl w:val="0"/>
          <w:numId w:val="0"/>
        </w:numPr>
        <w:spacing w:after="0"/>
        <w:rPr>
          <w:sz w:val="22"/>
          <w:szCs w:val="22"/>
        </w:rPr>
      </w:pPr>
    </w:p>
    <w:p w:rsidR="00965215" w:rsidRPr="00965215" w:rsidP="00965215" w14:paraId="3D14C470" w14:textId="77777777">
      <w:pPr>
        <w:pStyle w:val="Numberedparagraphs"/>
        <w:numPr>
          <w:ilvl w:val="0"/>
          <w:numId w:val="0"/>
        </w:numPr>
        <w:spacing w:after="0"/>
        <w:rPr>
          <w:sz w:val="22"/>
          <w:szCs w:val="22"/>
        </w:rPr>
      </w:pPr>
      <w:r w:rsidRPr="00965215">
        <w:rPr>
          <w:sz w:val="22"/>
          <w:szCs w:val="22"/>
        </w:rPr>
        <w:tab/>
      </w:r>
      <w:r w:rsidRPr="00965215">
        <w:rPr>
          <w:sz w:val="22"/>
          <w:szCs w:val="22"/>
        </w:rPr>
        <w:tab/>
      </w:r>
      <w:r w:rsidRPr="00965215">
        <w:rPr>
          <w:sz w:val="22"/>
          <w:szCs w:val="22"/>
        </w:rPr>
        <w:tab/>
      </w:r>
      <w:r w:rsidRPr="00965215">
        <w:rPr>
          <w:sz w:val="22"/>
          <w:szCs w:val="22"/>
        </w:rPr>
        <w:tab/>
        <w:t>FEDERAL COMMUNICATIONS COMMISSION</w:t>
      </w:r>
    </w:p>
    <w:p w:rsidR="00965215" w:rsidRPr="00965215" w:rsidP="00965215" w14:paraId="60C0D759" w14:textId="77777777">
      <w:pPr>
        <w:keepNext/>
        <w:keepLines/>
        <w:ind w:left="3600"/>
        <w:outlineLvl w:val="0"/>
        <w:rPr>
          <w:szCs w:val="22"/>
        </w:rPr>
      </w:pPr>
    </w:p>
    <w:p w:rsidR="00965215" w:rsidRPr="00965215" w:rsidP="00965215" w14:paraId="6112694A" w14:textId="77777777">
      <w:pPr>
        <w:keepNext/>
        <w:keepLines/>
        <w:ind w:left="3600"/>
        <w:outlineLvl w:val="0"/>
        <w:rPr>
          <w:szCs w:val="22"/>
        </w:rPr>
      </w:pPr>
    </w:p>
    <w:p w:rsidR="00965215" w:rsidRPr="00965215" w:rsidP="00965215" w14:paraId="1A5E34AB" w14:textId="77777777">
      <w:pPr>
        <w:keepNext/>
        <w:keepLines/>
        <w:ind w:left="3600"/>
        <w:outlineLvl w:val="0"/>
        <w:rPr>
          <w:szCs w:val="22"/>
        </w:rPr>
      </w:pPr>
    </w:p>
    <w:p w:rsidR="00965215" w:rsidRPr="00965215" w:rsidP="00965215" w14:paraId="2B175678" w14:textId="77777777">
      <w:pPr>
        <w:keepNext/>
        <w:keepLines/>
        <w:ind w:left="3600"/>
        <w:outlineLvl w:val="0"/>
        <w:rPr>
          <w:szCs w:val="22"/>
        </w:rPr>
      </w:pPr>
    </w:p>
    <w:p w:rsidR="00965215" w:rsidRPr="00965215" w:rsidP="00965215" w14:paraId="395D04F9" w14:textId="77777777">
      <w:pPr>
        <w:keepNext/>
        <w:keepLines/>
        <w:ind w:left="3600"/>
        <w:outlineLvl w:val="0"/>
        <w:rPr>
          <w:szCs w:val="22"/>
        </w:rPr>
      </w:pPr>
      <w:r w:rsidRPr="00965215">
        <w:rPr>
          <w:szCs w:val="22"/>
        </w:rPr>
        <w:t>Ryan B. Palmer</w:t>
      </w:r>
    </w:p>
    <w:p w:rsidR="00965215" w:rsidRPr="00965215" w:rsidP="00965215" w14:paraId="409493F5" w14:textId="77777777">
      <w:pPr>
        <w:keepNext/>
        <w:keepLines/>
        <w:ind w:left="3600"/>
        <w:rPr>
          <w:szCs w:val="22"/>
        </w:rPr>
      </w:pPr>
      <w:r w:rsidRPr="00965215">
        <w:rPr>
          <w:szCs w:val="22"/>
        </w:rPr>
        <w:t>Chief</w:t>
      </w:r>
    </w:p>
    <w:p w:rsidR="00965215" w:rsidRPr="00965215" w:rsidP="00965215" w14:paraId="1EFCED21" w14:textId="77777777">
      <w:pPr>
        <w:keepNext/>
        <w:keepLines/>
        <w:ind w:left="3600"/>
        <w:rPr>
          <w:szCs w:val="22"/>
        </w:rPr>
      </w:pPr>
      <w:r w:rsidRPr="00965215">
        <w:rPr>
          <w:szCs w:val="22"/>
        </w:rPr>
        <w:t xml:space="preserve">Telecommunications Access Policy Division </w:t>
      </w:r>
    </w:p>
    <w:p w:rsidR="00965215" w:rsidRPr="00965215" w:rsidP="00965215" w14:paraId="6821DDA2" w14:textId="77777777">
      <w:pPr>
        <w:keepNext/>
        <w:keepLines/>
        <w:ind w:left="3600"/>
        <w:rPr>
          <w:szCs w:val="22"/>
        </w:rPr>
      </w:pPr>
      <w:r w:rsidRPr="00965215">
        <w:rPr>
          <w:szCs w:val="22"/>
        </w:rPr>
        <w:t>Wireline Competition Bureau</w:t>
      </w:r>
    </w:p>
    <w:p w:rsidR="00965215" w:rsidRPr="00965215" w:rsidP="00965215" w14:paraId="7640771A" w14:textId="77777777">
      <w:pPr>
        <w:pStyle w:val="Numberedparagraphs"/>
        <w:numPr>
          <w:ilvl w:val="0"/>
          <w:numId w:val="0"/>
        </w:numPr>
        <w:rPr>
          <w:sz w:val="22"/>
          <w:szCs w:val="22"/>
        </w:rPr>
      </w:pPr>
    </w:p>
    <w:p w:rsidR="00965215" w:rsidP="00965215" w14:paraId="2A53B267" w14:textId="77777777">
      <w:pPr>
        <w:pStyle w:val="Numberedparagraphs"/>
        <w:numPr>
          <w:ilvl w:val="0"/>
          <w:numId w:val="0"/>
        </w:numPr>
        <w:jc w:val="center"/>
        <w:rPr>
          <w:b/>
          <w:sz w:val="22"/>
          <w:szCs w:val="22"/>
          <w:u w:val="single"/>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965215" w:rsidRPr="00965215" w:rsidP="00965215" w14:paraId="222605D3" w14:textId="22EE482D">
      <w:pPr>
        <w:pStyle w:val="Numberedparagraphs"/>
        <w:numPr>
          <w:ilvl w:val="0"/>
          <w:numId w:val="0"/>
        </w:numPr>
        <w:jc w:val="center"/>
        <w:rPr>
          <w:b/>
          <w:sz w:val="22"/>
          <w:szCs w:val="22"/>
          <w:u w:val="single"/>
        </w:rPr>
      </w:pPr>
      <w:r w:rsidRPr="00965215">
        <w:rPr>
          <w:b/>
          <w:sz w:val="22"/>
          <w:szCs w:val="22"/>
          <w:u w:val="single"/>
        </w:rPr>
        <w:t>Appendix A</w:t>
      </w:r>
    </w:p>
    <w:p w:rsidR="00965215" w:rsidRPr="00965215" w:rsidP="00965215" w14:paraId="27BA405A" w14:textId="77777777">
      <w:pPr>
        <w:jc w:val="center"/>
        <w:rPr>
          <w:b/>
          <w:szCs w:val="22"/>
        </w:rPr>
      </w:pPr>
      <w:r w:rsidRPr="00965215">
        <w:rPr>
          <w:b/>
          <w:szCs w:val="22"/>
        </w:rPr>
        <w:t xml:space="preserve">FY 2012 - 2016 </w:t>
      </w:r>
      <w:r w:rsidRPr="00965215">
        <w:rPr>
          <w:b/>
          <w:szCs w:val="22"/>
        </w:rPr>
        <w:t>FRNs</w:t>
      </w:r>
      <w:r w:rsidRPr="00965215">
        <w:rPr>
          <w:b/>
          <w:szCs w:val="22"/>
        </w:rPr>
        <w:t xml:space="preserve"> For Which Funding Has Been Committed/Denied</w:t>
      </w:r>
    </w:p>
    <w:p w:rsidR="00965215" w:rsidRPr="00965215" w:rsidP="00965215" w14:paraId="2F438839" w14:textId="77777777">
      <w:pPr>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2690"/>
        <w:gridCol w:w="1011"/>
        <w:gridCol w:w="1695"/>
        <w:gridCol w:w="1882"/>
      </w:tblGrid>
      <w:tr w14:paraId="406DAE20" w14:textId="77777777" w:rsidTr="00AB3B6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075" w:type="dxa"/>
            <w:shd w:val="clear" w:color="auto" w:fill="auto"/>
          </w:tcPr>
          <w:p w:rsidR="00965215" w:rsidP="00AB3B6C" w14:paraId="07F2F45E" w14:textId="77777777">
            <w:pPr>
              <w:jc w:val="center"/>
              <w:rPr>
                <w:rFonts w:eastAsia="Calibri"/>
                <w:b/>
                <w:sz w:val="20"/>
              </w:rPr>
            </w:pPr>
            <w:r w:rsidRPr="00AB3B6C">
              <w:rPr>
                <w:rFonts w:eastAsia="Calibri"/>
                <w:b/>
                <w:sz w:val="20"/>
              </w:rPr>
              <w:t>Health Care Provider Number</w:t>
            </w:r>
          </w:p>
          <w:p w:rsidR="00AB3B6C" w:rsidRPr="00AB3B6C" w:rsidP="00AB3B6C" w14:paraId="4CCDD024" w14:textId="36C03D0D">
            <w:pPr>
              <w:jc w:val="center"/>
              <w:rPr>
                <w:rFonts w:eastAsia="Calibri"/>
                <w:b/>
                <w:sz w:val="20"/>
              </w:rPr>
            </w:pPr>
          </w:p>
        </w:tc>
        <w:tc>
          <w:tcPr>
            <w:tcW w:w="2690" w:type="dxa"/>
            <w:shd w:val="clear" w:color="auto" w:fill="auto"/>
          </w:tcPr>
          <w:p w:rsidR="00965215" w:rsidRPr="00AB3B6C" w:rsidP="00AB3B6C" w14:paraId="0EB6E254" w14:textId="77777777">
            <w:pPr>
              <w:jc w:val="center"/>
              <w:rPr>
                <w:rFonts w:eastAsia="Calibri"/>
                <w:b/>
                <w:sz w:val="20"/>
              </w:rPr>
            </w:pPr>
            <w:r w:rsidRPr="00AB3B6C">
              <w:rPr>
                <w:rFonts w:eastAsia="Calibri"/>
                <w:b/>
                <w:sz w:val="20"/>
              </w:rPr>
              <w:t>Health Care Provider Name</w:t>
            </w:r>
          </w:p>
        </w:tc>
        <w:tc>
          <w:tcPr>
            <w:tcW w:w="1011" w:type="dxa"/>
            <w:shd w:val="clear" w:color="auto" w:fill="auto"/>
          </w:tcPr>
          <w:p w:rsidR="00965215" w:rsidRPr="00AB3B6C" w:rsidP="00AB3B6C" w14:paraId="19155D8D" w14:textId="77777777">
            <w:pPr>
              <w:jc w:val="center"/>
              <w:rPr>
                <w:rFonts w:eastAsia="Calibri"/>
                <w:b/>
                <w:sz w:val="20"/>
              </w:rPr>
            </w:pPr>
            <w:r w:rsidRPr="00AB3B6C">
              <w:rPr>
                <w:rFonts w:eastAsia="Calibri"/>
                <w:b/>
                <w:sz w:val="20"/>
              </w:rPr>
              <w:t>Funding Year</w:t>
            </w:r>
          </w:p>
        </w:tc>
        <w:tc>
          <w:tcPr>
            <w:tcW w:w="1695" w:type="dxa"/>
          </w:tcPr>
          <w:p w:rsidR="00965215" w:rsidRPr="00AB3B6C" w:rsidP="00AB3B6C" w14:paraId="63B2A411" w14:textId="77777777">
            <w:pPr>
              <w:jc w:val="center"/>
              <w:rPr>
                <w:rFonts w:eastAsia="Calibri"/>
                <w:b/>
                <w:sz w:val="20"/>
              </w:rPr>
            </w:pPr>
            <w:r w:rsidRPr="00AB3B6C">
              <w:rPr>
                <w:rFonts w:eastAsia="Calibri"/>
                <w:b/>
                <w:sz w:val="20"/>
              </w:rPr>
              <w:t>FCC Form 465</w:t>
            </w:r>
          </w:p>
        </w:tc>
        <w:tc>
          <w:tcPr>
            <w:tcW w:w="1882" w:type="dxa"/>
            <w:shd w:val="clear" w:color="auto" w:fill="auto"/>
          </w:tcPr>
          <w:p w:rsidR="00965215" w:rsidRPr="00AB3B6C" w:rsidP="00AB3B6C" w14:paraId="574D02B5" w14:textId="77777777">
            <w:pPr>
              <w:jc w:val="center"/>
              <w:rPr>
                <w:rFonts w:eastAsia="Calibri"/>
                <w:b/>
                <w:sz w:val="20"/>
              </w:rPr>
            </w:pPr>
            <w:r w:rsidRPr="00AB3B6C">
              <w:rPr>
                <w:rFonts w:eastAsia="Calibri"/>
                <w:b/>
                <w:sz w:val="20"/>
              </w:rPr>
              <w:t>Funding Request Number</w:t>
            </w:r>
          </w:p>
        </w:tc>
      </w:tr>
      <w:tr w14:paraId="5BC8C7C8" w14:textId="77777777" w:rsidTr="00AB3B6C">
        <w:tblPrEx>
          <w:tblW w:w="0" w:type="auto"/>
          <w:tblLook w:val="04A0"/>
        </w:tblPrEx>
        <w:trPr>
          <w:cantSplit/>
        </w:trPr>
        <w:tc>
          <w:tcPr>
            <w:tcW w:w="2075" w:type="dxa"/>
            <w:shd w:val="clear" w:color="auto" w:fill="auto"/>
          </w:tcPr>
          <w:p w:rsidR="00965215" w:rsidRPr="00AB3B6C" w:rsidP="00965215" w14:paraId="4ABDC955"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6DE19532"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02259EC5" w14:textId="77777777">
            <w:pPr>
              <w:rPr>
                <w:rFonts w:eastAsia="Calibri"/>
                <w:sz w:val="20"/>
              </w:rPr>
            </w:pPr>
            <w:r w:rsidRPr="00AB3B6C">
              <w:rPr>
                <w:rFonts w:eastAsia="Calibri"/>
                <w:sz w:val="20"/>
              </w:rPr>
              <w:t>2012</w:t>
            </w:r>
          </w:p>
        </w:tc>
        <w:tc>
          <w:tcPr>
            <w:tcW w:w="1695" w:type="dxa"/>
          </w:tcPr>
          <w:p w:rsidR="00965215" w:rsidRPr="00AB3B6C" w:rsidP="00965215" w14:paraId="7848ABED" w14:textId="77777777">
            <w:pPr>
              <w:rPr>
                <w:rFonts w:eastAsia="Calibri"/>
                <w:sz w:val="20"/>
              </w:rPr>
            </w:pPr>
            <w:r w:rsidRPr="00AB3B6C">
              <w:rPr>
                <w:rFonts w:eastAsia="Calibri"/>
                <w:sz w:val="20"/>
              </w:rPr>
              <w:t>43123237</w:t>
            </w:r>
          </w:p>
        </w:tc>
        <w:tc>
          <w:tcPr>
            <w:tcW w:w="1882" w:type="dxa"/>
            <w:shd w:val="clear" w:color="auto" w:fill="auto"/>
          </w:tcPr>
          <w:p w:rsidR="00965215" w:rsidRPr="00AB3B6C" w:rsidP="00965215" w14:paraId="16F8A46E" w14:textId="77777777">
            <w:pPr>
              <w:rPr>
                <w:rFonts w:eastAsia="Calibri"/>
                <w:sz w:val="20"/>
              </w:rPr>
            </w:pPr>
            <w:r w:rsidRPr="00AB3B6C">
              <w:rPr>
                <w:rFonts w:eastAsia="Calibri"/>
                <w:sz w:val="20"/>
              </w:rPr>
              <w:t>1210028</w:t>
            </w:r>
          </w:p>
        </w:tc>
      </w:tr>
      <w:tr w14:paraId="6D1CA724" w14:textId="77777777" w:rsidTr="00AB3B6C">
        <w:tblPrEx>
          <w:tblW w:w="0" w:type="auto"/>
          <w:tblLook w:val="04A0"/>
        </w:tblPrEx>
        <w:trPr>
          <w:cantSplit/>
        </w:trPr>
        <w:tc>
          <w:tcPr>
            <w:tcW w:w="2075" w:type="dxa"/>
            <w:shd w:val="clear" w:color="auto" w:fill="auto"/>
          </w:tcPr>
          <w:p w:rsidR="00965215" w:rsidRPr="00AB3B6C" w:rsidP="00965215" w14:paraId="40A529DC"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1B43AD79"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0E62B88D" w14:textId="77777777">
            <w:pPr>
              <w:rPr>
                <w:rFonts w:eastAsia="Calibri"/>
                <w:sz w:val="20"/>
              </w:rPr>
            </w:pPr>
            <w:r w:rsidRPr="00AB3B6C">
              <w:rPr>
                <w:rFonts w:eastAsia="Calibri"/>
                <w:sz w:val="20"/>
              </w:rPr>
              <w:t>2012</w:t>
            </w:r>
          </w:p>
        </w:tc>
        <w:tc>
          <w:tcPr>
            <w:tcW w:w="1695" w:type="dxa"/>
          </w:tcPr>
          <w:p w:rsidR="00965215" w:rsidRPr="00AB3B6C" w:rsidP="00965215" w14:paraId="7C4EB889" w14:textId="77777777">
            <w:pPr>
              <w:rPr>
                <w:rFonts w:eastAsia="Calibri"/>
                <w:sz w:val="20"/>
              </w:rPr>
            </w:pPr>
            <w:r w:rsidRPr="00AB3B6C">
              <w:rPr>
                <w:rFonts w:eastAsia="Calibri"/>
                <w:sz w:val="20"/>
              </w:rPr>
              <w:t>43123239</w:t>
            </w:r>
          </w:p>
        </w:tc>
        <w:tc>
          <w:tcPr>
            <w:tcW w:w="1882" w:type="dxa"/>
            <w:shd w:val="clear" w:color="auto" w:fill="auto"/>
          </w:tcPr>
          <w:p w:rsidR="00965215" w:rsidRPr="00AB3B6C" w:rsidP="00965215" w14:paraId="730A4C43" w14:textId="77777777">
            <w:pPr>
              <w:rPr>
                <w:rFonts w:eastAsia="Calibri"/>
                <w:sz w:val="20"/>
              </w:rPr>
            </w:pPr>
            <w:r w:rsidRPr="00AB3B6C">
              <w:rPr>
                <w:rFonts w:eastAsia="Calibri"/>
                <w:sz w:val="20"/>
              </w:rPr>
              <w:t>1210032</w:t>
            </w:r>
          </w:p>
        </w:tc>
      </w:tr>
      <w:tr w14:paraId="1020A78A" w14:textId="77777777" w:rsidTr="00AB3B6C">
        <w:tblPrEx>
          <w:tblW w:w="0" w:type="auto"/>
          <w:tblLook w:val="04A0"/>
        </w:tblPrEx>
        <w:trPr>
          <w:cantSplit/>
        </w:trPr>
        <w:tc>
          <w:tcPr>
            <w:tcW w:w="2075" w:type="dxa"/>
            <w:shd w:val="clear" w:color="auto" w:fill="auto"/>
          </w:tcPr>
          <w:p w:rsidR="00965215" w:rsidRPr="00AB3B6C" w:rsidP="00965215" w14:paraId="7F44F334"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13331E16"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2B15DFC6" w14:textId="77777777">
            <w:pPr>
              <w:rPr>
                <w:rFonts w:eastAsia="Calibri"/>
                <w:sz w:val="20"/>
              </w:rPr>
            </w:pPr>
            <w:r w:rsidRPr="00AB3B6C">
              <w:rPr>
                <w:rFonts w:eastAsia="Calibri"/>
                <w:sz w:val="20"/>
              </w:rPr>
              <w:t>2012</w:t>
            </w:r>
          </w:p>
        </w:tc>
        <w:tc>
          <w:tcPr>
            <w:tcW w:w="1695" w:type="dxa"/>
          </w:tcPr>
          <w:p w:rsidR="00965215" w:rsidRPr="00AB3B6C" w:rsidP="00965215" w14:paraId="01368819" w14:textId="77777777">
            <w:pPr>
              <w:rPr>
                <w:rFonts w:eastAsia="Calibri"/>
                <w:sz w:val="20"/>
              </w:rPr>
            </w:pPr>
            <w:r w:rsidRPr="00AB3B6C">
              <w:rPr>
                <w:rFonts w:eastAsia="Calibri"/>
                <w:sz w:val="20"/>
              </w:rPr>
              <w:t>43123240</w:t>
            </w:r>
          </w:p>
        </w:tc>
        <w:tc>
          <w:tcPr>
            <w:tcW w:w="1882" w:type="dxa"/>
            <w:shd w:val="clear" w:color="auto" w:fill="auto"/>
          </w:tcPr>
          <w:p w:rsidR="00965215" w:rsidRPr="00AB3B6C" w:rsidP="00965215" w14:paraId="240FE067" w14:textId="77777777">
            <w:pPr>
              <w:rPr>
                <w:rFonts w:eastAsia="Calibri"/>
                <w:sz w:val="20"/>
              </w:rPr>
            </w:pPr>
            <w:r w:rsidRPr="00AB3B6C">
              <w:rPr>
                <w:rFonts w:eastAsia="Calibri"/>
                <w:sz w:val="20"/>
              </w:rPr>
              <w:t>1210038</w:t>
            </w:r>
          </w:p>
        </w:tc>
      </w:tr>
      <w:tr w14:paraId="68A0E22C" w14:textId="77777777" w:rsidTr="00AB3B6C">
        <w:tblPrEx>
          <w:tblW w:w="0" w:type="auto"/>
          <w:tblLook w:val="04A0"/>
        </w:tblPrEx>
        <w:trPr>
          <w:cantSplit/>
        </w:trPr>
        <w:tc>
          <w:tcPr>
            <w:tcW w:w="2075" w:type="dxa"/>
            <w:shd w:val="clear" w:color="auto" w:fill="auto"/>
          </w:tcPr>
          <w:p w:rsidR="00965215" w:rsidRPr="00AB3B6C" w:rsidP="00965215" w14:paraId="4FC80920"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4812E45B"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17CF6368" w14:textId="77777777">
            <w:pPr>
              <w:rPr>
                <w:rFonts w:eastAsia="Calibri"/>
                <w:sz w:val="20"/>
              </w:rPr>
            </w:pPr>
            <w:r w:rsidRPr="00AB3B6C">
              <w:rPr>
                <w:rFonts w:eastAsia="Calibri"/>
                <w:sz w:val="20"/>
              </w:rPr>
              <w:t>2013</w:t>
            </w:r>
          </w:p>
        </w:tc>
        <w:tc>
          <w:tcPr>
            <w:tcW w:w="1695" w:type="dxa"/>
          </w:tcPr>
          <w:p w:rsidR="00965215" w:rsidRPr="00AB3B6C" w:rsidP="00965215" w14:paraId="0A255949" w14:textId="77777777">
            <w:pPr>
              <w:rPr>
                <w:rFonts w:eastAsia="Calibri"/>
                <w:sz w:val="20"/>
              </w:rPr>
            </w:pPr>
            <w:r w:rsidRPr="00AB3B6C">
              <w:rPr>
                <w:rFonts w:eastAsia="Calibri"/>
                <w:sz w:val="20"/>
              </w:rPr>
              <w:t>43123237</w:t>
            </w:r>
          </w:p>
        </w:tc>
        <w:tc>
          <w:tcPr>
            <w:tcW w:w="1882" w:type="dxa"/>
            <w:shd w:val="clear" w:color="auto" w:fill="auto"/>
          </w:tcPr>
          <w:p w:rsidR="00965215" w:rsidRPr="00AB3B6C" w:rsidP="00965215" w14:paraId="55DF0A74" w14:textId="77777777">
            <w:pPr>
              <w:rPr>
                <w:rFonts w:eastAsia="Calibri"/>
                <w:sz w:val="20"/>
              </w:rPr>
            </w:pPr>
            <w:r w:rsidRPr="00AB3B6C">
              <w:rPr>
                <w:rFonts w:eastAsia="Calibri"/>
                <w:sz w:val="20"/>
              </w:rPr>
              <w:t>1332019</w:t>
            </w:r>
          </w:p>
        </w:tc>
      </w:tr>
      <w:tr w14:paraId="5F220A39" w14:textId="77777777" w:rsidTr="00AB3B6C">
        <w:tblPrEx>
          <w:tblW w:w="0" w:type="auto"/>
          <w:tblLook w:val="04A0"/>
        </w:tblPrEx>
        <w:trPr>
          <w:cantSplit/>
        </w:trPr>
        <w:tc>
          <w:tcPr>
            <w:tcW w:w="2075" w:type="dxa"/>
            <w:shd w:val="clear" w:color="auto" w:fill="auto"/>
          </w:tcPr>
          <w:p w:rsidR="00965215" w:rsidRPr="00AB3B6C" w:rsidP="00965215" w14:paraId="7F11B09C"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64B14FD3"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015034F0" w14:textId="77777777">
            <w:pPr>
              <w:rPr>
                <w:rFonts w:eastAsia="Calibri"/>
                <w:sz w:val="20"/>
              </w:rPr>
            </w:pPr>
            <w:r w:rsidRPr="00AB3B6C">
              <w:rPr>
                <w:rFonts w:eastAsia="Calibri"/>
                <w:sz w:val="20"/>
              </w:rPr>
              <w:t>2014</w:t>
            </w:r>
          </w:p>
        </w:tc>
        <w:tc>
          <w:tcPr>
            <w:tcW w:w="1695" w:type="dxa"/>
          </w:tcPr>
          <w:p w:rsidR="00965215" w:rsidRPr="00AB3B6C" w:rsidP="00965215" w14:paraId="7D0B8226" w14:textId="77777777">
            <w:pPr>
              <w:rPr>
                <w:rFonts w:eastAsia="Calibri"/>
                <w:sz w:val="20"/>
              </w:rPr>
            </w:pPr>
            <w:r w:rsidRPr="00AB3B6C">
              <w:rPr>
                <w:rFonts w:eastAsia="Calibri"/>
                <w:sz w:val="20"/>
              </w:rPr>
              <w:t>43123240</w:t>
            </w:r>
          </w:p>
        </w:tc>
        <w:tc>
          <w:tcPr>
            <w:tcW w:w="1882" w:type="dxa"/>
            <w:shd w:val="clear" w:color="auto" w:fill="auto"/>
          </w:tcPr>
          <w:p w:rsidR="00965215" w:rsidRPr="00AB3B6C" w:rsidP="00965215" w14:paraId="3D8CD707" w14:textId="77777777">
            <w:pPr>
              <w:rPr>
                <w:rFonts w:eastAsia="Calibri"/>
                <w:sz w:val="20"/>
              </w:rPr>
            </w:pPr>
            <w:r w:rsidRPr="00AB3B6C">
              <w:rPr>
                <w:rFonts w:eastAsia="Calibri"/>
                <w:sz w:val="20"/>
              </w:rPr>
              <w:t>1455788</w:t>
            </w:r>
          </w:p>
        </w:tc>
      </w:tr>
      <w:tr w14:paraId="22BF5D0B" w14:textId="77777777" w:rsidTr="00AB3B6C">
        <w:tblPrEx>
          <w:tblW w:w="0" w:type="auto"/>
          <w:tblLook w:val="04A0"/>
        </w:tblPrEx>
        <w:trPr>
          <w:cantSplit/>
        </w:trPr>
        <w:tc>
          <w:tcPr>
            <w:tcW w:w="2075" w:type="dxa"/>
            <w:shd w:val="clear" w:color="auto" w:fill="auto"/>
          </w:tcPr>
          <w:p w:rsidR="00965215" w:rsidRPr="00AB3B6C" w:rsidP="00965215" w14:paraId="37EF0F04"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691FCBEA"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03DECA72" w14:textId="77777777">
            <w:pPr>
              <w:rPr>
                <w:rFonts w:eastAsia="Calibri"/>
                <w:sz w:val="20"/>
              </w:rPr>
            </w:pPr>
            <w:r w:rsidRPr="00AB3B6C">
              <w:rPr>
                <w:rFonts w:eastAsia="Calibri"/>
                <w:sz w:val="20"/>
              </w:rPr>
              <w:t>2014</w:t>
            </w:r>
          </w:p>
        </w:tc>
        <w:tc>
          <w:tcPr>
            <w:tcW w:w="1695" w:type="dxa"/>
          </w:tcPr>
          <w:p w:rsidR="00965215" w:rsidRPr="00AB3B6C" w:rsidP="00965215" w14:paraId="15092340" w14:textId="77777777">
            <w:pPr>
              <w:rPr>
                <w:rFonts w:eastAsia="Calibri"/>
                <w:sz w:val="20"/>
              </w:rPr>
            </w:pPr>
            <w:r w:rsidRPr="00AB3B6C">
              <w:rPr>
                <w:rFonts w:eastAsia="Calibri"/>
                <w:sz w:val="20"/>
              </w:rPr>
              <w:t>43123237</w:t>
            </w:r>
          </w:p>
        </w:tc>
        <w:tc>
          <w:tcPr>
            <w:tcW w:w="1882" w:type="dxa"/>
            <w:shd w:val="clear" w:color="auto" w:fill="auto"/>
          </w:tcPr>
          <w:p w:rsidR="00965215" w:rsidRPr="00AB3B6C" w:rsidP="00965215" w14:paraId="1A9A0BB2" w14:textId="77777777">
            <w:pPr>
              <w:rPr>
                <w:rFonts w:eastAsia="Calibri"/>
                <w:sz w:val="20"/>
              </w:rPr>
            </w:pPr>
            <w:r w:rsidRPr="00AB3B6C">
              <w:rPr>
                <w:rFonts w:eastAsia="Calibri"/>
                <w:sz w:val="20"/>
              </w:rPr>
              <w:t>1455793</w:t>
            </w:r>
          </w:p>
        </w:tc>
      </w:tr>
      <w:tr w14:paraId="353F8E70" w14:textId="77777777" w:rsidTr="00AB3B6C">
        <w:tblPrEx>
          <w:tblW w:w="0" w:type="auto"/>
          <w:tblLook w:val="04A0"/>
        </w:tblPrEx>
        <w:trPr>
          <w:cantSplit/>
        </w:trPr>
        <w:tc>
          <w:tcPr>
            <w:tcW w:w="2075" w:type="dxa"/>
            <w:shd w:val="clear" w:color="auto" w:fill="auto"/>
          </w:tcPr>
          <w:p w:rsidR="00965215" w:rsidRPr="00AB3B6C" w:rsidP="00965215" w14:paraId="22613D60"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077C3F34"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449171A0" w14:textId="77777777">
            <w:pPr>
              <w:rPr>
                <w:rFonts w:eastAsia="Calibri"/>
                <w:sz w:val="20"/>
              </w:rPr>
            </w:pPr>
            <w:r w:rsidRPr="00AB3B6C">
              <w:rPr>
                <w:rFonts w:eastAsia="Calibri"/>
                <w:sz w:val="20"/>
              </w:rPr>
              <w:t>2014</w:t>
            </w:r>
          </w:p>
        </w:tc>
        <w:tc>
          <w:tcPr>
            <w:tcW w:w="1695" w:type="dxa"/>
          </w:tcPr>
          <w:p w:rsidR="00965215" w:rsidRPr="00AB3B6C" w:rsidP="00965215" w14:paraId="1AC0E8C2"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75AE27F3" w14:textId="77777777">
            <w:pPr>
              <w:rPr>
                <w:rFonts w:eastAsia="Calibri"/>
                <w:sz w:val="20"/>
              </w:rPr>
            </w:pPr>
            <w:r w:rsidRPr="00AB3B6C">
              <w:rPr>
                <w:rFonts w:eastAsia="Calibri"/>
                <w:sz w:val="20"/>
              </w:rPr>
              <w:t>1455796</w:t>
            </w:r>
          </w:p>
        </w:tc>
      </w:tr>
      <w:tr w14:paraId="4C2B45A5" w14:textId="77777777" w:rsidTr="00AB3B6C">
        <w:tblPrEx>
          <w:tblW w:w="0" w:type="auto"/>
          <w:tblLook w:val="04A0"/>
        </w:tblPrEx>
        <w:trPr>
          <w:cantSplit/>
        </w:trPr>
        <w:tc>
          <w:tcPr>
            <w:tcW w:w="2075" w:type="dxa"/>
            <w:shd w:val="clear" w:color="auto" w:fill="auto"/>
          </w:tcPr>
          <w:p w:rsidR="00965215" w:rsidRPr="00AB3B6C" w:rsidP="00965215" w14:paraId="62482D96"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0609B79A"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3DD535D5" w14:textId="77777777">
            <w:pPr>
              <w:rPr>
                <w:rFonts w:eastAsia="Calibri"/>
                <w:sz w:val="20"/>
              </w:rPr>
            </w:pPr>
            <w:r w:rsidRPr="00AB3B6C">
              <w:rPr>
                <w:rFonts w:eastAsia="Calibri"/>
                <w:sz w:val="20"/>
              </w:rPr>
              <w:t>2014</w:t>
            </w:r>
          </w:p>
        </w:tc>
        <w:tc>
          <w:tcPr>
            <w:tcW w:w="1695" w:type="dxa"/>
          </w:tcPr>
          <w:p w:rsidR="00965215" w:rsidRPr="00AB3B6C" w:rsidP="00965215" w14:paraId="377F10A2"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20ADF20B" w14:textId="77777777">
            <w:pPr>
              <w:rPr>
                <w:rFonts w:eastAsia="Calibri"/>
                <w:sz w:val="20"/>
              </w:rPr>
            </w:pPr>
            <w:r w:rsidRPr="00AB3B6C">
              <w:rPr>
                <w:rFonts w:eastAsia="Calibri"/>
                <w:sz w:val="20"/>
              </w:rPr>
              <w:t>1455797</w:t>
            </w:r>
          </w:p>
        </w:tc>
      </w:tr>
      <w:tr w14:paraId="2E15B39E" w14:textId="77777777" w:rsidTr="00AB3B6C">
        <w:tblPrEx>
          <w:tblW w:w="0" w:type="auto"/>
          <w:tblLook w:val="04A0"/>
        </w:tblPrEx>
        <w:trPr>
          <w:cantSplit/>
        </w:trPr>
        <w:tc>
          <w:tcPr>
            <w:tcW w:w="2075" w:type="dxa"/>
            <w:shd w:val="clear" w:color="auto" w:fill="auto"/>
          </w:tcPr>
          <w:p w:rsidR="00965215" w:rsidRPr="00AB3B6C" w:rsidP="00965215" w14:paraId="331BA6E1"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46DDDAB5"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481C2AD8" w14:textId="77777777">
            <w:pPr>
              <w:rPr>
                <w:rFonts w:eastAsia="Calibri"/>
                <w:sz w:val="20"/>
              </w:rPr>
            </w:pPr>
            <w:r w:rsidRPr="00AB3B6C">
              <w:rPr>
                <w:rFonts w:eastAsia="Calibri"/>
                <w:sz w:val="20"/>
              </w:rPr>
              <w:t>2014</w:t>
            </w:r>
          </w:p>
        </w:tc>
        <w:tc>
          <w:tcPr>
            <w:tcW w:w="1695" w:type="dxa"/>
          </w:tcPr>
          <w:p w:rsidR="00965215" w:rsidRPr="00AB3B6C" w:rsidP="00965215" w14:paraId="7BA4792E"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6FC9DC4F" w14:textId="77777777">
            <w:pPr>
              <w:rPr>
                <w:rFonts w:eastAsia="Calibri"/>
                <w:sz w:val="20"/>
              </w:rPr>
            </w:pPr>
            <w:r w:rsidRPr="00AB3B6C">
              <w:rPr>
                <w:rFonts w:eastAsia="Calibri"/>
                <w:sz w:val="20"/>
              </w:rPr>
              <w:t>1455798</w:t>
            </w:r>
          </w:p>
        </w:tc>
      </w:tr>
      <w:tr w14:paraId="642EFB34" w14:textId="77777777" w:rsidTr="00AB3B6C">
        <w:tblPrEx>
          <w:tblW w:w="0" w:type="auto"/>
          <w:tblLook w:val="04A0"/>
        </w:tblPrEx>
        <w:trPr>
          <w:cantSplit/>
        </w:trPr>
        <w:tc>
          <w:tcPr>
            <w:tcW w:w="2075" w:type="dxa"/>
            <w:shd w:val="clear" w:color="auto" w:fill="auto"/>
          </w:tcPr>
          <w:p w:rsidR="00965215" w:rsidRPr="00AB3B6C" w:rsidP="00965215" w14:paraId="1198840D"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230E9D6C"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02BA02A4" w14:textId="77777777">
            <w:pPr>
              <w:rPr>
                <w:rFonts w:eastAsia="Calibri"/>
                <w:sz w:val="20"/>
              </w:rPr>
            </w:pPr>
            <w:r w:rsidRPr="00AB3B6C">
              <w:rPr>
                <w:rFonts w:eastAsia="Calibri"/>
                <w:sz w:val="20"/>
              </w:rPr>
              <w:t>2014</w:t>
            </w:r>
          </w:p>
        </w:tc>
        <w:tc>
          <w:tcPr>
            <w:tcW w:w="1695" w:type="dxa"/>
          </w:tcPr>
          <w:p w:rsidR="00965215" w:rsidRPr="00AB3B6C" w:rsidP="00965215" w14:paraId="35040F37"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77C88F50" w14:textId="77777777">
            <w:pPr>
              <w:rPr>
                <w:rFonts w:eastAsia="Calibri"/>
                <w:sz w:val="20"/>
              </w:rPr>
            </w:pPr>
            <w:r w:rsidRPr="00AB3B6C">
              <w:rPr>
                <w:rFonts w:eastAsia="Calibri"/>
                <w:sz w:val="20"/>
              </w:rPr>
              <w:t>1456124</w:t>
            </w:r>
          </w:p>
        </w:tc>
      </w:tr>
      <w:tr w14:paraId="15355816" w14:textId="77777777" w:rsidTr="00AB3B6C">
        <w:tblPrEx>
          <w:tblW w:w="0" w:type="auto"/>
          <w:tblLook w:val="04A0"/>
        </w:tblPrEx>
        <w:trPr>
          <w:cantSplit/>
        </w:trPr>
        <w:tc>
          <w:tcPr>
            <w:tcW w:w="2075" w:type="dxa"/>
            <w:shd w:val="clear" w:color="auto" w:fill="auto"/>
          </w:tcPr>
          <w:p w:rsidR="00965215" w:rsidRPr="00AB3B6C" w:rsidP="00965215" w14:paraId="7967DF91"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20F8AA2D"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7EA5346B" w14:textId="77777777">
            <w:pPr>
              <w:rPr>
                <w:rFonts w:eastAsia="Calibri"/>
                <w:sz w:val="20"/>
              </w:rPr>
            </w:pPr>
            <w:r w:rsidRPr="00AB3B6C">
              <w:rPr>
                <w:rFonts w:eastAsia="Calibri"/>
                <w:sz w:val="20"/>
              </w:rPr>
              <w:t>2014</w:t>
            </w:r>
          </w:p>
        </w:tc>
        <w:tc>
          <w:tcPr>
            <w:tcW w:w="1695" w:type="dxa"/>
          </w:tcPr>
          <w:p w:rsidR="00965215" w:rsidRPr="00AB3B6C" w:rsidP="00965215" w14:paraId="22D8F64B"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786D53D0" w14:textId="77777777">
            <w:pPr>
              <w:rPr>
                <w:rFonts w:eastAsia="Calibri"/>
                <w:sz w:val="20"/>
              </w:rPr>
            </w:pPr>
            <w:r w:rsidRPr="00AB3B6C">
              <w:rPr>
                <w:rFonts w:eastAsia="Calibri"/>
                <w:sz w:val="20"/>
              </w:rPr>
              <w:t>1456125</w:t>
            </w:r>
          </w:p>
        </w:tc>
      </w:tr>
      <w:tr w14:paraId="74A92E2A" w14:textId="77777777" w:rsidTr="00AB3B6C">
        <w:tblPrEx>
          <w:tblW w:w="0" w:type="auto"/>
          <w:tblLook w:val="04A0"/>
        </w:tblPrEx>
        <w:trPr>
          <w:cantSplit/>
        </w:trPr>
        <w:tc>
          <w:tcPr>
            <w:tcW w:w="2075" w:type="dxa"/>
            <w:shd w:val="clear" w:color="auto" w:fill="auto"/>
          </w:tcPr>
          <w:p w:rsidR="00965215" w:rsidRPr="00AB3B6C" w:rsidP="00965215" w14:paraId="3A8111D8"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04965ABF"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17240B9C" w14:textId="77777777">
            <w:pPr>
              <w:rPr>
                <w:rFonts w:eastAsia="Calibri"/>
                <w:sz w:val="20"/>
              </w:rPr>
            </w:pPr>
            <w:r w:rsidRPr="00AB3B6C">
              <w:rPr>
                <w:rFonts w:eastAsia="Calibri"/>
                <w:sz w:val="20"/>
              </w:rPr>
              <w:t>2014</w:t>
            </w:r>
          </w:p>
        </w:tc>
        <w:tc>
          <w:tcPr>
            <w:tcW w:w="1695" w:type="dxa"/>
          </w:tcPr>
          <w:p w:rsidR="00965215" w:rsidRPr="00AB3B6C" w:rsidP="00965215" w14:paraId="5CDE1851" w14:textId="77777777">
            <w:pPr>
              <w:rPr>
                <w:rFonts w:eastAsia="Calibri"/>
                <w:sz w:val="20"/>
              </w:rPr>
            </w:pPr>
            <w:r w:rsidRPr="00AB3B6C">
              <w:rPr>
                <w:rFonts w:eastAsia="Calibri"/>
                <w:sz w:val="20"/>
              </w:rPr>
              <w:t>43144511</w:t>
            </w:r>
          </w:p>
        </w:tc>
        <w:tc>
          <w:tcPr>
            <w:tcW w:w="1882" w:type="dxa"/>
            <w:shd w:val="clear" w:color="auto" w:fill="auto"/>
          </w:tcPr>
          <w:p w:rsidR="00965215" w:rsidRPr="00AB3B6C" w:rsidP="00965215" w14:paraId="4F57C18D" w14:textId="77777777">
            <w:pPr>
              <w:rPr>
                <w:rFonts w:eastAsia="Calibri"/>
                <w:sz w:val="20"/>
              </w:rPr>
            </w:pPr>
            <w:r w:rsidRPr="00AB3B6C">
              <w:rPr>
                <w:rFonts w:eastAsia="Calibri"/>
                <w:sz w:val="20"/>
              </w:rPr>
              <w:t>1456126</w:t>
            </w:r>
          </w:p>
        </w:tc>
      </w:tr>
      <w:tr w14:paraId="0FBDA6BF" w14:textId="77777777" w:rsidTr="00AB3B6C">
        <w:tblPrEx>
          <w:tblW w:w="0" w:type="auto"/>
          <w:tblLook w:val="04A0"/>
        </w:tblPrEx>
        <w:trPr>
          <w:cantSplit/>
        </w:trPr>
        <w:tc>
          <w:tcPr>
            <w:tcW w:w="2075" w:type="dxa"/>
            <w:shd w:val="clear" w:color="auto" w:fill="auto"/>
          </w:tcPr>
          <w:p w:rsidR="00965215" w:rsidRPr="00AB3B6C" w:rsidP="00965215" w14:paraId="195CE956"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1C704742"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1A6A7F9A" w14:textId="77777777">
            <w:pPr>
              <w:rPr>
                <w:rFonts w:eastAsia="Calibri"/>
                <w:sz w:val="20"/>
              </w:rPr>
            </w:pPr>
            <w:r w:rsidRPr="00AB3B6C">
              <w:rPr>
                <w:rFonts w:eastAsia="Calibri"/>
                <w:sz w:val="20"/>
              </w:rPr>
              <w:t>2014</w:t>
            </w:r>
          </w:p>
        </w:tc>
        <w:tc>
          <w:tcPr>
            <w:tcW w:w="1695" w:type="dxa"/>
          </w:tcPr>
          <w:p w:rsidR="00965215" w:rsidRPr="00AB3B6C" w:rsidP="00965215" w14:paraId="02ADFB82" w14:textId="77777777">
            <w:pPr>
              <w:rPr>
                <w:rFonts w:eastAsia="Calibri"/>
                <w:sz w:val="20"/>
              </w:rPr>
            </w:pPr>
            <w:r w:rsidRPr="00AB3B6C">
              <w:rPr>
                <w:rFonts w:eastAsia="Calibri"/>
                <w:sz w:val="20"/>
              </w:rPr>
              <w:t>43144511</w:t>
            </w:r>
          </w:p>
        </w:tc>
        <w:tc>
          <w:tcPr>
            <w:tcW w:w="1882" w:type="dxa"/>
            <w:shd w:val="clear" w:color="auto" w:fill="auto"/>
          </w:tcPr>
          <w:p w:rsidR="00965215" w:rsidRPr="00AB3B6C" w:rsidP="00965215" w14:paraId="6796656B" w14:textId="77777777">
            <w:pPr>
              <w:rPr>
                <w:rFonts w:eastAsia="Calibri"/>
                <w:sz w:val="20"/>
              </w:rPr>
            </w:pPr>
            <w:r w:rsidRPr="00AB3B6C">
              <w:rPr>
                <w:rFonts w:eastAsia="Calibri"/>
                <w:sz w:val="20"/>
              </w:rPr>
              <w:t>1456997</w:t>
            </w:r>
          </w:p>
        </w:tc>
      </w:tr>
      <w:tr w14:paraId="7AB9D8EE" w14:textId="77777777" w:rsidTr="00AB3B6C">
        <w:tblPrEx>
          <w:tblW w:w="0" w:type="auto"/>
          <w:tblLook w:val="04A0"/>
        </w:tblPrEx>
        <w:trPr>
          <w:cantSplit/>
        </w:trPr>
        <w:tc>
          <w:tcPr>
            <w:tcW w:w="2075" w:type="dxa"/>
            <w:shd w:val="clear" w:color="auto" w:fill="auto"/>
          </w:tcPr>
          <w:p w:rsidR="00965215" w:rsidRPr="00AB3B6C" w:rsidP="00965215" w14:paraId="79B2B4F1"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57D46D4C"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0B71DE3F" w14:textId="77777777">
            <w:pPr>
              <w:rPr>
                <w:rFonts w:eastAsia="Calibri"/>
                <w:sz w:val="20"/>
              </w:rPr>
            </w:pPr>
            <w:r w:rsidRPr="00AB3B6C">
              <w:rPr>
                <w:rFonts w:eastAsia="Calibri"/>
                <w:sz w:val="20"/>
              </w:rPr>
              <w:t>2014</w:t>
            </w:r>
          </w:p>
        </w:tc>
        <w:tc>
          <w:tcPr>
            <w:tcW w:w="1695" w:type="dxa"/>
          </w:tcPr>
          <w:p w:rsidR="00965215" w:rsidRPr="00AB3B6C" w:rsidP="00965215" w14:paraId="2A67BE00" w14:textId="77777777">
            <w:pPr>
              <w:rPr>
                <w:rFonts w:eastAsia="Calibri"/>
                <w:sz w:val="20"/>
              </w:rPr>
            </w:pPr>
            <w:r w:rsidRPr="00AB3B6C">
              <w:rPr>
                <w:rFonts w:eastAsia="Calibri"/>
                <w:sz w:val="20"/>
              </w:rPr>
              <w:t>43144511</w:t>
            </w:r>
          </w:p>
        </w:tc>
        <w:tc>
          <w:tcPr>
            <w:tcW w:w="1882" w:type="dxa"/>
            <w:shd w:val="clear" w:color="auto" w:fill="auto"/>
          </w:tcPr>
          <w:p w:rsidR="00965215" w:rsidRPr="00AB3B6C" w:rsidP="00965215" w14:paraId="68F0D8CB" w14:textId="77777777">
            <w:pPr>
              <w:rPr>
                <w:rFonts w:eastAsia="Calibri"/>
                <w:sz w:val="20"/>
              </w:rPr>
            </w:pPr>
            <w:r w:rsidRPr="00AB3B6C">
              <w:rPr>
                <w:rFonts w:eastAsia="Calibri"/>
                <w:sz w:val="20"/>
              </w:rPr>
              <w:t>1456998</w:t>
            </w:r>
          </w:p>
        </w:tc>
      </w:tr>
      <w:tr w14:paraId="78B20F91" w14:textId="77777777" w:rsidTr="00AB3B6C">
        <w:tblPrEx>
          <w:tblW w:w="0" w:type="auto"/>
          <w:tblLook w:val="04A0"/>
        </w:tblPrEx>
        <w:trPr>
          <w:cantSplit/>
        </w:trPr>
        <w:tc>
          <w:tcPr>
            <w:tcW w:w="2075" w:type="dxa"/>
            <w:shd w:val="clear" w:color="auto" w:fill="auto"/>
          </w:tcPr>
          <w:p w:rsidR="00965215" w:rsidRPr="00AB3B6C" w:rsidP="00965215" w14:paraId="46C425F6"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6DF11FD0"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565E5969" w14:textId="77777777">
            <w:pPr>
              <w:rPr>
                <w:rFonts w:eastAsia="Calibri"/>
                <w:sz w:val="20"/>
              </w:rPr>
            </w:pPr>
            <w:r w:rsidRPr="00AB3B6C">
              <w:rPr>
                <w:rFonts w:eastAsia="Calibri"/>
                <w:sz w:val="20"/>
              </w:rPr>
              <w:t>2014</w:t>
            </w:r>
          </w:p>
        </w:tc>
        <w:tc>
          <w:tcPr>
            <w:tcW w:w="1695" w:type="dxa"/>
          </w:tcPr>
          <w:p w:rsidR="00965215" w:rsidRPr="00AB3B6C" w:rsidP="00965215" w14:paraId="7C98EBE1" w14:textId="77777777">
            <w:pPr>
              <w:rPr>
                <w:rFonts w:eastAsia="Calibri"/>
                <w:sz w:val="20"/>
              </w:rPr>
            </w:pPr>
            <w:r w:rsidRPr="00AB3B6C">
              <w:rPr>
                <w:rFonts w:eastAsia="Calibri"/>
                <w:sz w:val="20"/>
              </w:rPr>
              <w:t>43144511</w:t>
            </w:r>
          </w:p>
        </w:tc>
        <w:tc>
          <w:tcPr>
            <w:tcW w:w="1882" w:type="dxa"/>
            <w:shd w:val="clear" w:color="auto" w:fill="auto"/>
          </w:tcPr>
          <w:p w:rsidR="00965215" w:rsidRPr="00AB3B6C" w:rsidP="00965215" w14:paraId="119E15AC" w14:textId="77777777">
            <w:pPr>
              <w:rPr>
                <w:rFonts w:eastAsia="Calibri"/>
                <w:sz w:val="20"/>
              </w:rPr>
            </w:pPr>
            <w:r w:rsidRPr="00AB3B6C">
              <w:rPr>
                <w:rFonts w:eastAsia="Calibri"/>
                <w:sz w:val="20"/>
              </w:rPr>
              <w:t>1462637</w:t>
            </w:r>
          </w:p>
        </w:tc>
      </w:tr>
      <w:tr w14:paraId="2DDD2188" w14:textId="77777777" w:rsidTr="00AB3B6C">
        <w:tblPrEx>
          <w:tblW w:w="0" w:type="auto"/>
          <w:tblLook w:val="04A0"/>
        </w:tblPrEx>
        <w:trPr>
          <w:cantSplit/>
        </w:trPr>
        <w:tc>
          <w:tcPr>
            <w:tcW w:w="2075" w:type="dxa"/>
            <w:shd w:val="clear" w:color="auto" w:fill="auto"/>
          </w:tcPr>
          <w:p w:rsidR="00965215" w:rsidRPr="00AB3B6C" w:rsidP="00965215" w14:paraId="620C34B2"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094E76CC"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22301354" w14:textId="77777777">
            <w:pPr>
              <w:rPr>
                <w:rFonts w:eastAsia="Calibri"/>
                <w:sz w:val="20"/>
              </w:rPr>
            </w:pPr>
            <w:r w:rsidRPr="00AB3B6C">
              <w:rPr>
                <w:rFonts w:eastAsia="Calibri"/>
                <w:sz w:val="20"/>
              </w:rPr>
              <w:t>2014</w:t>
            </w:r>
          </w:p>
        </w:tc>
        <w:tc>
          <w:tcPr>
            <w:tcW w:w="1695" w:type="dxa"/>
          </w:tcPr>
          <w:p w:rsidR="00965215" w:rsidRPr="00AB3B6C" w:rsidP="00965215" w14:paraId="29623F3B" w14:textId="77777777">
            <w:pPr>
              <w:rPr>
                <w:rFonts w:eastAsia="Calibri"/>
                <w:sz w:val="20"/>
              </w:rPr>
            </w:pPr>
            <w:r w:rsidRPr="00AB3B6C">
              <w:rPr>
                <w:rFonts w:eastAsia="Calibri"/>
                <w:sz w:val="20"/>
              </w:rPr>
              <w:t>43144511</w:t>
            </w:r>
          </w:p>
        </w:tc>
        <w:tc>
          <w:tcPr>
            <w:tcW w:w="1882" w:type="dxa"/>
            <w:shd w:val="clear" w:color="auto" w:fill="auto"/>
          </w:tcPr>
          <w:p w:rsidR="00965215" w:rsidRPr="00AB3B6C" w:rsidP="00965215" w14:paraId="39207960" w14:textId="77777777">
            <w:pPr>
              <w:rPr>
                <w:rFonts w:eastAsia="Calibri"/>
                <w:sz w:val="20"/>
              </w:rPr>
            </w:pPr>
            <w:r w:rsidRPr="00AB3B6C">
              <w:rPr>
                <w:rFonts w:eastAsia="Calibri"/>
                <w:sz w:val="20"/>
              </w:rPr>
              <w:t>1462640</w:t>
            </w:r>
          </w:p>
        </w:tc>
      </w:tr>
      <w:tr w14:paraId="2D6271C1" w14:textId="77777777" w:rsidTr="00AB3B6C">
        <w:tblPrEx>
          <w:tblW w:w="0" w:type="auto"/>
          <w:tblLook w:val="04A0"/>
        </w:tblPrEx>
        <w:trPr>
          <w:cantSplit/>
        </w:trPr>
        <w:tc>
          <w:tcPr>
            <w:tcW w:w="2075" w:type="dxa"/>
            <w:shd w:val="clear" w:color="auto" w:fill="auto"/>
          </w:tcPr>
          <w:p w:rsidR="00965215" w:rsidRPr="00AB3B6C" w:rsidP="00965215" w14:paraId="175C2717"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4554582D"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4FC78060" w14:textId="77777777">
            <w:pPr>
              <w:rPr>
                <w:rFonts w:eastAsia="Calibri"/>
                <w:sz w:val="20"/>
              </w:rPr>
            </w:pPr>
            <w:r w:rsidRPr="00AB3B6C">
              <w:rPr>
                <w:rFonts w:eastAsia="Calibri"/>
                <w:sz w:val="20"/>
              </w:rPr>
              <w:t>2014</w:t>
            </w:r>
          </w:p>
        </w:tc>
        <w:tc>
          <w:tcPr>
            <w:tcW w:w="1695" w:type="dxa"/>
          </w:tcPr>
          <w:p w:rsidR="00965215" w:rsidRPr="00AB3B6C" w:rsidP="00965215" w14:paraId="3394CE66"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6EBEEBA1" w14:textId="77777777">
            <w:pPr>
              <w:rPr>
                <w:rFonts w:eastAsia="Calibri"/>
                <w:sz w:val="20"/>
              </w:rPr>
            </w:pPr>
            <w:r w:rsidRPr="00AB3B6C">
              <w:rPr>
                <w:rFonts w:eastAsia="Calibri"/>
                <w:sz w:val="20"/>
              </w:rPr>
              <w:t>1456999</w:t>
            </w:r>
          </w:p>
        </w:tc>
      </w:tr>
      <w:tr w14:paraId="6078F6B5" w14:textId="77777777" w:rsidTr="00AB3B6C">
        <w:tblPrEx>
          <w:tblW w:w="0" w:type="auto"/>
          <w:tblLook w:val="04A0"/>
        </w:tblPrEx>
        <w:trPr>
          <w:cantSplit/>
        </w:trPr>
        <w:tc>
          <w:tcPr>
            <w:tcW w:w="2075" w:type="dxa"/>
            <w:shd w:val="clear" w:color="auto" w:fill="auto"/>
          </w:tcPr>
          <w:p w:rsidR="00965215" w:rsidRPr="00AB3B6C" w:rsidP="00965215" w14:paraId="34B2D31A"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4B596C0E"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4093263C" w14:textId="77777777">
            <w:pPr>
              <w:rPr>
                <w:rFonts w:eastAsia="Calibri"/>
                <w:sz w:val="20"/>
              </w:rPr>
            </w:pPr>
            <w:r w:rsidRPr="00AB3B6C">
              <w:rPr>
                <w:rFonts w:eastAsia="Calibri"/>
                <w:sz w:val="20"/>
              </w:rPr>
              <w:t>2014</w:t>
            </w:r>
          </w:p>
        </w:tc>
        <w:tc>
          <w:tcPr>
            <w:tcW w:w="1695" w:type="dxa"/>
          </w:tcPr>
          <w:p w:rsidR="00965215" w:rsidRPr="00AB3B6C" w:rsidP="00965215" w14:paraId="682E9AC5"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5EF462A3" w14:textId="77777777">
            <w:pPr>
              <w:rPr>
                <w:rFonts w:eastAsia="Calibri"/>
                <w:sz w:val="20"/>
              </w:rPr>
            </w:pPr>
            <w:r w:rsidRPr="00AB3B6C">
              <w:rPr>
                <w:rFonts w:eastAsia="Calibri"/>
                <w:sz w:val="20"/>
              </w:rPr>
              <w:t>1457000</w:t>
            </w:r>
          </w:p>
        </w:tc>
      </w:tr>
      <w:tr w14:paraId="4375B924" w14:textId="77777777" w:rsidTr="00AB3B6C">
        <w:tblPrEx>
          <w:tblW w:w="0" w:type="auto"/>
          <w:tblLook w:val="04A0"/>
        </w:tblPrEx>
        <w:trPr>
          <w:cantSplit/>
        </w:trPr>
        <w:tc>
          <w:tcPr>
            <w:tcW w:w="2075" w:type="dxa"/>
            <w:shd w:val="clear" w:color="auto" w:fill="auto"/>
          </w:tcPr>
          <w:p w:rsidR="00965215" w:rsidRPr="00AB3B6C" w:rsidP="00965215" w14:paraId="1B9D6263"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7FD42144"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080D1B7A" w14:textId="77777777">
            <w:pPr>
              <w:rPr>
                <w:rFonts w:eastAsia="Calibri"/>
                <w:sz w:val="20"/>
              </w:rPr>
            </w:pPr>
            <w:r w:rsidRPr="00AB3B6C">
              <w:rPr>
                <w:rFonts w:eastAsia="Calibri"/>
                <w:sz w:val="20"/>
              </w:rPr>
              <w:t>2014</w:t>
            </w:r>
          </w:p>
        </w:tc>
        <w:tc>
          <w:tcPr>
            <w:tcW w:w="1695" w:type="dxa"/>
          </w:tcPr>
          <w:p w:rsidR="00965215" w:rsidRPr="00AB3B6C" w:rsidP="00965215" w14:paraId="79E3CED7"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3382FECC" w14:textId="77777777">
            <w:pPr>
              <w:rPr>
                <w:rFonts w:eastAsia="Calibri"/>
                <w:sz w:val="20"/>
              </w:rPr>
            </w:pPr>
            <w:r w:rsidRPr="00AB3B6C">
              <w:rPr>
                <w:rFonts w:eastAsia="Calibri"/>
                <w:sz w:val="20"/>
              </w:rPr>
              <w:t>1457001</w:t>
            </w:r>
          </w:p>
        </w:tc>
      </w:tr>
      <w:tr w14:paraId="21EDE7CE" w14:textId="77777777" w:rsidTr="00AB3B6C">
        <w:tblPrEx>
          <w:tblW w:w="0" w:type="auto"/>
          <w:tblLook w:val="04A0"/>
        </w:tblPrEx>
        <w:trPr>
          <w:cantSplit/>
        </w:trPr>
        <w:tc>
          <w:tcPr>
            <w:tcW w:w="2075" w:type="dxa"/>
            <w:shd w:val="clear" w:color="auto" w:fill="auto"/>
          </w:tcPr>
          <w:p w:rsidR="00965215" w:rsidRPr="00AB3B6C" w:rsidP="00965215" w14:paraId="164C7C89"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0F52612C"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6666A0CF" w14:textId="77777777">
            <w:pPr>
              <w:rPr>
                <w:rFonts w:eastAsia="Calibri"/>
                <w:sz w:val="20"/>
              </w:rPr>
            </w:pPr>
            <w:r w:rsidRPr="00AB3B6C">
              <w:rPr>
                <w:rFonts w:eastAsia="Calibri"/>
                <w:sz w:val="20"/>
              </w:rPr>
              <w:t>2014</w:t>
            </w:r>
          </w:p>
        </w:tc>
        <w:tc>
          <w:tcPr>
            <w:tcW w:w="1695" w:type="dxa"/>
          </w:tcPr>
          <w:p w:rsidR="00965215" w:rsidRPr="00AB3B6C" w:rsidP="00965215" w14:paraId="0A341E83"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0C833DFE" w14:textId="77777777">
            <w:pPr>
              <w:rPr>
                <w:rFonts w:eastAsia="Calibri"/>
                <w:sz w:val="20"/>
              </w:rPr>
            </w:pPr>
            <w:r w:rsidRPr="00AB3B6C">
              <w:rPr>
                <w:rFonts w:eastAsia="Calibri"/>
                <w:sz w:val="20"/>
              </w:rPr>
              <w:t>1457002</w:t>
            </w:r>
          </w:p>
        </w:tc>
      </w:tr>
      <w:tr w14:paraId="10D19CCE" w14:textId="77777777" w:rsidTr="00AB3B6C">
        <w:tblPrEx>
          <w:tblW w:w="0" w:type="auto"/>
          <w:tblLook w:val="04A0"/>
        </w:tblPrEx>
        <w:trPr>
          <w:cantSplit/>
        </w:trPr>
        <w:tc>
          <w:tcPr>
            <w:tcW w:w="2075" w:type="dxa"/>
            <w:shd w:val="clear" w:color="auto" w:fill="auto"/>
          </w:tcPr>
          <w:p w:rsidR="00965215" w:rsidRPr="00AB3B6C" w:rsidP="00965215" w14:paraId="3EE29BF5"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1685E2D8"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295C2DF8" w14:textId="77777777">
            <w:pPr>
              <w:rPr>
                <w:rFonts w:eastAsia="Calibri"/>
                <w:sz w:val="20"/>
              </w:rPr>
            </w:pPr>
            <w:r w:rsidRPr="00AB3B6C">
              <w:rPr>
                <w:rFonts w:eastAsia="Calibri"/>
                <w:sz w:val="20"/>
              </w:rPr>
              <w:t>2014</w:t>
            </w:r>
          </w:p>
        </w:tc>
        <w:tc>
          <w:tcPr>
            <w:tcW w:w="1695" w:type="dxa"/>
          </w:tcPr>
          <w:p w:rsidR="00965215" w:rsidRPr="00AB3B6C" w:rsidP="00965215" w14:paraId="505C5118"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009FE2EF" w14:textId="77777777">
            <w:pPr>
              <w:rPr>
                <w:rFonts w:eastAsia="Calibri"/>
                <w:sz w:val="20"/>
              </w:rPr>
            </w:pPr>
            <w:r w:rsidRPr="00AB3B6C">
              <w:rPr>
                <w:rFonts w:eastAsia="Calibri"/>
                <w:sz w:val="20"/>
              </w:rPr>
              <w:t>1457003</w:t>
            </w:r>
          </w:p>
        </w:tc>
      </w:tr>
      <w:tr w14:paraId="58635611" w14:textId="77777777" w:rsidTr="00AB3B6C">
        <w:tblPrEx>
          <w:tblW w:w="0" w:type="auto"/>
          <w:tblLook w:val="04A0"/>
        </w:tblPrEx>
        <w:trPr>
          <w:cantSplit/>
        </w:trPr>
        <w:tc>
          <w:tcPr>
            <w:tcW w:w="2075" w:type="dxa"/>
            <w:shd w:val="clear" w:color="auto" w:fill="auto"/>
          </w:tcPr>
          <w:p w:rsidR="00965215" w:rsidRPr="00AB3B6C" w:rsidP="00965215" w14:paraId="5479443B"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4B3B7605"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432B733C" w14:textId="77777777">
            <w:pPr>
              <w:rPr>
                <w:rFonts w:eastAsia="Calibri"/>
                <w:sz w:val="20"/>
              </w:rPr>
            </w:pPr>
            <w:r w:rsidRPr="00AB3B6C">
              <w:rPr>
                <w:rFonts w:eastAsia="Calibri"/>
                <w:sz w:val="20"/>
              </w:rPr>
              <w:t>2014</w:t>
            </w:r>
          </w:p>
        </w:tc>
        <w:tc>
          <w:tcPr>
            <w:tcW w:w="1695" w:type="dxa"/>
          </w:tcPr>
          <w:p w:rsidR="00965215" w:rsidRPr="00AB3B6C" w:rsidP="00965215" w14:paraId="74F0A155"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4E6A203B" w14:textId="77777777">
            <w:pPr>
              <w:rPr>
                <w:rFonts w:eastAsia="Calibri"/>
                <w:sz w:val="20"/>
              </w:rPr>
            </w:pPr>
            <w:r w:rsidRPr="00AB3B6C">
              <w:rPr>
                <w:rFonts w:eastAsia="Calibri"/>
                <w:sz w:val="20"/>
              </w:rPr>
              <w:t>1457004</w:t>
            </w:r>
          </w:p>
        </w:tc>
      </w:tr>
      <w:tr w14:paraId="4969322B" w14:textId="77777777" w:rsidTr="00AB3B6C">
        <w:tblPrEx>
          <w:tblW w:w="0" w:type="auto"/>
          <w:tblLook w:val="04A0"/>
        </w:tblPrEx>
        <w:trPr>
          <w:cantSplit/>
        </w:trPr>
        <w:tc>
          <w:tcPr>
            <w:tcW w:w="2075" w:type="dxa"/>
            <w:shd w:val="clear" w:color="auto" w:fill="auto"/>
          </w:tcPr>
          <w:p w:rsidR="00965215" w:rsidRPr="00AB3B6C" w:rsidP="00965215" w14:paraId="75E9B3D2"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21A483D7"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3F628F05" w14:textId="77777777">
            <w:pPr>
              <w:rPr>
                <w:rFonts w:eastAsia="Calibri"/>
                <w:sz w:val="20"/>
              </w:rPr>
            </w:pPr>
            <w:r w:rsidRPr="00AB3B6C">
              <w:rPr>
                <w:rFonts w:eastAsia="Calibri"/>
                <w:sz w:val="20"/>
              </w:rPr>
              <w:t>2014</w:t>
            </w:r>
          </w:p>
        </w:tc>
        <w:tc>
          <w:tcPr>
            <w:tcW w:w="1695" w:type="dxa"/>
          </w:tcPr>
          <w:p w:rsidR="00965215" w:rsidRPr="00AB3B6C" w:rsidP="00965215" w14:paraId="43158A55"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2C68BEB7" w14:textId="77777777">
            <w:pPr>
              <w:rPr>
                <w:rFonts w:eastAsia="Calibri"/>
                <w:sz w:val="20"/>
              </w:rPr>
            </w:pPr>
            <w:r w:rsidRPr="00AB3B6C">
              <w:rPr>
                <w:rFonts w:eastAsia="Calibri"/>
                <w:sz w:val="20"/>
              </w:rPr>
              <w:t>1457005</w:t>
            </w:r>
          </w:p>
        </w:tc>
      </w:tr>
      <w:tr w14:paraId="06B4903E" w14:textId="77777777" w:rsidTr="00AB3B6C">
        <w:tblPrEx>
          <w:tblW w:w="0" w:type="auto"/>
          <w:tblLook w:val="04A0"/>
        </w:tblPrEx>
        <w:trPr>
          <w:cantSplit/>
        </w:trPr>
        <w:tc>
          <w:tcPr>
            <w:tcW w:w="2075" w:type="dxa"/>
            <w:shd w:val="clear" w:color="auto" w:fill="auto"/>
          </w:tcPr>
          <w:p w:rsidR="00965215" w:rsidRPr="00AB3B6C" w:rsidP="00965215" w14:paraId="63B68498"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6C09A76A"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49687270" w14:textId="77777777">
            <w:pPr>
              <w:rPr>
                <w:rFonts w:eastAsia="Calibri"/>
                <w:sz w:val="20"/>
              </w:rPr>
            </w:pPr>
            <w:r w:rsidRPr="00AB3B6C">
              <w:rPr>
                <w:rFonts w:eastAsia="Calibri"/>
                <w:sz w:val="20"/>
              </w:rPr>
              <w:t>2014</w:t>
            </w:r>
          </w:p>
        </w:tc>
        <w:tc>
          <w:tcPr>
            <w:tcW w:w="1695" w:type="dxa"/>
          </w:tcPr>
          <w:p w:rsidR="00965215" w:rsidRPr="00AB3B6C" w:rsidP="00965215" w14:paraId="46FAFFF0"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26397E72" w14:textId="77777777">
            <w:pPr>
              <w:rPr>
                <w:rFonts w:eastAsia="Calibri"/>
                <w:sz w:val="20"/>
              </w:rPr>
            </w:pPr>
            <w:r w:rsidRPr="00AB3B6C">
              <w:rPr>
                <w:rFonts w:eastAsia="Calibri"/>
                <w:sz w:val="20"/>
              </w:rPr>
              <w:t>1457006</w:t>
            </w:r>
          </w:p>
        </w:tc>
      </w:tr>
      <w:tr w14:paraId="1B77BF4B" w14:textId="77777777" w:rsidTr="00AB3B6C">
        <w:tblPrEx>
          <w:tblW w:w="0" w:type="auto"/>
          <w:tblLook w:val="04A0"/>
        </w:tblPrEx>
        <w:trPr>
          <w:cantSplit/>
        </w:trPr>
        <w:tc>
          <w:tcPr>
            <w:tcW w:w="2075" w:type="dxa"/>
            <w:shd w:val="clear" w:color="auto" w:fill="auto"/>
          </w:tcPr>
          <w:p w:rsidR="00965215" w:rsidRPr="00AB3B6C" w:rsidP="00965215" w14:paraId="580E502C"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382683EC"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389FC9B4" w14:textId="77777777">
            <w:pPr>
              <w:rPr>
                <w:rFonts w:eastAsia="Calibri"/>
                <w:sz w:val="20"/>
              </w:rPr>
            </w:pPr>
            <w:r w:rsidRPr="00AB3B6C">
              <w:rPr>
                <w:rFonts w:eastAsia="Calibri"/>
                <w:sz w:val="20"/>
              </w:rPr>
              <w:t>2014</w:t>
            </w:r>
          </w:p>
        </w:tc>
        <w:tc>
          <w:tcPr>
            <w:tcW w:w="1695" w:type="dxa"/>
          </w:tcPr>
          <w:p w:rsidR="00965215" w:rsidRPr="00AB3B6C" w:rsidP="00965215" w14:paraId="6509D77A"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459C6266" w14:textId="77777777">
            <w:pPr>
              <w:rPr>
                <w:rFonts w:eastAsia="Calibri"/>
                <w:sz w:val="20"/>
              </w:rPr>
            </w:pPr>
            <w:r w:rsidRPr="00AB3B6C">
              <w:rPr>
                <w:rFonts w:eastAsia="Calibri"/>
                <w:sz w:val="20"/>
              </w:rPr>
              <w:t>1457007</w:t>
            </w:r>
          </w:p>
        </w:tc>
      </w:tr>
      <w:tr w14:paraId="258F8F8E" w14:textId="77777777" w:rsidTr="00AB3B6C">
        <w:tblPrEx>
          <w:tblW w:w="0" w:type="auto"/>
          <w:tblLook w:val="04A0"/>
        </w:tblPrEx>
        <w:trPr>
          <w:cantSplit/>
        </w:trPr>
        <w:tc>
          <w:tcPr>
            <w:tcW w:w="2075" w:type="dxa"/>
            <w:shd w:val="clear" w:color="auto" w:fill="auto"/>
          </w:tcPr>
          <w:p w:rsidR="00965215" w:rsidRPr="00AB3B6C" w:rsidP="00965215" w14:paraId="5BF26AB9"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7DF52A2C"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415FDA90" w14:textId="77777777">
            <w:pPr>
              <w:rPr>
                <w:rFonts w:eastAsia="Calibri"/>
                <w:sz w:val="20"/>
              </w:rPr>
            </w:pPr>
            <w:r w:rsidRPr="00AB3B6C">
              <w:rPr>
                <w:rFonts w:eastAsia="Calibri"/>
                <w:sz w:val="20"/>
              </w:rPr>
              <w:t>2014</w:t>
            </w:r>
          </w:p>
        </w:tc>
        <w:tc>
          <w:tcPr>
            <w:tcW w:w="1695" w:type="dxa"/>
          </w:tcPr>
          <w:p w:rsidR="00965215" w:rsidRPr="00AB3B6C" w:rsidP="00965215" w14:paraId="15509477"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4F5C5E04" w14:textId="77777777">
            <w:pPr>
              <w:rPr>
                <w:rFonts w:eastAsia="Calibri"/>
                <w:sz w:val="20"/>
              </w:rPr>
            </w:pPr>
            <w:r w:rsidRPr="00AB3B6C">
              <w:rPr>
                <w:rFonts w:eastAsia="Calibri"/>
                <w:sz w:val="20"/>
              </w:rPr>
              <w:t>1457008</w:t>
            </w:r>
          </w:p>
        </w:tc>
      </w:tr>
      <w:tr w14:paraId="6AD63C5C" w14:textId="77777777" w:rsidTr="00AB3B6C">
        <w:tblPrEx>
          <w:tblW w:w="0" w:type="auto"/>
          <w:tblLook w:val="04A0"/>
        </w:tblPrEx>
        <w:trPr>
          <w:cantSplit/>
        </w:trPr>
        <w:tc>
          <w:tcPr>
            <w:tcW w:w="2075" w:type="dxa"/>
            <w:shd w:val="clear" w:color="auto" w:fill="auto"/>
          </w:tcPr>
          <w:p w:rsidR="00965215" w:rsidRPr="00AB3B6C" w:rsidP="00965215" w14:paraId="0F82F4BC"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2DF381FA"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71CE17B4" w14:textId="77777777">
            <w:pPr>
              <w:rPr>
                <w:rFonts w:eastAsia="Calibri"/>
                <w:sz w:val="20"/>
              </w:rPr>
            </w:pPr>
            <w:r w:rsidRPr="00AB3B6C">
              <w:rPr>
                <w:rFonts w:eastAsia="Calibri"/>
                <w:sz w:val="20"/>
              </w:rPr>
              <w:t>2014</w:t>
            </w:r>
          </w:p>
        </w:tc>
        <w:tc>
          <w:tcPr>
            <w:tcW w:w="1695" w:type="dxa"/>
          </w:tcPr>
          <w:p w:rsidR="00965215" w:rsidRPr="00AB3B6C" w:rsidP="00965215" w14:paraId="0A7043F6"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0FEBF9AE" w14:textId="77777777">
            <w:pPr>
              <w:rPr>
                <w:rFonts w:eastAsia="Calibri"/>
                <w:sz w:val="20"/>
              </w:rPr>
            </w:pPr>
            <w:r w:rsidRPr="00AB3B6C">
              <w:rPr>
                <w:rFonts w:eastAsia="Calibri"/>
                <w:sz w:val="20"/>
              </w:rPr>
              <w:t>1457010</w:t>
            </w:r>
          </w:p>
        </w:tc>
      </w:tr>
      <w:tr w14:paraId="48097532" w14:textId="77777777" w:rsidTr="00AB3B6C">
        <w:tblPrEx>
          <w:tblW w:w="0" w:type="auto"/>
          <w:tblLook w:val="04A0"/>
        </w:tblPrEx>
        <w:trPr>
          <w:cantSplit/>
        </w:trPr>
        <w:tc>
          <w:tcPr>
            <w:tcW w:w="2075" w:type="dxa"/>
            <w:shd w:val="clear" w:color="auto" w:fill="auto"/>
          </w:tcPr>
          <w:p w:rsidR="00965215" w:rsidRPr="00AB3B6C" w:rsidP="00965215" w14:paraId="37D67F72"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3AE41327"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5ABF97BB" w14:textId="77777777">
            <w:pPr>
              <w:rPr>
                <w:rFonts w:eastAsia="Calibri"/>
                <w:sz w:val="20"/>
              </w:rPr>
            </w:pPr>
            <w:r w:rsidRPr="00AB3B6C">
              <w:rPr>
                <w:rFonts w:eastAsia="Calibri"/>
                <w:sz w:val="20"/>
              </w:rPr>
              <w:t>2014</w:t>
            </w:r>
          </w:p>
        </w:tc>
        <w:tc>
          <w:tcPr>
            <w:tcW w:w="1695" w:type="dxa"/>
          </w:tcPr>
          <w:p w:rsidR="00965215" w:rsidRPr="00AB3B6C" w:rsidP="00965215" w14:paraId="032CD59A"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6A0B214D" w14:textId="77777777">
            <w:pPr>
              <w:rPr>
                <w:rFonts w:eastAsia="Calibri"/>
                <w:sz w:val="20"/>
              </w:rPr>
            </w:pPr>
            <w:r w:rsidRPr="00AB3B6C">
              <w:rPr>
                <w:rFonts w:eastAsia="Calibri"/>
                <w:sz w:val="20"/>
              </w:rPr>
              <w:t>1457011</w:t>
            </w:r>
          </w:p>
        </w:tc>
      </w:tr>
      <w:tr w14:paraId="223EDF3C" w14:textId="77777777" w:rsidTr="00AB3B6C">
        <w:tblPrEx>
          <w:tblW w:w="0" w:type="auto"/>
          <w:tblLook w:val="04A0"/>
        </w:tblPrEx>
        <w:trPr>
          <w:cantSplit/>
        </w:trPr>
        <w:tc>
          <w:tcPr>
            <w:tcW w:w="2075" w:type="dxa"/>
            <w:shd w:val="clear" w:color="auto" w:fill="auto"/>
          </w:tcPr>
          <w:p w:rsidR="00965215" w:rsidRPr="00AB3B6C" w:rsidP="00965215" w14:paraId="3A1F78F9"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6470AFB6"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5211CF5A" w14:textId="77777777">
            <w:pPr>
              <w:rPr>
                <w:rFonts w:eastAsia="Calibri"/>
                <w:sz w:val="20"/>
              </w:rPr>
            </w:pPr>
            <w:r w:rsidRPr="00AB3B6C">
              <w:rPr>
                <w:rFonts w:eastAsia="Calibri"/>
                <w:sz w:val="20"/>
              </w:rPr>
              <w:t>2014</w:t>
            </w:r>
          </w:p>
        </w:tc>
        <w:tc>
          <w:tcPr>
            <w:tcW w:w="1695" w:type="dxa"/>
          </w:tcPr>
          <w:p w:rsidR="00965215" w:rsidRPr="00AB3B6C" w:rsidP="00965215" w14:paraId="104CA1AA"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66E2B4CC" w14:textId="77777777">
            <w:pPr>
              <w:rPr>
                <w:rFonts w:eastAsia="Calibri"/>
                <w:sz w:val="20"/>
              </w:rPr>
            </w:pPr>
            <w:r w:rsidRPr="00AB3B6C">
              <w:rPr>
                <w:rFonts w:eastAsia="Calibri"/>
                <w:sz w:val="20"/>
              </w:rPr>
              <w:t>1462644</w:t>
            </w:r>
          </w:p>
        </w:tc>
      </w:tr>
      <w:tr w14:paraId="4EB5C65B" w14:textId="77777777" w:rsidTr="00AB3B6C">
        <w:tblPrEx>
          <w:tblW w:w="0" w:type="auto"/>
          <w:tblLook w:val="04A0"/>
        </w:tblPrEx>
        <w:trPr>
          <w:cantSplit/>
        </w:trPr>
        <w:tc>
          <w:tcPr>
            <w:tcW w:w="2075" w:type="dxa"/>
            <w:shd w:val="clear" w:color="auto" w:fill="auto"/>
          </w:tcPr>
          <w:p w:rsidR="00965215" w:rsidRPr="00AB3B6C" w:rsidP="00965215" w14:paraId="6106D491"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5E159B5C"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7DF60CB5" w14:textId="77777777">
            <w:pPr>
              <w:rPr>
                <w:rFonts w:eastAsia="Calibri"/>
                <w:sz w:val="20"/>
              </w:rPr>
            </w:pPr>
            <w:r w:rsidRPr="00AB3B6C">
              <w:rPr>
                <w:rFonts w:eastAsia="Calibri"/>
                <w:sz w:val="20"/>
              </w:rPr>
              <w:t>2014</w:t>
            </w:r>
          </w:p>
        </w:tc>
        <w:tc>
          <w:tcPr>
            <w:tcW w:w="1695" w:type="dxa"/>
          </w:tcPr>
          <w:p w:rsidR="00965215" w:rsidRPr="00AB3B6C" w:rsidP="00965215" w14:paraId="6352785C"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6DE03DF5" w14:textId="77777777">
            <w:pPr>
              <w:rPr>
                <w:rFonts w:eastAsia="Calibri"/>
                <w:sz w:val="20"/>
              </w:rPr>
            </w:pPr>
            <w:r w:rsidRPr="00AB3B6C">
              <w:rPr>
                <w:rFonts w:eastAsia="Calibri"/>
                <w:sz w:val="20"/>
              </w:rPr>
              <w:t>1462646</w:t>
            </w:r>
          </w:p>
        </w:tc>
      </w:tr>
      <w:tr w14:paraId="0B1F8DF3" w14:textId="77777777" w:rsidTr="00AB3B6C">
        <w:tblPrEx>
          <w:tblW w:w="0" w:type="auto"/>
          <w:tblLook w:val="04A0"/>
        </w:tblPrEx>
        <w:trPr>
          <w:cantSplit/>
        </w:trPr>
        <w:tc>
          <w:tcPr>
            <w:tcW w:w="2075" w:type="dxa"/>
            <w:shd w:val="clear" w:color="auto" w:fill="auto"/>
          </w:tcPr>
          <w:p w:rsidR="00965215" w:rsidRPr="00AB3B6C" w:rsidP="00965215" w14:paraId="2E876FB2"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1CD4C2F4"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2947C277" w14:textId="77777777">
            <w:pPr>
              <w:rPr>
                <w:rFonts w:eastAsia="Calibri"/>
                <w:sz w:val="20"/>
              </w:rPr>
            </w:pPr>
            <w:r w:rsidRPr="00AB3B6C">
              <w:rPr>
                <w:rFonts w:eastAsia="Calibri"/>
                <w:sz w:val="20"/>
              </w:rPr>
              <w:t>2014</w:t>
            </w:r>
          </w:p>
        </w:tc>
        <w:tc>
          <w:tcPr>
            <w:tcW w:w="1695" w:type="dxa"/>
          </w:tcPr>
          <w:p w:rsidR="00965215" w:rsidRPr="00AB3B6C" w:rsidP="00965215" w14:paraId="40FC0F12"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20DAF617" w14:textId="77777777">
            <w:pPr>
              <w:rPr>
                <w:rFonts w:eastAsia="Calibri"/>
                <w:sz w:val="20"/>
              </w:rPr>
            </w:pPr>
            <w:r w:rsidRPr="00AB3B6C">
              <w:rPr>
                <w:rFonts w:eastAsia="Calibri"/>
                <w:sz w:val="20"/>
              </w:rPr>
              <w:t>1465687</w:t>
            </w:r>
          </w:p>
        </w:tc>
      </w:tr>
      <w:tr w14:paraId="0210C533" w14:textId="77777777" w:rsidTr="00AB3B6C">
        <w:tblPrEx>
          <w:tblW w:w="0" w:type="auto"/>
          <w:tblLook w:val="04A0"/>
        </w:tblPrEx>
        <w:trPr>
          <w:cantSplit/>
        </w:trPr>
        <w:tc>
          <w:tcPr>
            <w:tcW w:w="2075" w:type="dxa"/>
            <w:shd w:val="clear" w:color="auto" w:fill="auto"/>
          </w:tcPr>
          <w:p w:rsidR="00965215" w:rsidRPr="00AB3B6C" w:rsidP="00965215" w14:paraId="54956297"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01F4275B"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0E968223" w14:textId="77777777">
            <w:pPr>
              <w:rPr>
                <w:rFonts w:eastAsia="Calibri"/>
                <w:sz w:val="20"/>
              </w:rPr>
            </w:pPr>
            <w:r w:rsidRPr="00AB3B6C">
              <w:rPr>
                <w:rFonts w:eastAsia="Calibri"/>
                <w:sz w:val="20"/>
              </w:rPr>
              <w:t>2015</w:t>
            </w:r>
          </w:p>
        </w:tc>
        <w:tc>
          <w:tcPr>
            <w:tcW w:w="1695" w:type="dxa"/>
          </w:tcPr>
          <w:p w:rsidR="00965215" w:rsidRPr="00AB3B6C" w:rsidP="00965215" w14:paraId="3F0B3569"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2C0CCC92" w14:textId="77777777">
            <w:pPr>
              <w:rPr>
                <w:rFonts w:eastAsia="Calibri"/>
                <w:sz w:val="20"/>
              </w:rPr>
            </w:pPr>
            <w:r w:rsidRPr="00AB3B6C">
              <w:rPr>
                <w:rFonts w:eastAsia="Calibri"/>
                <w:sz w:val="20"/>
              </w:rPr>
              <w:t>1578411</w:t>
            </w:r>
          </w:p>
        </w:tc>
      </w:tr>
      <w:tr w14:paraId="689D47E7" w14:textId="77777777" w:rsidTr="00AB3B6C">
        <w:tblPrEx>
          <w:tblW w:w="0" w:type="auto"/>
          <w:tblLook w:val="04A0"/>
        </w:tblPrEx>
        <w:trPr>
          <w:cantSplit/>
        </w:trPr>
        <w:tc>
          <w:tcPr>
            <w:tcW w:w="2075" w:type="dxa"/>
            <w:shd w:val="clear" w:color="auto" w:fill="auto"/>
          </w:tcPr>
          <w:p w:rsidR="00965215" w:rsidRPr="00AB3B6C" w:rsidP="00965215" w14:paraId="5869E5EE"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71A6C256"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257A5D26" w14:textId="77777777">
            <w:pPr>
              <w:rPr>
                <w:rFonts w:eastAsia="Calibri"/>
                <w:sz w:val="20"/>
              </w:rPr>
            </w:pPr>
            <w:r w:rsidRPr="00AB3B6C">
              <w:rPr>
                <w:rFonts w:eastAsia="Calibri"/>
                <w:sz w:val="20"/>
              </w:rPr>
              <w:t>2015</w:t>
            </w:r>
          </w:p>
        </w:tc>
        <w:tc>
          <w:tcPr>
            <w:tcW w:w="1695" w:type="dxa"/>
          </w:tcPr>
          <w:p w:rsidR="00965215" w:rsidRPr="00AB3B6C" w:rsidP="00965215" w14:paraId="625430AD"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52DC4DB0" w14:textId="77777777">
            <w:pPr>
              <w:rPr>
                <w:rFonts w:eastAsia="Calibri"/>
                <w:sz w:val="20"/>
              </w:rPr>
            </w:pPr>
            <w:r w:rsidRPr="00AB3B6C">
              <w:rPr>
                <w:rFonts w:eastAsia="Calibri"/>
                <w:sz w:val="20"/>
              </w:rPr>
              <w:t>1578412</w:t>
            </w:r>
          </w:p>
        </w:tc>
      </w:tr>
      <w:tr w14:paraId="29F9B50E" w14:textId="77777777" w:rsidTr="00AB3B6C">
        <w:tblPrEx>
          <w:tblW w:w="0" w:type="auto"/>
          <w:tblLook w:val="04A0"/>
        </w:tblPrEx>
        <w:trPr>
          <w:cantSplit/>
        </w:trPr>
        <w:tc>
          <w:tcPr>
            <w:tcW w:w="2075" w:type="dxa"/>
            <w:shd w:val="clear" w:color="auto" w:fill="auto"/>
          </w:tcPr>
          <w:p w:rsidR="00965215" w:rsidRPr="00AB3B6C" w:rsidP="00965215" w14:paraId="74DC697E"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46C7FB49"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01000ABF" w14:textId="77777777">
            <w:pPr>
              <w:rPr>
                <w:rFonts w:eastAsia="Calibri"/>
                <w:sz w:val="20"/>
              </w:rPr>
            </w:pPr>
            <w:r w:rsidRPr="00AB3B6C">
              <w:rPr>
                <w:rFonts w:eastAsia="Calibri"/>
                <w:sz w:val="20"/>
              </w:rPr>
              <w:t>2015</w:t>
            </w:r>
          </w:p>
        </w:tc>
        <w:tc>
          <w:tcPr>
            <w:tcW w:w="1695" w:type="dxa"/>
          </w:tcPr>
          <w:p w:rsidR="00965215" w:rsidRPr="00AB3B6C" w:rsidP="00965215" w14:paraId="79A8F216"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615C38BE" w14:textId="77777777">
            <w:pPr>
              <w:rPr>
                <w:rFonts w:eastAsia="Calibri"/>
                <w:sz w:val="20"/>
              </w:rPr>
            </w:pPr>
            <w:r w:rsidRPr="00AB3B6C">
              <w:rPr>
                <w:rFonts w:eastAsia="Calibri"/>
                <w:sz w:val="20"/>
              </w:rPr>
              <w:t>1578413</w:t>
            </w:r>
          </w:p>
        </w:tc>
      </w:tr>
      <w:tr w14:paraId="557216ED" w14:textId="77777777" w:rsidTr="00AB3B6C">
        <w:tblPrEx>
          <w:tblW w:w="0" w:type="auto"/>
          <w:tblLook w:val="04A0"/>
        </w:tblPrEx>
        <w:trPr>
          <w:cantSplit/>
        </w:trPr>
        <w:tc>
          <w:tcPr>
            <w:tcW w:w="2075" w:type="dxa"/>
            <w:shd w:val="clear" w:color="auto" w:fill="auto"/>
          </w:tcPr>
          <w:p w:rsidR="00965215" w:rsidRPr="00AB3B6C" w:rsidP="00965215" w14:paraId="6BA3A05E"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7F4C1E85"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263BD592" w14:textId="77777777">
            <w:pPr>
              <w:rPr>
                <w:rFonts w:eastAsia="Calibri"/>
                <w:sz w:val="20"/>
              </w:rPr>
            </w:pPr>
            <w:r w:rsidRPr="00AB3B6C">
              <w:rPr>
                <w:rFonts w:eastAsia="Calibri"/>
                <w:sz w:val="20"/>
              </w:rPr>
              <w:t>2015</w:t>
            </w:r>
          </w:p>
        </w:tc>
        <w:tc>
          <w:tcPr>
            <w:tcW w:w="1695" w:type="dxa"/>
          </w:tcPr>
          <w:p w:rsidR="00965215" w:rsidRPr="00AB3B6C" w:rsidP="00965215" w14:paraId="607D0240"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36CC44A4" w14:textId="77777777">
            <w:pPr>
              <w:rPr>
                <w:rFonts w:eastAsia="Calibri"/>
                <w:sz w:val="20"/>
              </w:rPr>
            </w:pPr>
            <w:r w:rsidRPr="00AB3B6C">
              <w:rPr>
                <w:rFonts w:eastAsia="Calibri"/>
                <w:sz w:val="20"/>
              </w:rPr>
              <w:t>1578414</w:t>
            </w:r>
          </w:p>
        </w:tc>
      </w:tr>
      <w:tr w14:paraId="106005F2" w14:textId="77777777" w:rsidTr="00AB3B6C">
        <w:tblPrEx>
          <w:tblW w:w="0" w:type="auto"/>
          <w:tblLook w:val="04A0"/>
        </w:tblPrEx>
        <w:trPr>
          <w:cantSplit/>
        </w:trPr>
        <w:tc>
          <w:tcPr>
            <w:tcW w:w="2075" w:type="dxa"/>
            <w:shd w:val="clear" w:color="auto" w:fill="auto"/>
          </w:tcPr>
          <w:p w:rsidR="00965215" w:rsidRPr="00AB3B6C" w:rsidP="00965215" w14:paraId="14E669A7"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666FE031"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6CF89E4D" w14:textId="77777777">
            <w:pPr>
              <w:rPr>
                <w:rFonts w:eastAsia="Calibri"/>
                <w:sz w:val="20"/>
              </w:rPr>
            </w:pPr>
            <w:r w:rsidRPr="00AB3B6C">
              <w:rPr>
                <w:rFonts w:eastAsia="Calibri"/>
                <w:sz w:val="20"/>
              </w:rPr>
              <w:t>2015</w:t>
            </w:r>
          </w:p>
        </w:tc>
        <w:tc>
          <w:tcPr>
            <w:tcW w:w="1695" w:type="dxa"/>
          </w:tcPr>
          <w:p w:rsidR="00965215" w:rsidRPr="00AB3B6C" w:rsidP="00965215" w14:paraId="18DDDC66"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125CE23D" w14:textId="77777777">
            <w:pPr>
              <w:rPr>
                <w:rFonts w:eastAsia="Calibri"/>
                <w:sz w:val="20"/>
              </w:rPr>
            </w:pPr>
            <w:r w:rsidRPr="00AB3B6C">
              <w:rPr>
                <w:rFonts w:eastAsia="Calibri"/>
                <w:sz w:val="20"/>
              </w:rPr>
              <w:t>1578415</w:t>
            </w:r>
          </w:p>
        </w:tc>
      </w:tr>
      <w:tr w14:paraId="722C7B18" w14:textId="77777777" w:rsidTr="00AB3B6C">
        <w:tblPrEx>
          <w:tblW w:w="0" w:type="auto"/>
          <w:tblLook w:val="04A0"/>
        </w:tblPrEx>
        <w:trPr>
          <w:cantSplit/>
        </w:trPr>
        <w:tc>
          <w:tcPr>
            <w:tcW w:w="2075" w:type="dxa"/>
            <w:shd w:val="clear" w:color="auto" w:fill="auto"/>
          </w:tcPr>
          <w:p w:rsidR="00965215" w:rsidRPr="00AB3B6C" w:rsidP="00965215" w14:paraId="4ED0C8D7"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3AB5B53A"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67F632BB" w14:textId="77777777">
            <w:pPr>
              <w:rPr>
                <w:rFonts w:eastAsia="Calibri"/>
                <w:sz w:val="20"/>
              </w:rPr>
            </w:pPr>
            <w:r w:rsidRPr="00AB3B6C">
              <w:rPr>
                <w:rFonts w:eastAsia="Calibri"/>
                <w:sz w:val="20"/>
              </w:rPr>
              <w:t>2015</w:t>
            </w:r>
          </w:p>
        </w:tc>
        <w:tc>
          <w:tcPr>
            <w:tcW w:w="1695" w:type="dxa"/>
          </w:tcPr>
          <w:p w:rsidR="00965215" w:rsidRPr="00AB3B6C" w:rsidP="00965215" w14:paraId="6B0526C4" w14:textId="77777777">
            <w:pPr>
              <w:rPr>
                <w:rFonts w:eastAsia="Calibri"/>
                <w:sz w:val="20"/>
              </w:rPr>
            </w:pPr>
            <w:r w:rsidRPr="00AB3B6C">
              <w:rPr>
                <w:rFonts w:eastAsia="Calibri"/>
                <w:sz w:val="20"/>
              </w:rPr>
              <w:t>43144511</w:t>
            </w:r>
          </w:p>
        </w:tc>
        <w:tc>
          <w:tcPr>
            <w:tcW w:w="1882" w:type="dxa"/>
            <w:shd w:val="clear" w:color="auto" w:fill="auto"/>
          </w:tcPr>
          <w:p w:rsidR="00965215" w:rsidRPr="00AB3B6C" w:rsidP="00965215" w14:paraId="3FAD308E" w14:textId="77777777">
            <w:pPr>
              <w:rPr>
                <w:rFonts w:eastAsia="Calibri"/>
                <w:sz w:val="20"/>
              </w:rPr>
            </w:pPr>
            <w:r w:rsidRPr="00AB3B6C">
              <w:rPr>
                <w:rFonts w:eastAsia="Calibri"/>
                <w:sz w:val="20"/>
              </w:rPr>
              <w:t>1578416</w:t>
            </w:r>
          </w:p>
        </w:tc>
      </w:tr>
      <w:tr w14:paraId="2BCF1DDD" w14:textId="77777777" w:rsidTr="00AB3B6C">
        <w:tblPrEx>
          <w:tblW w:w="0" w:type="auto"/>
          <w:tblLook w:val="04A0"/>
        </w:tblPrEx>
        <w:trPr>
          <w:cantSplit/>
        </w:trPr>
        <w:tc>
          <w:tcPr>
            <w:tcW w:w="2075" w:type="dxa"/>
            <w:shd w:val="clear" w:color="auto" w:fill="auto"/>
          </w:tcPr>
          <w:p w:rsidR="00965215" w:rsidRPr="00AB3B6C" w:rsidP="00965215" w14:paraId="2F7B3ACF"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258BF10A"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04AADE4F" w14:textId="77777777">
            <w:pPr>
              <w:rPr>
                <w:rFonts w:eastAsia="Calibri"/>
                <w:sz w:val="20"/>
              </w:rPr>
            </w:pPr>
            <w:r w:rsidRPr="00AB3B6C">
              <w:rPr>
                <w:rFonts w:eastAsia="Calibri"/>
                <w:sz w:val="20"/>
              </w:rPr>
              <w:t>2015</w:t>
            </w:r>
          </w:p>
        </w:tc>
        <w:tc>
          <w:tcPr>
            <w:tcW w:w="1695" w:type="dxa"/>
          </w:tcPr>
          <w:p w:rsidR="00965215" w:rsidRPr="00AB3B6C" w:rsidP="00965215" w14:paraId="2A1F2FBA" w14:textId="77777777">
            <w:pPr>
              <w:rPr>
                <w:rFonts w:eastAsia="Calibri"/>
                <w:sz w:val="20"/>
              </w:rPr>
            </w:pPr>
            <w:r w:rsidRPr="00AB3B6C">
              <w:rPr>
                <w:rFonts w:eastAsia="Calibri"/>
                <w:sz w:val="20"/>
              </w:rPr>
              <w:t>43144511</w:t>
            </w:r>
          </w:p>
        </w:tc>
        <w:tc>
          <w:tcPr>
            <w:tcW w:w="1882" w:type="dxa"/>
            <w:shd w:val="clear" w:color="auto" w:fill="auto"/>
          </w:tcPr>
          <w:p w:rsidR="00965215" w:rsidRPr="00AB3B6C" w:rsidP="00965215" w14:paraId="0976C0CD" w14:textId="77777777">
            <w:pPr>
              <w:rPr>
                <w:rFonts w:eastAsia="Calibri"/>
                <w:sz w:val="20"/>
              </w:rPr>
            </w:pPr>
            <w:r w:rsidRPr="00AB3B6C">
              <w:rPr>
                <w:rFonts w:eastAsia="Calibri"/>
                <w:sz w:val="20"/>
              </w:rPr>
              <w:t>1578417</w:t>
            </w:r>
          </w:p>
        </w:tc>
      </w:tr>
      <w:tr w14:paraId="5CC5A5F0" w14:textId="77777777" w:rsidTr="00AB3B6C">
        <w:tblPrEx>
          <w:tblW w:w="0" w:type="auto"/>
          <w:tblLook w:val="04A0"/>
        </w:tblPrEx>
        <w:trPr>
          <w:cantSplit/>
        </w:trPr>
        <w:tc>
          <w:tcPr>
            <w:tcW w:w="2075" w:type="dxa"/>
            <w:shd w:val="clear" w:color="auto" w:fill="auto"/>
          </w:tcPr>
          <w:p w:rsidR="00965215" w:rsidRPr="00AB3B6C" w:rsidP="00965215" w14:paraId="43B97343"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3C87B239"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3CCD093A" w14:textId="77777777">
            <w:pPr>
              <w:rPr>
                <w:rFonts w:eastAsia="Calibri"/>
                <w:sz w:val="20"/>
              </w:rPr>
            </w:pPr>
            <w:r w:rsidRPr="00AB3B6C">
              <w:rPr>
                <w:rFonts w:eastAsia="Calibri"/>
                <w:sz w:val="20"/>
              </w:rPr>
              <w:t>2015</w:t>
            </w:r>
          </w:p>
        </w:tc>
        <w:tc>
          <w:tcPr>
            <w:tcW w:w="1695" w:type="dxa"/>
          </w:tcPr>
          <w:p w:rsidR="00965215" w:rsidRPr="00AB3B6C" w:rsidP="00965215" w14:paraId="20E7CBB7" w14:textId="77777777">
            <w:pPr>
              <w:rPr>
                <w:rFonts w:eastAsia="Calibri"/>
                <w:sz w:val="20"/>
              </w:rPr>
            </w:pPr>
            <w:r w:rsidRPr="00AB3B6C">
              <w:rPr>
                <w:rFonts w:eastAsia="Calibri"/>
                <w:sz w:val="20"/>
              </w:rPr>
              <w:t>43144511</w:t>
            </w:r>
          </w:p>
        </w:tc>
        <w:tc>
          <w:tcPr>
            <w:tcW w:w="1882" w:type="dxa"/>
            <w:shd w:val="clear" w:color="auto" w:fill="auto"/>
          </w:tcPr>
          <w:p w:rsidR="00965215" w:rsidRPr="00AB3B6C" w:rsidP="00965215" w14:paraId="777EF68E" w14:textId="77777777">
            <w:pPr>
              <w:rPr>
                <w:rFonts w:eastAsia="Calibri"/>
                <w:sz w:val="20"/>
              </w:rPr>
            </w:pPr>
            <w:r w:rsidRPr="00AB3B6C">
              <w:rPr>
                <w:rFonts w:eastAsia="Calibri"/>
                <w:sz w:val="20"/>
              </w:rPr>
              <w:t>1578418</w:t>
            </w:r>
          </w:p>
        </w:tc>
      </w:tr>
      <w:tr w14:paraId="2A561C31" w14:textId="77777777" w:rsidTr="00AB3B6C">
        <w:tblPrEx>
          <w:tblW w:w="0" w:type="auto"/>
          <w:tblLook w:val="04A0"/>
        </w:tblPrEx>
        <w:trPr>
          <w:cantSplit/>
        </w:trPr>
        <w:tc>
          <w:tcPr>
            <w:tcW w:w="2075" w:type="dxa"/>
            <w:shd w:val="clear" w:color="auto" w:fill="auto"/>
          </w:tcPr>
          <w:p w:rsidR="00965215" w:rsidRPr="00AB3B6C" w:rsidP="00965215" w14:paraId="257BC7DF"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18AF8E21"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21EC52D8" w14:textId="77777777">
            <w:pPr>
              <w:rPr>
                <w:rFonts w:eastAsia="Calibri"/>
                <w:sz w:val="20"/>
              </w:rPr>
            </w:pPr>
            <w:r w:rsidRPr="00AB3B6C">
              <w:rPr>
                <w:rFonts w:eastAsia="Calibri"/>
                <w:sz w:val="20"/>
              </w:rPr>
              <w:t>2015</w:t>
            </w:r>
          </w:p>
        </w:tc>
        <w:tc>
          <w:tcPr>
            <w:tcW w:w="1695" w:type="dxa"/>
          </w:tcPr>
          <w:p w:rsidR="00965215" w:rsidRPr="00AB3B6C" w:rsidP="00965215" w14:paraId="0232ED8F" w14:textId="77777777">
            <w:pPr>
              <w:rPr>
                <w:rFonts w:eastAsia="Calibri"/>
                <w:sz w:val="20"/>
              </w:rPr>
            </w:pPr>
            <w:r w:rsidRPr="00AB3B6C">
              <w:rPr>
                <w:rFonts w:eastAsia="Calibri"/>
                <w:sz w:val="20"/>
              </w:rPr>
              <w:t>43123237</w:t>
            </w:r>
          </w:p>
        </w:tc>
        <w:tc>
          <w:tcPr>
            <w:tcW w:w="1882" w:type="dxa"/>
            <w:shd w:val="clear" w:color="auto" w:fill="auto"/>
          </w:tcPr>
          <w:p w:rsidR="00965215" w:rsidRPr="00AB3B6C" w:rsidP="00965215" w14:paraId="76D02631" w14:textId="77777777">
            <w:pPr>
              <w:rPr>
                <w:rFonts w:eastAsia="Calibri"/>
                <w:sz w:val="20"/>
              </w:rPr>
            </w:pPr>
            <w:r w:rsidRPr="00AB3B6C">
              <w:rPr>
                <w:rFonts w:eastAsia="Calibri"/>
                <w:sz w:val="20"/>
              </w:rPr>
              <w:t>1578419</w:t>
            </w:r>
          </w:p>
        </w:tc>
      </w:tr>
      <w:tr w14:paraId="770CB94A" w14:textId="77777777" w:rsidTr="00AB3B6C">
        <w:tblPrEx>
          <w:tblW w:w="0" w:type="auto"/>
          <w:tblLook w:val="04A0"/>
        </w:tblPrEx>
        <w:trPr>
          <w:cantSplit/>
        </w:trPr>
        <w:tc>
          <w:tcPr>
            <w:tcW w:w="2075" w:type="dxa"/>
            <w:shd w:val="clear" w:color="auto" w:fill="auto"/>
          </w:tcPr>
          <w:p w:rsidR="00965215" w:rsidRPr="00AB3B6C" w:rsidP="00965215" w14:paraId="44844E0E"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22B34927"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530A1D61" w14:textId="77777777">
            <w:pPr>
              <w:rPr>
                <w:rFonts w:eastAsia="Calibri"/>
                <w:sz w:val="20"/>
              </w:rPr>
            </w:pPr>
            <w:r w:rsidRPr="00AB3B6C">
              <w:rPr>
                <w:rFonts w:eastAsia="Calibri"/>
                <w:sz w:val="20"/>
              </w:rPr>
              <w:t>2015</w:t>
            </w:r>
          </w:p>
        </w:tc>
        <w:tc>
          <w:tcPr>
            <w:tcW w:w="1695" w:type="dxa"/>
          </w:tcPr>
          <w:p w:rsidR="00965215" w:rsidRPr="00AB3B6C" w:rsidP="00965215" w14:paraId="461605A1" w14:textId="77777777">
            <w:pPr>
              <w:rPr>
                <w:rFonts w:eastAsia="Calibri"/>
                <w:sz w:val="20"/>
              </w:rPr>
            </w:pPr>
            <w:r w:rsidRPr="00AB3B6C">
              <w:rPr>
                <w:rFonts w:eastAsia="Calibri"/>
                <w:sz w:val="20"/>
              </w:rPr>
              <w:t>43123240</w:t>
            </w:r>
          </w:p>
        </w:tc>
        <w:tc>
          <w:tcPr>
            <w:tcW w:w="1882" w:type="dxa"/>
            <w:shd w:val="clear" w:color="auto" w:fill="auto"/>
          </w:tcPr>
          <w:p w:rsidR="00965215" w:rsidRPr="00AB3B6C" w:rsidP="00965215" w14:paraId="55E2C0D6" w14:textId="77777777">
            <w:pPr>
              <w:rPr>
                <w:rFonts w:eastAsia="Calibri"/>
                <w:sz w:val="20"/>
              </w:rPr>
            </w:pPr>
            <w:r w:rsidRPr="00AB3B6C">
              <w:rPr>
                <w:rFonts w:eastAsia="Calibri"/>
                <w:sz w:val="20"/>
              </w:rPr>
              <w:t>1578420</w:t>
            </w:r>
          </w:p>
        </w:tc>
      </w:tr>
      <w:tr w14:paraId="7A580D6E" w14:textId="77777777" w:rsidTr="00AB3B6C">
        <w:tblPrEx>
          <w:tblW w:w="0" w:type="auto"/>
          <w:tblLook w:val="04A0"/>
        </w:tblPrEx>
        <w:trPr>
          <w:cantSplit/>
        </w:trPr>
        <w:tc>
          <w:tcPr>
            <w:tcW w:w="2075" w:type="dxa"/>
            <w:shd w:val="clear" w:color="auto" w:fill="auto"/>
          </w:tcPr>
          <w:p w:rsidR="00965215" w:rsidRPr="00AB3B6C" w:rsidP="00965215" w14:paraId="3E2D4D22"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6AF4F7ED"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52D8327D" w14:textId="77777777">
            <w:pPr>
              <w:rPr>
                <w:rFonts w:eastAsia="Calibri"/>
                <w:sz w:val="20"/>
              </w:rPr>
            </w:pPr>
            <w:r w:rsidRPr="00AB3B6C">
              <w:rPr>
                <w:rFonts w:eastAsia="Calibri"/>
                <w:sz w:val="20"/>
              </w:rPr>
              <w:t>2015</w:t>
            </w:r>
          </w:p>
        </w:tc>
        <w:tc>
          <w:tcPr>
            <w:tcW w:w="1695" w:type="dxa"/>
          </w:tcPr>
          <w:p w:rsidR="00965215" w:rsidRPr="00AB3B6C" w:rsidP="00965215" w14:paraId="4B15B4C2" w14:textId="77777777">
            <w:pPr>
              <w:rPr>
                <w:rFonts w:eastAsia="Calibri"/>
                <w:sz w:val="20"/>
              </w:rPr>
            </w:pPr>
            <w:r w:rsidRPr="00AB3B6C">
              <w:rPr>
                <w:rFonts w:eastAsia="Calibri"/>
                <w:sz w:val="20"/>
              </w:rPr>
              <w:t>43155659</w:t>
            </w:r>
          </w:p>
        </w:tc>
        <w:tc>
          <w:tcPr>
            <w:tcW w:w="1882" w:type="dxa"/>
            <w:shd w:val="clear" w:color="auto" w:fill="auto"/>
          </w:tcPr>
          <w:p w:rsidR="00965215" w:rsidRPr="00AB3B6C" w:rsidP="00965215" w14:paraId="1AC45E08" w14:textId="77777777">
            <w:pPr>
              <w:rPr>
                <w:rFonts w:eastAsia="Calibri"/>
                <w:sz w:val="20"/>
              </w:rPr>
            </w:pPr>
            <w:r w:rsidRPr="00AB3B6C">
              <w:rPr>
                <w:rFonts w:eastAsia="Calibri"/>
                <w:sz w:val="20"/>
              </w:rPr>
              <w:t>1578421</w:t>
            </w:r>
          </w:p>
        </w:tc>
      </w:tr>
      <w:tr w14:paraId="6A8B3FD9" w14:textId="77777777" w:rsidTr="00AB3B6C">
        <w:tblPrEx>
          <w:tblW w:w="0" w:type="auto"/>
          <w:tblLook w:val="04A0"/>
        </w:tblPrEx>
        <w:trPr>
          <w:cantSplit/>
        </w:trPr>
        <w:tc>
          <w:tcPr>
            <w:tcW w:w="2075" w:type="dxa"/>
            <w:shd w:val="clear" w:color="auto" w:fill="auto"/>
          </w:tcPr>
          <w:p w:rsidR="00965215" w:rsidRPr="00AB3B6C" w:rsidP="00965215" w14:paraId="1F081B77"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15126A4B"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7E846C59" w14:textId="77777777">
            <w:pPr>
              <w:rPr>
                <w:rFonts w:eastAsia="Calibri"/>
                <w:sz w:val="20"/>
              </w:rPr>
            </w:pPr>
            <w:r w:rsidRPr="00AB3B6C">
              <w:rPr>
                <w:rFonts w:eastAsia="Calibri"/>
                <w:sz w:val="20"/>
              </w:rPr>
              <w:t>2015</w:t>
            </w:r>
          </w:p>
        </w:tc>
        <w:tc>
          <w:tcPr>
            <w:tcW w:w="1695" w:type="dxa"/>
          </w:tcPr>
          <w:p w:rsidR="00965215" w:rsidRPr="00AB3B6C" w:rsidP="00965215" w14:paraId="393D9FDF" w14:textId="77777777">
            <w:pPr>
              <w:rPr>
                <w:rFonts w:eastAsia="Calibri"/>
                <w:sz w:val="20"/>
              </w:rPr>
            </w:pPr>
            <w:r w:rsidRPr="00AB3B6C">
              <w:rPr>
                <w:rFonts w:eastAsia="Calibri"/>
                <w:sz w:val="20"/>
              </w:rPr>
              <w:t>43155659</w:t>
            </w:r>
          </w:p>
        </w:tc>
        <w:tc>
          <w:tcPr>
            <w:tcW w:w="1882" w:type="dxa"/>
            <w:shd w:val="clear" w:color="auto" w:fill="auto"/>
          </w:tcPr>
          <w:p w:rsidR="00965215" w:rsidRPr="00AB3B6C" w:rsidP="00965215" w14:paraId="0C2B0C80" w14:textId="77777777">
            <w:pPr>
              <w:rPr>
                <w:rFonts w:eastAsia="Calibri"/>
                <w:sz w:val="20"/>
              </w:rPr>
            </w:pPr>
            <w:r w:rsidRPr="00AB3B6C">
              <w:rPr>
                <w:rFonts w:eastAsia="Calibri"/>
                <w:sz w:val="20"/>
              </w:rPr>
              <w:t>1580115</w:t>
            </w:r>
          </w:p>
        </w:tc>
      </w:tr>
      <w:tr w14:paraId="2C489A01" w14:textId="77777777" w:rsidTr="00AB3B6C">
        <w:tblPrEx>
          <w:tblW w:w="0" w:type="auto"/>
          <w:tblLook w:val="04A0"/>
        </w:tblPrEx>
        <w:trPr>
          <w:cantSplit/>
        </w:trPr>
        <w:tc>
          <w:tcPr>
            <w:tcW w:w="2075" w:type="dxa"/>
            <w:shd w:val="clear" w:color="auto" w:fill="auto"/>
          </w:tcPr>
          <w:p w:rsidR="00965215" w:rsidRPr="00AB3B6C" w:rsidP="00965215" w14:paraId="7B1D4E41" w14:textId="77777777">
            <w:pPr>
              <w:rPr>
                <w:rFonts w:eastAsia="Calibri"/>
                <w:sz w:val="20"/>
              </w:rPr>
            </w:pPr>
            <w:r w:rsidRPr="00AB3B6C">
              <w:rPr>
                <w:rFonts w:eastAsia="Calibri"/>
                <w:sz w:val="20"/>
              </w:rPr>
              <w:t>34447</w:t>
            </w:r>
          </w:p>
        </w:tc>
        <w:tc>
          <w:tcPr>
            <w:tcW w:w="2690" w:type="dxa"/>
            <w:shd w:val="clear" w:color="auto" w:fill="auto"/>
          </w:tcPr>
          <w:p w:rsidR="00965215" w:rsidRPr="00AB3B6C" w:rsidP="00965215" w14:paraId="2E501F6E" w14:textId="77777777">
            <w:pPr>
              <w:rPr>
                <w:rFonts w:eastAsia="Calibri"/>
                <w:sz w:val="20"/>
              </w:rPr>
            </w:pPr>
            <w:r w:rsidRPr="00AB3B6C">
              <w:rPr>
                <w:rFonts w:eastAsia="Calibri"/>
                <w:sz w:val="20"/>
              </w:rPr>
              <w:t>UTHSCT</w:t>
            </w:r>
            <w:r w:rsidRPr="00AB3B6C">
              <w:rPr>
                <w:rFonts w:eastAsia="Calibri"/>
                <w:sz w:val="20"/>
              </w:rPr>
              <w:t xml:space="preserve"> on behalf of </w:t>
            </w:r>
            <w:r w:rsidRPr="00AB3B6C">
              <w:rPr>
                <w:rFonts w:eastAsia="Calibri"/>
                <w:sz w:val="20"/>
              </w:rPr>
              <w:t>ETIHN</w:t>
            </w:r>
            <w:r w:rsidRPr="00AB3B6C">
              <w:rPr>
                <w:rFonts w:eastAsia="Calibri"/>
                <w:sz w:val="20"/>
              </w:rPr>
              <w:t>- Andrews Center</w:t>
            </w:r>
          </w:p>
        </w:tc>
        <w:tc>
          <w:tcPr>
            <w:tcW w:w="1011" w:type="dxa"/>
            <w:shd w:val="clear" w:color="auto" w:fill="auto"/>
          </w:tcPr>
          <w:p w:rsidR="00965215" w:rsidRPr="00AB3B6C" w:rsidP="00965215" w14:paraId="52D296B3" w14:textId="77777777">
            <w:pPr>
              <w:rPr>
                <w:rFonts w:eastAsia="Calibri"/>
                <w:sz w:val="20"/>
              </w:rPr>
            </w:pPr>
            <w:r w:rsidRPr="00AB3B6C">
              <w:rPr>
                <w:rFonts w:eastAsia="Calibri"/>
                <w:sz w:val="20"/>
              </w:rPr>
              <w:t>2015</w:t>
            </w:r>
          </w:p>
        </w:tc>
        <w:tc>
          <w:tcPr>
            <w:tcW w:w="1695" w:type="dxa"/>
          </w:tcPr>
          <w:p w:rsidR="00965215" w:rsidRPr="00AB3B6C" w:rsidP="00965215" w14:paraId="73EC45C3" w14:textId="77777777">
            <w:pPr>
              <w:rPr>
                <w:rFonts w:eastAsia="Calibri"/>
                <w:sz w:val="20"/>
              </w:rPr>
            </w:pPr>
            <w:r w:rsidRPr="00AB3B6C">
              <w:rPr>
                <w:rFonts w:eastAsia="Calibri"/>
                <w:sz w:val="20"/>
              </w:rPr>
              <w:t>43155889</w:t>
            </w:r>
          </w:p>
        </w:tc>
        <w:tc>
          <w:tcPr>
            <w:tcW w:w="1882" w:type="dxa"/>
            <w:shd w:val="clear" w:color="auto" w:fill="auto"/>
          </w:tcPr>
          <w:p w:rsidR="00965215" w:rsidRPr="00AB3B6C" w:rsidP="00965215" w14:paraId="4A3D49E4" w14:textId="77777777">
            <w:pPr>
              <w:rPr>
                <w:rFonts w:eastAsia="Calibri"/>
                <w:sz w:val="20"/>
              </w:rPr>
            </w:pPr>
            <w:r w:rsidRPr="00AB3B6C">
              <w:rPr>
                <w:rFonts w:eastAsia="Calibri"/>
                <w:sz w:val="20"/>
              </w:rPr>
              <w:t>1575203</w:t>
            </w:r>
          </w:p>
        </w:tc>
      </w:tr>
      <w:tr w14:paraId="0B925BD3" w14:textId="77777777" w:rsidTr="00AB3B6C">
        <w:tblPrEx>
          <w:tblW w:w="0" w:type="auto"/>
          <w:tblLook w:val="04A0"/>
        </w:tblPrEx>
        <w:trPr>
          <w:cantSplit/>
        </w:trPr>
        <w:tc>
          <w:tcPr>
            <w:tcW w:w="2075" w:type="dxa"/>
            <w:shd w:val="clear" w:color="auto" w:fill="auto"/>
          </w:tcPr>
          <w:p w:rsidR="00965215" w:rsidRPr="00AB3B6C" w:rsidP="00965215" w14:paraId="7848DA99" w14:textId="77777777">
            <w:pPr>
              <w:rPr>
                <w:rFonts w:eastAsia="Calibri"/>
                <w:sz w:val="20"/>
              </w:rPr>
            </w:pPr>
            <w:r w:rsidRPr="00AB3B6C">
              <w:rPr>
                <w:rFonts w:eastAsia="Calibri"/>
                <w:sz w:val="20"/>
              </w:rPr>
              <w:t>34447</w:t>
            </w:r>
          </w:p>
        </w:tc>
        <w:tc>
          <w:tcPr>
            <w:tcW w:w="2690" w:type="dxa"/>
            <w:shd w:val="clear" w:color="auto" w:fill="auto"/>
          </w:tcPr>
          <w:p w:rsidR="00965215" w:rsidRPr="00AB3B6C" w:rsidP="00965215" w14:paraId="1DF70F4D" w14:textId="77777777">
            <w:pPr>
              <w:rPr>
                <w:rFonts w:eastAsia="Calibri"/>
                <w:sz w:val="20"/>
              </w:rPr>
            </w:pPr>
            <w:r w:rsidRPr="00AB3B6C">
              <w:rPr>
                <w:rFonts w:eastAsia="Calibri"/>
                <w:sz w:val="20"/>
              </w:rPr>
              <w:t>UTHSCT</w:t>
            </w:r>
            <w:r w:rsidRPr="00AB3B6C">
              <w:rPr>
                <w:rFonts w:eastAsia="Calibri"/>
                <w:sz w:val="20"/>
              </w:rPr>
              <w:t xml:space="preserve"> on behalf of </w:t>
            </w:r>
            <w:r w:rsidRPr="00AB3B6C">
              <w:rPr>
                <w:rFonts w:eastAsia="Calibri"/>
                <w:sz w:val="20"/>
              </w:rPr>
              <w:t>ETIHN</w:t>
            </w:r>
            <w:r w:rsidRPr="00AB3B6C">
              <w:rPr>
                <w:rFonts w:eastAsia="Calibri"/>
                <w:sz w:val="20"/>
              </w:rPr>
              <w:t>- Andrews Center</w:t>
            </w:r>
          </w:p>
        </w:tc>
        <w:tc>
          <w:tcPr>
            <w:tcW w:w="1011" w:type="dxa"/>
            <w:shd w:val="clear" w:color="auto" w:fill="auto"/>
          </w:tcPr>
          <w:p w:rsidR="00965215" w:rsidRPr="00AB3B6C" w:rsidP="00965215" w14:paraId="2A12D038" w14:textId="77777777">
            <w:pPr>
              <w:rPr>
                <w:rFonts w:eastAsia="Calibri"/>
                <w:sz w:val="20"/>
              </w:rPr>
            </w:pPr>
            <w:r w:rsidRPr="00AB3B6C">
              <w:rPr>
                <w:rFonts w:eastAsia="Calibri"/>
                <w:sz w:val="20"/>
              </w:rPr>
              <w:t>2015</w:t>
            </w:r>
          </w:p>
        </w:tc>
        <w:tc>
          <w:tcPr>
            <w:tcW w:w="1695" w:type="dxa"/>
          </w:tcPr>
          <w:p w:rsidR="00965215" w:rsidRPr="00AB3B6C" w:rsidP="00965215" w14:paraId="2ECAC69E" w14:textId="77777777">
            <w:pPr>
              <w:rPr>
                <w:rFonts w:eastAsia="Calibri"/>
                <w:sz w:val="20"/>
              </w:rPr>
            </w:pPr>
            <w:r w:rsidRPr="00AB3B6C">
              <w:rPr>
                <w:rFonts w:eastAsia="Calibri"/>
                <w:sz w:val="20"/>
              </w:rPr>
              <w:t>43155889</w:t>
            </w:r>
          </w:p>
        </w:tc>
        <w:tc>
          <w:tcPr>
            <w:tcW w:w="1882" w:type="dxa"/>
            <w:shd w:val="clear" w:color="auto" w:fill="auto"/>
          </w:tcPr>
          <w:p w:rsidR="00965215" w:rsidRPr="00AB3B6C" w:rsidP="00965215" w14:paraId="34325FCF" w14:textId="77777777">
            <w:pPr>
              <w:rPr>
                <w:rFonts w:eastAsia="Calibri"/>
                <w:sz w:val="20"/>
              </w:rPr>
            </w:pPr>
            <w:r w:rsidRPr="00AB3B6C">
              <w:rPr>
                <w:rFonts w:eastAsia="Calibri"/>
                <w:sz w:val="20"/>
              </w:rPr>
              <w:t>1578408</w:t>
            </w:r>
          </w:p>
        </w:tc>
      </w:tr>
      <w:tr w14:paraId="3C3E6E67" w14:textId="77777777" w:rsidTr="00AB3B6C">
        <w:tblPrEx>
          <w:tblW w:w="0" w:type="auto"/>
          <w:tblLook w:val="04A0"/>
        </w:tblPrEx>
        <w:trPr>
          <w:cantSplit/>
        </w:trPr>
        <w:tc>
          <w:tcPr>
            <w:tcW w:w="2075" w:type="dxa"/>
            <w:shd w:val="clear" w:color="auto" w:fill="auto"/>
          </w:tcPr>
          <w:p w:rsidR="00965215" w:rsidRPr="00AB3B6C" w:rsidP="00965215" w14:paraId="08D9560B" w14:textId="77777777">
            <w:pPr>
              <w:rPr>
                <w:rFonts w:eastAsia="Calibri"/>
                <w:sz w:val="20"/>
              </w:rPr>
            </w:pPr>
            <w:r w:rsidRPr="00AB3B6C">
              <w:rPr>
                <w:rFonts w:eastAsia="Calibri"/>
                <w:sz w:val="20"/>
              </w:rPr>
              <w:t>34447</w:t>
            </w:r>
          </w:p>
        </w:tc>
        <w:tc>
          <w:tcPr>
            <w:tcW w:w="2690" w:type="dxa"/>
            <w:shd w:val="clear" w:color="auto" w:fill="auto"/>
          </w:tcPr>
          <w:p w:rsidR="00965215" w:rsidRPr="00AB3B6C" w:rsidP="00965215" w14:paraId="14C693CE" w14:textId="77777777">
            <w:pPr>
              <w:rPr>
                <w:rFonts w:eastAsia="Calibri"/>
                <w:sz w:val="20"/>
              </w:rPr>
            </w:pPr>
            <w:r w:rsidRPr="00AB3B6C">
              <w:rPr>
                <w:rFonts w:eastAsia="Calibri"/>
                <w:sz w:val="20"/>
              </w:rPr>
              <w:t>UTHSCT</w:t>
            </w:r>
            <w:r w:rsidRPr="00AB3B6C">
              <w:rPr>
                <w:rFonts w:eastAsia="Calibri"/>
                <w:sz w:val="20"/>
              </w:rPr>
              <w:t xml:space="preserve"> on behalf of </w:t>
            </w:r>
            <w:r w:rsidRPr="00AB3B6C">
              <w:rPr>
                <w:rFonts w:eastAsia="Calibri"/>
                <w:sz w:val="20"/>
              </w:rPr>
              <w:t>ETIHN</w:t>
            </w:r>
            <w:r w:rsidRPr="00AB3B6C">
              <w:rPr>
                <w:rFonts w:eastAsia="Calibri"/>
                <w:sz w:val="20"/>
              </w:rPr>
              <w:t>- Andrews Center</w:t>
            </w:r>
          </w:p>
        </w:tc>
        <w:tc>
          <w:tcPr>
            <w:tcW w:w="1011" w:type="dxa"/>
            <w:shd w:val="clear" w:color="auto" w:fill="auto"/>
          </w:tcPr>
          <w:p w:rsidR="00965215" w:rsidRPr="00AB3B6C" w:rsidP="00965215" w14:paraId="2120F4F8" w14:textId="77777777">
            <w:pPr>
              <w:rPr>
                <w:rFonts w:eastAsia="Calibri"/>
                <w:sz w:val="20"/>
              </w:rPr>
            </w:pPr>
            <w:r w:rsidRPr="00AB3B6C">
              <w:rPr>
                <w:rFonts w:eastAsia="Calibri"/>
                <w:sz w:val="20"/>
              </w:rPr>
              <w:t>2015</w:t>
            </w:r>
          </w:p>
        </w:tc>
        <w:tc>
          <w:tcPr>
            <w:tcW w:w="1695" w:type="dxa"/>
          </w:tcPr>
          <w:p w:rsidR="00965215" w:rsidRPr="00AB3B6C" w:rsidP="00965215" w14:paraId="08628B3D" w14:textId="77777777">
            <w:pPr>
              <w:rPr>
                <w:rFonts w:eastAsia="Calibri"/>
                <w:sz w:val="20"/>
              </w:rPr>
            </w:pPr>
            <w:r w:rsidRPr="00AB3B6C">
              <w:rPr>
                <w:rFonts w:eastAsia="Calibri"/>
                <w:sz w:val="20"/>
              </w:rPr>
              <w:t>43155889</w:t>
            </w:r>
          </w:p>
        </w:tc>
        <w:tc>
          <w:tcPr>
            <w:tcW w:w="1882" w:type="dxa"/>
            <w:shd w:val="clear" w:color="auto" w:fill="auto"/>
          </w:tcPr>
          <w:p w:rsidR="00965215" w:rsidRPr="00AB3B6C" w:rsidP="00965215" w14:paraId="47845F07" w14:textId="77777777">
            <w:pPr>
              <w:rPr>
                <w:rFonts w:eastAsia="Calibri"/>
                <w:sz w:val="20"/>
              </w:rPr>
            </w:pPr>
            <w:r w:rsidRPr="00AB3B6C">
              <w:rPr>
                <w:rFonts w:eastAsia="Calibri"/>
                <w:sz w:val="20"/>
              </w:rPr>
              <w:t>1578409</w:t>
            </w:r>
          </w:p>
        </w:tc>
      </w:tr>
      <w:tr w14:paraId="51E33D2A" w14:textId="77777777" w:rsidTr="00AB3B6C">
        <w:tblPrEx>
          <w:tblW w:w="0" w:type="auto"/>
          <w:tblLook w:val="04A0"/>
        </w:tblPrEx>
        <w:trPr>
          <w:cantSplit/>
        </w:trPr>
        <w:tc>
          <w:tcPr>
            <w:tcW w:w="2075" w:type="dxa"/>
            <w:shd w:val="clear" w:color="auto" w:fill="auto"/>
          </w:tcPr>
          <w:p w:rsidR="00965215" w:rsidRPr="00AB3B6C" w:rsidP="00965215" w14:paraId="421E3D9C" w14:textId="77777777">
            <w:pPr>
              <w:rPr>
                <w:rFonts w:eastAsia="Calibri"/>
                <w:sz w:val="20"/>
              </w:rPr>
            </w:pPr>
            <w:r w:rsidRPr="00AB3B6C">
              <w:rPr>
                <w:rFonts w:eastAsia="Calibri"/>
                <w:sz w:val="20"/>
              </w:rPr>
              <w:t>34447</w:t>
            </w:r>
          </w:p>
        </w:tc>
        <w:tc>
          <w:tcPr>
            <w:tcW w:w="2690" w:type="dxa"/>
            <w:shd w:val="clear" w:color="auto" w:fill="auto"/>
          </w:tcPr>
          <w:p w:rsidR="00965215" w:rsidRPr="00AB3B6C" w:rsidP="00965215" w14:paraId="1D2E5B7F" w14:textId="77777777">
            <w:pPr>
              <w:rPr>
                <w:rFonts w:eastAsia="Calibri"/>
                <w:sz w:val="20"/>
              </w:rPr>
            </w:pPr>
            <w:r w:rsidRPr="00AB3B6C">
              <w:rPr>
                <w:rFonts w:eastAsia="Calibri"/>
                <w:sz w:val="20"/>
              </w:rPr>
              <w:t>UTHSCT</w:t>
            </w:r>
            <w:r w:rsidRPr="00AB3B6C">
              <w:rPr>
                <w:rFonts w:eastAsia="Calibri"/>
                <w:sz w:val="20"/>
              </w:rPr>
              <w:t xml:space="preserve"> on behalf of </w:t>
            </w:r>
            <w:r w:rsidRPr="00AB3B6C">
              <w:rPr>
                <w:rFonts w:eastAsia="Calibri"/>
                <w:sz w:val="20"/>
              </w:rPr>
              <w:t>ETIHN</w:t>
            </w:r>
            <w:r w:rsidRPr="00AB3B6C">
              <w:rPr>
                <w:rFonts w:eastAsia="Calibri"/>
                <w:sz w:val="20"/>
              </w:rPr>
              <w:t>- Andrews Center</w:t>
            </w:r>
          </w:p>
        </w:tc>
        <w:tc>
          <w:tcPr>
            <w:tcW w:w="1011" w:type="dxa"/>
            <w:shd w:val="clear" w:color="auto" w:fill="auto"/>
          </w:tcPr>
          <w:p w:rsidR="00965215" w:rsidRPr="00AB3B6C" w:rsidP="00965215" w14:paraId="1678D81A" w14:textId="77777777">
            <w:pPr>
              <w:rPr>
                <w:rFonts w:eastAsia="Calibri"/>
                <w:sz w:val="20"/>
              </w:rPr>
            </w:pPr>
            <w:r w:rsidRPr="00AB3B6C">
              <w:rPr>
                <w:rFonts w:eastAsia="Calibri"/>
                <w:sz w:val="20"/>
              </w:rPr>
              <w:t>2015</w:t>
            </w:r>
          </w:p>
        </w:tc>
        <w:tc>
          <w:tcPr>
            <w:tcW w:w="1695" w:type="dxa"/>
          </w:tcPr>
          <w:p w:rsidR="00965215" w:rsidRPr="00AB3B6C" w:rsidP="00965215" w14:paraId="3507236E" w14:textId="77777777">
            <w:pPr>
              <w:rPr>
                <w:rFonts w:eastAsia="Calibri"/>
                <w:sz w:val="20"/>
              </w:rPr>
            </w:pPr>
            <w:r w:rsidRPr="00AB3B6C">
              <w:rPr>
                <w:rFonts w:eastAsia="Calibri"/>
                <w:sz w:val="20"/>
              </w:rPr>
              <w:t>43155889</w:t>
            </w:r>
          </w:p>
        </w:tc>
        <w:tc>
          <w:tcPr>
            <w:tcW w:w="1882" w:type="dxa"/>
            <w:shd w:val="clear" w:color="auto" w:fill="auto"/>
          </w:tcPr>
          <w:p w:rsidR="00965215" w:rsidRPr="00AB3B6C" w:rsidP="00965215" w14:paraId="6DE6FF76" w14:textId="77777777">
            <w:pPr>
              <w:rPr>
                <w:rFonts w:eastAsia="Calibri"/>
                <w:sz w:val="20"/>
              </w:rPr>
            </w:pPr>
            <w:r w:rsidRPr="00AB3B6C">
              <w:rPr>
                <w:rFonts w:eastAsia="Calibri"/>
                <w:sz w:val="20"/>
              </w:rPr>
              <w:t>1578410</w:t>
            </w:r>
          </w:p>
        </w:tc>
      </w:tr>
      <w:tr w14:paraId="357140E9" w14:textId="77777777" w:rsidTr="00AB3B6C">
        <w:tblPrEx>
          <w:tblW w:w="0" w:type="auto"/>
          <w:tblLook w:val="04A0"/>
        </w:tblPrEx>
        <w:trPr>
          <w:cantSplit/>
        </w:trPr>
        <w:tc>
          <w:tcPr>
            <w:tcW w:w="2075" w:type="dxa"/>
            <w:shd w:val="clear" w:color="auto" w:fill="auto"/>
          </w:tcPr>
          <w:p w:rsidR="00965215" w:rsidRPr="00AB3B6C" w:rsidP="00965215" w14:paraId="15AE524C" w14:textId="77777777">
            <w:pPr>
              <w:rPr>
                <w:rFonts w:eastAsia="Calibri"/>
                <w:sz w:val="20"/>
              </w:rPr>
            </w:pPr>
            <w:r w:rsidRPr="00AB3B6C">
              <w:rPr>
                <w:rFonts w:eastAsia="Calibri"/>
                <w:sz w:val="20"/>
              </w:rPr>
              <w:t>34447</w:t>
            </w:r>
          </w:p>
        </w:tc>
        <w:tc>
          <w:tcPr>
            <w:tcW w:w="2690" w:type="dxa"/>
            <w:shd w:val="clear" w:color="auto" w:fill="auto"/>
          </w:tcPr>
          <w:p w:rsidR="00965215" w:rsidRPr="00AB3B6C" w:rsidP="00965215" w14:paraId="5B97DF83" w14:textId="77777777">
            <w:pPr>
              <w:rPr>
                <w:rFonts w:eastAsia="Calibri"/>
                <w:sz w:val="20"/>
              </w:rPr>
            </w:pPr>
            <w:r w:rsidRPr="00AB3B6C">
              <w:rPr>
                <w:rFonts w:eastAsia="Calibri"/>
                <w:sz w:val="20"/>
              </w:rPr>
              <w:t>UTHSCT</w:t>
            </w:r>
            <w:r w:rsidRPr="00AB3B6C">
              <w:rPr>
                <w:rFonts w:eastAsia="Calibri"/>
                <w:sz w:val="20"/>
              </w:rPr>
              <w:t xml:space="preserve"> on behalf of </w:t>
            </w:r>
            <w:r w:rsidRPr="00AB3B6C">
              <w:rPr>
                <w:rFonts w:eastAsia="Calibri"/>
                <w:sz w:val="20"/>
              </w:rPr>
              <w:t>ETIHN</w:t>
            </w:r>
            <w:r w:rsidRPr="00AB3B6C">
              <w:rPr>
                <w:rFonts w:eastAsia="Calibri"/>
                <w:sz w:val="20"/>
              </w:rPr>
              <w:t>- Andrews Center</w:t>
            </w:r>
          </w:p>
        </w:tc>
        <w:tc>
          <w:tcPr>
            <w:tcW w:w="1011" w:type="dxa"/>
            <w:shd w:val="clear" w:color="auto" w:fill="auto"/>
          </w:tcPr>
          <w:p w:rsidR="00965215" w:rsidRPr="00AB3B6C" w:rsidP="00965215" w14:paraId="6C667D61" w14:textId="77777777">
            <w:pPr>
              <w:rPr>
                <w:rFonts w:eastAsia="Calibri"/>
                <w:sz w:val="20"/>
              </w:rPr>
            </w:pPr>
            <w:r w:rsidRPr="00AB3B6C">
              <w:rPr>
                <w:rFonts w:eastAsia="Calibri"/>
                <w:sz w:val="20"/>
              </w:rPr>
              <w:t>2015</w:t>
            </w:r>
          </w:p>
        </w:tc>
        <w:tc>
          <w:tcPr>
            <w:tcW w:w="1695" w:type="dxa"/>
          </w:tcPr>
          <w:p w:rsidR="00965215" w:rsidRPr="00AB3B6C" w:rsidP="00965215" w14:paraId="32E4D572" w14:textId="77777777">
            <w:pPr>
              <w:rPr>
                <w:rFonts w:eastAsia="Calibri"/>
                <w:sz w:val="20"/>
              </w:rPr>
            </w:pPr>
            <w:r w:rsidRPr="00AB3B6C">
              <w:rPr>
                <w:rFonts w:eastAsia="Calibri"/>
                <w:sz w:val="20"/>
              </w:rPr>
              <w:t>43155889</w:t>
            </w:r>
          </w:p>
        </w:tc>
        <w:tc>
          <w:tcPr>
            <w:tcW w:w="1882" w:type="dxa"/>
            <w:shd w:val="clear" w:color="auto" w:fill="auto"/>
          </w:tcPr>
          <w:p w:rsidR="00965215" w:rsidRPr="00AB3B6C" w:rsidP="00965215" w14:paraId="0FDD3CC6" w14:textId="77777777">
            <w:pPr>
              <w:rPr>
                <w:rFonts w:eastAsia="Calibri"/>
                <w:sz w:val="20"/>
              </w:rPr>
            </w:pPr>
            <w:r w:rsidRPr="00AB3B6C">
              <w:rPr>
                <w:rFonts w:eastAsia="Calibri"/>
                <w:sz w:val="20"/>
              </w:rPr>
              <w:t>1584974</w:t>
            </w:r>
          </w:p>
        </w:tc>
      </w:tr>
      <w:tr w14:paraId="407031BB" w14:textId="77777777" w:rsidTr="00AB3B6C">
        <w:tblPrEx>
          <w:tblW w:w="0" w:type="auto"/>
          <w:tblLook w:val="04A0"/>
        </w:tblPrEx>
        <w:trPr>
          <w:cantSplit/>
        </w:trPr>
        <w:tc>
          <w:tcPr>
            <w:tcW w:w="2075" w:type="dxa"/>
            <w:shd w:val="clear" w:color="auto" w:fill="auto"/>
          </w:tcPr>
          <w:p w:rsidR="00965215" w:rsidRPr="00AB3B6C" w:rsidP="00965215" w14:paraId="54D40156"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64442026"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24923ED4" w14:textId="77777777">
            <w:pPr>
              <w:rPr>
                <w:rFonts w:eastAsia="Calibri"/>
                <w:sz w:val="20"/>
              </w:rPr>
            </w:pPr>
            <w:r w:rsidRPr="00AB3B6C">
              <w:rPr>
                <w:rFonts w:eastAsia="Calibri"/>
                <w:sz w:val="20"/>
              </w:rPr>
              <w:t>2015</w:t>
            </w:r>
          </w:p>
        </w:tc>
        <w:tc>
          <w:tcPr>
            <w:tcW w:w="1695" w:type="dxa"/>
          </w:tcPr>
          <w:p w:rsidR="00965215" w:rsidRPr="00AB3B6C" w:rsidP="00965215" w14:paraId="19810982"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06568670" w14:textId="77777777">
            <w:pPr>
              <w:rPr>
                <w:rFonts w:eastAsia="Calibri"/>
                <w:sz w:val="20"/>
              </w:rPr>
            </w:pPr>
            <w:r w:rsidRPr="00AB3B6C">
              <w:rPr>
                <w:rFonts w:eastAsia="Calibri"/>
                <w:sz w:val="20"/>
              </w:rPr>
              <w:t>1580117</w:t>
            </w:r>
          </w:p>
        </w:tc>
      </w:tr>
      <w:tr w14:paraId="080B15F3" w14:textId="77777777" w:rsidTr="00AB3B6C">
        <w:tblPrEx>
          <w:tblW w:w="0" w:type="auto"/>
          <w:tblLook w:val="04A0"/>
        </w:tblPrEx>
        <w:trPr>
          <w:cantSplit/>
        </w:trPr>
        <w:tc>
          <w:tcPr>
            <w:tcW w:w="2075" w:type="dxa"/>
            <w:shd w:val="clear" w:color="auto" w:fill="auto"/>
          </w:tcPr>
          <w:p w:rsidR="00965215" w:rsidRPr="00AB3B6C" w:rsidP="00965215" w14:paraId="2B30B1DF"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062470D0"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3F0882E6" w14:textId="77777777">
            <w:pPr>
              <w:rPr>
                <w:rFonts w:eastAsia="Calibri"/>
                <w:sz w:val="20"/>
              </w:rPr>
            </w:pPr>
            <w:r w:rsidRPr="00AB3B6C">
              <w:rPr>
                <w:rFonts w:eastAsia="Calibri"/>
                <w:sz w:val="20"/>
              </w:rPr>
              <w:t>2015</w:t>
            </w:r>
          </w:p>
        </w:tc>
        <w:tc>
          <w:tcPr>
            <w:tcW w:w="1695" w:type="dxa"/>
          </w:tcPr>
          <w:p w:rsidR="00965215" w:rsidRPr="00AB3B6C" w:rsidP="00965215" w14:paraId="44929941"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470E3B70" w14:textId="77777777">
            <w:pPr>
              <w:rPr>
                <w:rFonts w:eastAsia="Calibri"/>
                <w:sz w:val="20"/>
              </w:rPr>
            </w:pPr>
            <w:r w:rsidRPr="00AB3B6C">
              <w:rPr>
                <w:rFonts w:eastAsia="Calibri"/>
                <w:sz w:val="20"/>
              </w:rPr>
              <w:t>1580118</w:t>
            </w:r>
          </w:p>
        </w:tc>
      </w:tr>
      <w:tr w14:paraId="6E57216E" w14:textId="77777777" w:rsidTr="00AB3B6C">
        <w:tblPrEx>
          <w:tblW w:w="0" w:type="auto"/>
          <w:tblLook w:val="04A0"/>
        </w:tblPrEx>
        <w:trPr>
          <w:cantSplit/>
        </w:trPr>
        <w:tc>
          <w:tcPr>
            <w:tcW w:w="2075" w:type="dxa"/>
            <w:shd w:val="clear" w:color="auto" w:fill="auto"/>
          </w:tcPr>
          <w:p w:rsidR="00965215" w:rsidRPr="00AB3B6C" w:rsidP="00965215" w14:paraId="2C55D216"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7369626B"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2CF18734" w14:textId="77777777">
            <w:pPr>
              <w:rPr>
                <w:rFonts w:eastAsia="Calibri"/>
                <w:sz w:val="20"/>
              </w:rPr>
            </w:pPr>
            <w:r w:rsidRPr="00AB3B6C">
              <w:rPr>
                <w:rFonts w:eastAsia="Calibri"/>
                <w:sz w:val="20"/>
              </w:rPr>
              <w:t>2015</w:t>
            </w:r>
          </w:p>
        </w:tc>
        <w:tc>
          <w:tcPr>
            <w:tcW w:w="1695" w:type="dxa"/>
          </w:tcPr>
          <w:p w:rsidR="00965215" w:rsidRPr="00AB3B6C" w:rsidP="00965215" w14:paraId="48DC91C2"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50D09E56" w14:textId="77777777">
            <w:pPr>
              <w:rPr>
                <w:rFonts w:eastAsia="Calibri"/>
                <w:sz w:val="20"/>
              </w:rPr>
            </w:pPr>
            <w:r w:rsidRPr="00AB3B6C">
              <w:rPr>
                <w:rFonts w:eastAsia="Calibri"/>
                <w:sz w:val="20"/>
              </w:rPr>
              <w:t>1580121</w:t>
            </w:r>
          </w:p>
        </w:tc>
      </w:tr>
      <w:tr w14:paraId="20F701E7" w14:textId="77777777" w:rsidTr="00AB3B6C">
        <w:tblPrEx>
          <w:tblW w:w="0" w:type="auto"/>
          <w:tblLook w:val="04A0"/>
        </w:tblPrEx>
        <w:trPr>
          <w:cantSplit/>
        </w:trPr>
        <w:tc>
          <w:tcPr>
            <w:tcW w:w="2075" w:type="dxa"/>
            <w:shd w:val="clear" w:color="auto" w:fill="auto"/>
          </w:tcPr>
          <w:p w:rsidR="00965215" w:rsidRPr="00AB3B6C" w:rsidP="00965215" w14:paraId="1FAA7126"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68C37FC4"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2F096E8D" w14:textId="77777777">
            <w:pPr>
              <w:rPr>
                <w:rFonts w:eastAsia="Calibri"/>
                <w:sz w:val="20"/>
              </w:rPr>
            </w:pPr>
            <w:r w:rsidRPr="00AB3B6C">
              <w:rPr>
                <w:rFonts w:eastAsia="Calibri"/>
                <w:sz w:val="20"/>
              </w:rPr>
              <w:t>2015</w:t>
            </w:r>
          </w:p>
        </w:tc>
        <w:tc>
          <w:tcPr>
            <w:tcW w:w="1695" w:type="dxa"/>
          </w:tcPr>
          <w:p w:rsidR="00965215" w:rsidRPr="00AB3B6C" w:rsidP="00965215" w14:paraId="17E2E3BA"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76471B80" w14:textId="77777777">
            <w:pPr>
              <w:rPr>
                <w:rFonts w:eastAsia="Calibri"/>
                <w:sz w:val="20"/>
              </w:rPr>
            </w:pPr>
            <w:r w:rsidRPr="00AB3B6C">
              <w:rPr>
                <w:rFonts w:eastAsia="Calibri"/>
                <w:sz w:val="20"/>
              </w:rPr>
              <w:t>1580122</w:t>
            </w:r>
          </w:p>
        </w:tc>
      </w:tr>
      <w:tr w14:paraId="73CEC444" w14:textId="77777777" w:rsidTr="00AB3B6C">
        <w:tblPrEx>
          <w:tblW w:w="0" w:type="auto"/>
          <w:tblLook w:val="04A0"/>
        </w:tblPrEx>
        <w:trPr>
          <w:cantSplit/>
        </w:trPr>
        <w:tc>
          <w:tcPr>
            <w:tcW w:w="2075" w:type="dxa"/>
            <w:shd w:val="clear" w:color="auto" w:fill="auto"/>
          </w:tcPr>
          <w:p w:rsidR="00965215" w:rsidRPr="00AB3B6C" w:rsidP="00965215" w14:paraId="3F10ACE5"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7DC5ACF2"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2388C55D" w14:textId="77777777">
            <w:pPr>
              <w:rPr>
                <w:rFonts w:eastAsia="Calibri"/>
                <w:sz w:val="20"/>
              </w:rPr>
            </w:pPr>
            <w:r w:rsidRPr="00AB3B6C">
              <w:rPr>
                <w:rFonts w:eastAsia="Calibri"/>
                <w:sz w:val="20"/>
              </w:rPr>
              <w:t>2015</w:t>
            </w:r>
          </w:p>
        </w:tc>
        <w:tc>
          <w:tcPr>
            <w:tcW w:w="1695" w:type="dxa"/>
          </w:tcPr>
          <w:p w:rsidR="00965215" w:rsidRPr="00AB3B6C" w:rsidP="00965215" w14:paraId="51084797"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45AF5EA5" w14:textId="77777777">
            <w:pPr>
              <w:rPr>
                <w:rFonts w:eastAsia="Calibri"/>
                <w:sz w:val="20"/>
              </w:rPr>
            </w:pPr>
            <w:r w:rsidRPr="00AB3B6C">
              <w:rPr>
                <w:rFonts w:eastAsia="Calibri"/>
                <w:sz w:val="20"/>
              </w:rPr>
              <w:t>1580123</w:t>
            </w:r>
          </w:p>
        </w:tc>
      </w:tr>
      <w:tr w14:paraId="33787124" w14:textId="77777777" w:rsidTr="00AB3B6C">
        <w:tblPrEx>
          <w:tblW w:w="0" w:type="auto"/>
          <w:tblLook w:val="04A0"/>
        </w:tblPrEx>
        <w:trPr>
          <w:cantSplit/>
        </w:trPr>
        <w:tc>
          <w:tcPr>
            <w:tcW w:w="2075" w:type="dxa"/>
            <w:shd w:val="clear" w:color="auto" w:fill="auto"/>
          </w:tcPr>
          <w:p w:rsidR="00965215" w:rsidRPr="00AB3B6C" w:rsidP="00965215" w14:paraId="5E4C6D39"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3506FBC0"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67F4B8A2" w14:textId="77777777">
            <w:pPr>
              <w:rPr>
                <w:rFonts w:eastAsia="Calibri"/>
                <w:sz w:val="20"/>
              </w:rPr>
            </w:pPr>
            <w:r w:rsidRPr="00AB3B6C">
              <w:rPr>
                <w:rFonts w:eastAsia="Calibri"/>
                <w:sz w:val="20"/>
              </w:rPr>
              <w:t>2015</w:t>
            </w:r>
          </w:p>
        </w:tc>
        <w:tc>
          <w:tcPr>
            <w:tcW w:w="1695" w:type="dxa"/>
          </w:tcPr>
          <w:p w:rsidR="00965215" w:rsidRPr="00AB3B6C" w:rsidP="00965215" w14:paraId="325C0E6C"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10A20A79" w14:textId="77777777">
            <w:pPr>
              <w:rPr>
                <w:rFonts w:eastAsia="Calibri"/>
                <w:sz w:val="20"/>
              </w:rPr>
            </w:pPr>
            <w:r w:rsidRPr="00AB3B6C">
              <w:rPr>
                <w:rFonts w:eastAsia="Calibri"/>
                <w:sz w:val="20"/>
              </w:rPr>
              <w:t>1580124</w:t>
            </w:r>
          </w:p>
        </w:tc>
      </w:tr>
      <w:tr w14:paraId="317CD543" w14:textId="77777777" w:rsidTr="00AB3B6C">
        <w:tblPrEx>
          <w:tblW w:w="0" w:type="auto"/>
          <w:tblLook w:val="04A0"/>
        </w:tblPrEx>
        <w:trPr>
          <w:cantSplit/>
        </w:trPr>
        <w:tc>
          <w:tcPr>
            <w:tcW w:w="2075" w:type="dxa"/>
            <w:shd w:val="clear" w:color="auto" w:fill="auto"/>
          </w:tcPr>
          <w:p w:rsidR="00965215" w:rsidRPr="00AB3B6C" w:rsidP="00965215" w14:paraId="2E9939DC"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474D8736"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0448F7BD" w14:textId="77777777">
            <w:pPr>
              <w:rPr>
                <w:rFonts w:eastAsia="Calibri"/>
                <w:sz w:val="20"/>
              </w:rPr>
            </w:pPr>
            <w:r w:rsidRPr="00AB3B6C">
              <w:rPr>
                <w:rFonts w:eastAsia="Calibri"/>
                <w:sz w:val="20"/>
              </w:rPr>
              <w:t>2015</w:t>
            </w:r>
          </w:p>
        </w:tc>
        <w:tc>
          <w:tcPr>
            <w:tcW w:w="1695" w:type="dxa"/>
          </w:tcPr>
          <w:p w:rsidR="00965215" w:rsidRPr="00AB3B6C" w:rsidP="00965215" w14:paraId="7E54CE52"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167C16A1" w14:textId="77777777">
            <w:pPr>
              <w:rPr>
                <w:rFonts w:eastAsia="Calibri"/>
                <w:sz w:val="20"/>
              </w:rPr>
            </w:pPr>
            <w:r w:rsidRPr="00AB3B6C">
              <w:rPr>
                <w:rFonts w:eastAsia="Calibri"/>
                <w:sz w:val="20"/>
              </w:rPr>
              <w:t>1580125</w:t>
            </w:r>
          </w:p>
        </w:tc>
      </w:tr>
      <w:tr w14:paraId="7C804029" w14:textId="77777777" w:rsidTr="00AB3B6C">
        <w:tblPrEx>
          <w:tblW w:w="0" w:type="auto"/>
          <w:tblLook w:val="04A0"/>
        </w:tblPrEx>
        <w:trPr>
          <w:cantSplit/>
        </w:trPr>
        <w:tc>
          <w:tcPr>
            <w:tcW w:w="2075" w:type="dxa"/>
            <w:shd w:val="clear" w:color="auto" w:fill="auto"/>
          </w:tcPr>
          <w:p w:rsidR="00965215" w:rsidRPr="00AB3B6C" w:rsidP="00965215" w14:paraId="1D0E3CB7"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463BF5FF"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0559165A" w14:textId="77777777">
            <w:pPr>
              <w:rPr>
                <w:rFonts w:eastAsia="Calibri"/>
                <w:sz w:val="20"/>
              </w:rPr>
            </w:pPr>
            <w:r w:rsidRPr="00AB3B6C">
              <w:rPr>
                <w:rFonts w:eastAsia="Calibri"/>
                <w:sz w:val="20"/>
              </w:rPr>
              <w:t>2015</w:t>
            </w:r>
          </w:p>
        </w:tc>
        <w:tc>
          <w:tcPr>
            <w:tcW w:w="1695" w:type="dxa"/>
          </w:tcPr>
          <w:p w:rsidR="00965215" w:rsidRPr="00AB3B6C" w:rsidP="00965215" w14:paraId="45BB1E96"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36913A8F" w14:textId="77777777">
            <w:pPr>
              <w:rPr>
                <w:rFonts w:eastAsia="Calibri"/>
                <w:sz w:val="20"/>
              </w:rPr>
            </w:pPr>
            <w:r w:rsidRPr="00AB3B6C">
              <w:rPr>
                <w:rFonts w:eastAsia="Calibri"/>
                <w:sz w:val="20"/>
              </w:rPr>
              <w:t>1580126</w:t>
            </w:r>
          </w:p>
        </w:tc>
      </w:tr>
      <w:tr w14:paraId="2A160BEE" w14:textId="77777777" w:rsidTr="00AB3B6C">
        <w:tblPrEx>
          <w:tblW w:w="0" w:type="auto"/>
          <w:tblLook w:val="04A0"/>
        </w:tblPrEx>
        <w:trPr>
          <w:cantSplit/>
        </w:trPr>
        <w:tc>
          <w:tcPr>
            <w:tcW w:w="2075" w:type="dxa"/>
            <w:shd w:val="clear" w:color="auto" w:fill="auto"/>
          </w:tcPr>
          <w:p w:rsidR="00965215" w:rsidRPr="00AB3B6C" w:rsidP="00965215" w14:paraId="5F2A5848"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7689B7DE"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1C5FA734" w14:textId="77777777">
            <w:pPr>
              <w:rPr>
                <w:rFonts w:eastAsia="Calibri"/>
                <w:sz w:val="20"/>
              </w:rPr>
            </w:pPr>
            <w:r w:rsidRPr="00AB3B6C">
              <w:rPr>
                <w:rFonts w:eastAsia="Calibri"/>
                <w:sz w:val="20"/>
              </w:rPr>
              <w:t>2015</w:t>
            </w:r>
          </w:p>
        </w:tc>
        <w:tc>
          <w:tcPr>
            <w:tcW w:w="1695" w:type="dxa"/>
          </w:tcPr>
          <w:p w:rsidR="00965215" w:rsidRPr="00AB3B6C" w:rsidP="00965215" w14:paraId="1C9E2A91"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7AD3CABF" w14:textId="77777777">
            <w:pPr>
              <w:rPr>
                <w:rFonts w:eastAsia="Calibri"/>
                <w:sz w:val="20"/>
              </w:rPr>
            </w:pPr>
            <w:r w:rsidRPr="00AB3B6C">
              <w:rPr>
                <w:rFonts w:eastAsia="Calibri"/>
                <w:sz w:val="20"/>
              </w:rPr>
              <w:t>1580127</w:t>
            </w:r>
          </w:p>
        </w:tc>
      </w:tr>
      <w:tr w14:paraId="725277F4" w14:textId="77777777" w:rsidTr="00AB3B6C">
        <w:tblPrEx>
          <w:tblW w:w="0" w:type="auto"/>
          <w:tblLook w:val="04A0"/>
        </w:tblPrEx>
        <w:trPr>
          <w:cantSplit/>
        </w:trPr>
        <w:tc>
          <w:tcPr>
            <w:tcW w:w="2075" w:type="dxa"/>
            <w:shd w:val="clear" w:color="auto" w:fill="auto"/>
          </w:tcPr>
          <w:p w:rsidR="00965215" w:rsidRPr="00AB3B6C" w:rsidP="00965215" w14:paraId="2AD47DC2"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34E93C37"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72B7E16B" w14:textId="77777777">
            <w:pPr>
              <w:rPr>
                <w:rFonts w:eastAsia="Calibri"/>
                <w:sz w:val="20"/>
              </w:rPr>
            </w:pPr>
            <w:r w:rsidRPr="00AB3B6C">
              <w:rPr>
                <w:rFonts w:eastAsia="Calibri"/>
                <w:sz w:val="20"/>
              </w:rPr>
              <w:t>2015</w:t>
            </w:r>
          </w:p>
        </w:tc>
        <w:tc>
          <w:tcPr>
            <w:tcW w:w="1695" w:type="dxa"/>
          </w:tcPr>
          <w:p w:rsidR="00965215" w:rsidRPr="00AB3B6C" w:rsidP="00965215" w14:paraId="134FC51A"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76493A67" w14:textId="77777777">
            <w:pPr>
              <w:rPr>
                <w:rFonts w:eastAsia="Calibri"/>
                <w:sz w:val="20"/>
              </w:rPr>
            </w:pPr>
            <w:r w:rsidRPr="00AB3B6C">
              <w:rPr>
                <w:rFonts w:eastAsia="Calibri"/>
                <w:sz w:val="20"/>
              </w:rPr>
              <w:t>1580128</w:t>
            </w:r>
          </w:p>
        </w:tc>
      </w:tr>
      <w:tr w14:paraId="74CEA93F" w14:textId="77777777" w:rsidTr="00AB3B6C">
        <w:tblPrEx>
          <w:tblW w:w="0" w:type="auto"/>
          <w:tblLook w:val="04A0"/>
        </w:tblPrEx>
        <w:trPr>
          <w:cantSplit/>
        </w:trPr>
        <w:tc>
          <w:tcPr>
            <w:tcW w:w="2075" w:type="dxa"/>
            <w:shd w:val="clear" w:color="auto" w:fill="auto"/>
          </w:tcPr>
          <w:p w:rsidR="00965215" w:rsidRPr="00AB3B6C" w:rsidP="00965215" w14:paraId="62DE8095"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0CF7BFA8"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1780363F" w14:textId="77777777">
            <w:pPr>
              <w:rPr>
                <w:rFonts w:eastAsia="Calibri"/>
                <w:sz w:val="20"/>
              </w:rPr>
            </w:pPr>
            <w:r w:rsidRPr="00AB3B6C">
              <w:rPr>
                <w:rFonts w:eastAsia="Calibri"/>
                <w:sz w:val="20"/>
              </w:rPr>
              <w:t>2015</w:t>
            </w:r>
          </w:p>
        </w:tc>
        <w:tc>
          <w:tcPr>
            <w:tcW w:w="1695" w:type="dxa"/>
          </w:tcPr>
          <w:p w:rsidR="00965215" w:rsidRPr="00AB3B6C" w:rsidP="00965215" w14:paraId="2CADDACA"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24AF514C" w14:textId="77777777">
            <w:pPr>
              <w:rPr>
                <w:rFonts w:eastAsia="Calibri"/>
                <w:sz w:val="20"/>
              </w:rPr>
            </w:pPr>
            <w:r w:rsidRPr="00AB3B6C">
              <w:rPr>
                <w:rFonts w:eastAsia="Calibri"/>
                <w:sz w:val="20"/>
              </w:rPr>
              <w:t>1580129</w:t>
            </w:r>
          </w:p>
        </w:tc>
      </w:tr>
      <w:tr w14:paraId="0C33C9BF" w14:textId="77777777" w:rsidTr="00AB3B6C">
        <w:tblPrEx>
          <w:tblW w:w="0" w:type="auto"/>
          <w:tblLook w:val="04A0"/>
        </w:tblPrEx>
        <w:trPr>
          <w:cantSplit/>
        </w:trPr>
        <w:tc>
          <w:tcPr>
            <w:tcW w:w="2075" w:type="dxa"/>
            <w:shd w:val="clear" w:color="auto" w:fill="auto"/>
          </w:tcPr>
          <w:p w:rsidR="00965215" w:rsidRPr="00AB3B6C" w:rsidP="00965215" w14:paraId="373FD185"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2655AA11"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3F6A2458" w14:textId="77777777">
            <w:pPr>
              <w:rPr>
                <w:rFonts w:eastAsia="Calibri"/>
                <w:sz w:val="20"/>
              </w:rPr>
            </w:pPr>
            <w:r w:rsidRPr="00AB3B6C">
              <w:rPr>
                <w:rFonts w:eastAsia="Calibri"/>
                <w:sz w:val="20"/>
              </w:rPr>
              <w:t>2015</w:t>
            </w:r>
          </w:p>
        </w:tc>
        <w:tc>
          <w:tcPr>
            <w:tcW w:w="1695" w:type="dxa"/>
          </w:tcPr>
          <w:p w:rsidR="00965215" w:rsidRPr="00AB3B6C" w:rsidP="00965215" w14:paraId="66011976"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533AA75F" w14:textId="77777777">
            <w:pPr>
              <w:rPr>
                <w:rFonts w:eastAsia="Calibri"/>
                <w:sz w:val="20"/>
              </w:rPr>
            </w:pPr>
            <w:r w:rsidRPr="00AB3B6C">
              <w:rPr>
                <w:rFonts w:eastAsia="Calibri"/>
                <w:sz w:val="20"/>
              </w:rPr>
              <w:t>1580130</w:t>
            </w:r>
          </w:p>
        </w:tc>
      </w:tr>
      <w:tr w14:paraId="6ED01B55" w14:textId="77777777" w:rsidTr="00AB3B6C">
        <w:tblPrEx>
          <w:tblW w:w="0" w:type="auto"/>
          <w:tblLook w:val="04A0"/>
        </w:tblPrEx>
        <w:trPr>
          <w:cantSplit/>
        </w:trPr>
        <w:tc>
          <w:tcPr>
            <w:tcW w:w="2075" w:type="dxa"/>
            <w:shd w:val="clear" w:color="auto" w:fill="auto"/>
          </w:tcPr>
          <w:p w:rsidR="00965215" w:rsidRPr="00AB3B6C" w:rsidP="00965215" w14:paraId="39CF5CE2"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632B224A"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08CF6912" w14:textId="77777777">
            <w:pPr>
              <w:rPr>
                <w:rFonts w:eastAsia="Calibri"/>
                <w:sz w:val="20"/>
              </w:rPr>
            </w:pPr>
            <w:r w:rsidRPr="00AB3B6C">
              <w:rPr>
                <w:rFonts w:eastAsia="Calibri"/>
                <w:sz w:val="20"/>
              </w:rPr>
              <w:t>2015</w:t>
            </w:r>
          </w:p>
        </w:tc>
        <w:tc>
          <w:tcPr>
            <w:tcW w:w="1695" w:type="dxa"/>
          </w:tcPr>
          <w:p w:rsidR="00965215" w:rsidRPr="00AB3B6C" w:rsidP="00965215" w14:paraId="17FE9881"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1D2D52D9" w14:textId="77777777">
            <w:pPr>
              <w:rPr>
                <w:rFonts w:eastAsia="Calibri"/>
                <w:sz w:val="20"/>
              </w:rPr>
            </w:pPr>
            <w:r w:rsidRPr="00AB3B6C">
              <w:rPr>
                <w:rFonts w:eastAsia="Calibri"/>
                <w:sz w:val="20"/>
              </w:rPr>
              <w:t>1580131</w:t>
            </w:r>
          </w:p>
        </w:tc>
      </w:tr>
      <w:tr w14:paraId="3C21258D" w14:textId="77777777" w:rsidTr="00AB3B6C">
        <w:tblPrEx>
          <w:tblW w:w="0" w:type="auto"/>
          <w:tblLook w:val="04A0"/>
        </w:tblPrEx>
        <w:trPr>
          <w:cantSplit/>
        </w:trPr>
        <w:tc>
          <w:tcPr>
            <w:tcW w:w="2075" w:type="dxa"/>
            <w:shd w:val="clear" w:color="auto" w:fill="auto"/>
          </w:tcPr>
          <w:p w:rsidR="00965215" w:rsidRPr="00AB3B6C" w:rsidP="00965215" w14:paraId="40B5772D"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0CA9D763"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6AB8A2DD" w14:textId="77777777">
            <w:pPr>
              <w:rPr>
                <w:rFonts w:eastAsia="Calibri"/>
                <w:sz w:val="20"/>
              </w:rPr>
            </w:pPr>
            <w:r w:rsidRPr="00AB3B6C">
              <w:rPr>
                <w:rFonts w:eastAsia="Calibri"/>
                <w:sz w:val="20"/>
              </w:rPr>
              <w:t>2015</w:t>
            </w:r>
          </w:p>
        </w:tc>
        <w:tc>
          <w:tcPr>
            <w:tcW w:w="1695" w:type="dxa"/>
          </w:tcPr>
          <w:p w:rsidR="00965215" w:rsidRPr="00AB3B6C" w:rsidP="00965215" w14:paraId="484CF770"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4BBD66E4" w14:textId="77777777">
            <w:pPr>
              <w:rPr>
                <w:rFonts w:eastAsia="Calibri"/>
                <w:sz w:val="20"/>
              </w:rPr>
            </w:pPr>
            <w:r w:rsidRPr="00AB3B6C">
              <w:rPr>
                <w:rFonts w:eastAsia="Calibri"/>
                <w:sz w:val="20"/>
              </w:rPr>
              <w:t>1580132</w:t>
            </w:r>
          </w:p>
        </w:tc>
      </w:tr>
      <w:tr w14:paraId="097FD1BE" w14:textId="77777777" w:rsidTr="00AB3B6C">
        <w:tblPrEx>
          <w:tblW w:w="0" w:type="auto"/>
          <w:tblLook w:val="04A0"/>
        </w:tblPrEx>
        <w:trPr>
          <w:cantSplit/>
        </w:trPr>
        <w:tc>
          <w:tcPr>
            <w:tcW w:w="2075" w:type="dxa"/>
            <w:shd w:val="clear" w:color="auto" w:fill="auto"/>
          </w:tcPr>
          <w:p w:rsidR="00965215" w:rsidRPr="00AB3B6C" w:rsidP="00965215" w14:paraId="5EAA5B34"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4879B095"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7F782409" w14:textId="77777777">
            <w:pPr>
              <w:rPr>
                <w:rFonts w:eastAsia="Calibri"/>
                <w:sz w:val="20"/>
              </w:rPr>
            </w:pPr>
            <w:r w:rsidRPr="00AB3B6C">
              <w:rPr>
                <w:rFonts w:eastAsia="Calibri"/>
                <w:sz w:val="20"/>
              </w:rPr>
              <w:t>2015</w:t>
            </w:r>
          </w:p>
        </w:tc>
        <w:tc>
          <w:tcPr>
            <w:tcW w:w="1695" w:type="dxa"/>
          </w:tcPr>
          <w:p w:rsidR="00965215" w:rsidRPr="00AB3B6C" w:rsidP="00965215" w14:paraId="3F0B5A4A" w14:textId="77777777">
            <w:pPr>
              <w:rPr>
                <w:rFonts w:eastAsia="Calibri"/>
                <w:sz w:val="20"/>
              </w:rPr>
            </w:pPr>
            <w:r w:rsidRPr="00AB3B6C">
              <w:rPr>
                <w:rFonts w:eastAsia="Calibri"/>
                <w:sz w:val="20"/>
              </w:rPr>
              <w:t>43155674</w:t>
            </w:r>
          </w:p>
        </w:tc>
        <w:tc>
          <w:tcPr>
            <w:tcW w:w="1882" w:type="dxa"/>
            <w:shd w:val="clear" w:color="auto" w:fill="auto"/>
          </w:tcPr>
          <w:p w:rsidR="00965215" w:rsidRPr="00AB3B6C" w:rsidP="00965215" w14:paraId="3193ADD0" w14:textId="77777777">
            <w:pPr>
              <w:rPr>
                <w:rFonts w:eastAsia="Calibri"/>
                <w:sz w:val="20"/>
              </w:rPr>
            </w:pPr>
            <w:r w:rsidRPr="00AB3B6C">
              <w:rPr>
                <w:rFonts w:eastAsia="Calibri"/>
                <w:sz w:val="20"/>
              </w:rPr>
              <w:t>1584689</w:t>
            </w:r>
          </w:p>
        </w:tc>
      </w:tr>
      <w:tr w14:paraId="5CD39633" w14:textId="77777777" w:rsidTr="00AB3B6C">
        <w:tblPrEx>
          <w:tblW w:w="0" w:type="auto"/>
          <w:tblLook w:val="04A0"/>
        </w:tblPrEx>
        <w:trPr>
          <w:cantSplit/>
        </w:trPr>
        <w:tc>
          <w:tcPr>
            <w:tcW w:w="2075" w:type="dxa"/>
            <w:shd w:val="clear" w:color="auto" w:fill="auto"/>
          </w:tcPr>
          <w:p w:rsidR="00965215" w:rsidRPr="00AB3B6C" w:rsidP="00965215" w14:paraId="079E1CF3"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57C94F39"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60F11958" w14:textId="77777777">
            <w:pPr>
              <w:rPr>
                <w:rFonts w:eastAsia="Calibri"/>
                <w:sz w:val="20"/>
              </w:rPr>
            </w:pPr>
            <w:r w:rsidRPr="00AB3B6C">
              <w:rPr>
                <w:rFonts w:eastAsia="Calibri"/>
                <w:sz w:val="20"/>
              </w:rPr>
              <w:t>2016</w:t>
            </w:r>
          </w:p>
        </w:tc>
        <w:tc>
          <w:tcPr>
            <w:tcW w:w="1695" w:type="dxa"/>
          </w:tcPr>
          <w:p w:rsidR="00965215" w:rsidRPr="00AB3B6C" w:rsidP="00965215" w14:paraId="1C66246E"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1590532D" w14:textId="77777777">
            <w:pPr>
              <w:rPr>
                <w:rFonts w:eastAsia="Calibri"/>
                <w:sz w:val="20"/>
              </w:rPr>
            </w:pPr>
            <w:r w:rsidRPr="00AB3B6C">
              <w:rPr>
                <w:rFonts w:eastAsia="Calibri"/>
                <w:sz w:val="20"/>
              </w:rPr>
              <w:t>1697877</w:t>
            </w:r>
          </w:p>
        </w:tc>
      </w:tr>
      <w:tr w14:paraId="6028EBA8" w14:textId="77777777" w:rsidTr="00AB3B6C">
        <w:tblPrEx>
          <w:tblW w:w="0" w:type="auto"/>
          <w:tblLook w:val="04A0"/>
        </w:tblPrEx>
        <w:trPr>
          <w:cantSplit/>
        </w:trPr>
        <w:tc>
          <w:tcPr>
            <w:tcW w:w="2075" w:type="dxa"/>
            <w:shd w:val="clear" w:color="auto" w:fill="auto"/>
          </w:tcPr>
          <w:p w:rsidR="00965215" w:rsidRPr="00AB3B6C" w:rsidP="00965215" w14:paraId="3C360CDA"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0097D75F"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5C2E189F" w14:textId="77777777">
            <w:pPr>
              <w:rPr>
                <w:rFonts w:eastAsia="Calibri"/>
                <w:sz w:val="20"/>
              </w:rPr>
            </w:pPr>
            <w:r w:rsidRPr="00AB3B6C">
              <w:rPr>
                <w:rFonts w:eastAsia="Calibri"/>
                <w:sz w:val="20"/>
              </w:rPr>
              <w:t>2016</w:t>
            </w:r>
          </w:p>
        </w:tc>
        <w:tc>
          <w:tcPr>
            <w:tcW w:w="1695" w:type="dxa"/>
          </w:tcPr>
          <w:p w:rsidR="00965215" w:rsidRPr="00AB3B6C" w:rsidP="00965215" w14:paraId="6F73860B"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3DEA4A15" w14:textId="77777777">
            <w:pPr>
              <w:rPr>
                <w:rFonts w:eastAsia="Calibri"/>
                <w:sz w:val="20"/>
              </w:rPr>
            </w:pPr>
            <w:r w:rsidRPr="00AB3B6C">
              <w:rPr>
                <w:rFonts w:eastAsia="Calibri"/>
                <w:sz w:val="20"/>
              </w:rPr>
              <w:t>1697940</w:t>
            </w:r>
          </w:p>
        </w:tc>
      </w:tr>
      <w:tr w14:paraId="6D60A1F8" w14:textId="77777777" w:rsidTr="00AB3B6C">
        <w:tblPrEx>
          <w:tblW w:w="0" w:type="auto"/>
          <w:tblLook w:val="04A0"/>
        </w:tblPrEx>
        <w:trPr>
          <w:cantSplit/>
        </w:trPr>
        <w:tc>
          <w:tcPr>
            <w:tcW w:w="2075" w:type="dxa"/>
            <w:shd w:val="clear" w:color="auto" w:fill="auto"/>
          </w:tcPr>
          <w:p w:rsidR="00965215" w:rsidRPr="00AB3B6C" w:rsidP="00965215" w14:paraId="1CE578AE"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2A536D39"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5D91FE85" w14:textId="77777777">
            <w:pPr>
              <w:rPr>
                <w:rFonts w:eastAsia="Calibri"/>
                <w:sz w:val="20"/>
              </w:rPr>
            </w:pPr>
            <w:r w:rsidRPr="00AB3B6C">
              <w:rPr>
                <w:rFonts w:eastAsia="Calibri"/>
                <w:sz w:val="20"/>
              </w:rPr>
              <w:t>2016</w:t>
            </w:r>
          </w:p>
        </w:tc>
        <w:tc>
          <w:tcPr>
            <w:tcW w:w="1695" w:type="dxa"/>
          </w:tcPr>
          <w:p w:rsidR="00965215" w:rsidRPr="00AB3B6C" w:rsidP="00965215" w14:paraId="44DE13DA"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16AC5C61" w14:textId="77777777">
            <w:pPr>
              <w:rPr>
                <w:rFonts w:eastAsia="Calibri"/>
                <w:sz w:val="20"/>
              </w:rPr>
            </w:pPr>
            <w:r w:rsidRPr="00AB3B6C">
              <w:rPr>
                <w:rFonts w:eastAsia="Calibri"/>
                <w:sz w:val="20"/>
              </w:rPr>
              <w:t>1697941</w:t>
            </w:r>
          </w:p>
        </w:tc>
      </w:tr>
      <w:tr w14:paraId="19228417" w14:textId="77777777" w:rsidTr="00AB3B6C">
        <w:tblPrEx>
          <w:tblW w:w="0" w:type="auto"/>
          <w:tblLook w:val="04A0"/>
        </w:tblPrEx>
        <w:trPr>
          <w:cantSplit/>
        </w:trPr>
        <w:tc>
          <w:tcPr>
            <w:tcW w:w="2075" w:type="dxa"/>
            <w:shd w:val="clear" w:color="auto" w:fill="auto"/>
          </w:tcPr>
          <w:p w:rsidR="00965215" w:rsidRPr="00AB3B6C" w:rsidP="00965215" w14:paraId="2F3291CB"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420FE566"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76E04CEC" w14:textId="77777777">
            <w:pPr>
              <w:rPr>
                <w:rFonts w:eastAsia="Calibri"/>
                <w:sz w:val="20"/>
              </w:rPr>
            </w:pPr>
            <w:r w:rsidRPr="00AB3B6C">
              <w:rPr>
                <w:rFonts w:eastAsia="Calibri"/>
                <w:sz w:val="20"/>
              </w:rPr>
              <w:t>2016</w:t>
            </w:r>
          </w:p>
        </w:tc>
        <w:tc>
          <w:tcPr>
            <w:tcW w:w="1695" w:type="dxa"/>
          </w:tcPr>
          <w:p w:rsidR="00965215" w:rsidRPr="00AB3B6C" w:rsidP="00965215" w14:paraId="15F3F5E5"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4B2D04EB" w14:textId="77777777">
            <w:pPr>
              <w:rPr>
                <w:rFonts w:eastAsia="Calibri"/>
                <w:sz w:val="20"/>
              </w:rPr>
            </w:pPr>
            <w:r w:rsidRPr="00AB3B6C">
              <w:rPr>
                <w:rFonts w:eastAsia="Calibri"/>
                <w:sz w:val="20"/>
              </w:rPr>
              <w:t>1697946</w:t>
            </w:r>
          </w:p>
        </w:tc>
      </w:tr>
      <w:tr w14:paraId="3344A847" w14:textId="77777777" w:rsidTr="00AB3B6C">
        <w:tblPrEx>
          <w:tblW w:w="0" w:type="auto"/>
          <w:tblLook w:val="04A0"/>
        </w:tblPrEx>
        <w:trPr>
          <w:cantSplit/>
        </w:trPr>
        <w:tc>
          <w:tcPr>
            <w:tcW w:w="2075" w:type="dxa"/>
            <w:shd w:val="clear" w:color="auto" w:fill="auto"/>
          </w:tcPr>
          <w:p w:rsidR="00965215" w:rsidRPr="00AB3B6C" w:rsidP="00965215" w14:paraId="5C321C3A"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0971CDEA"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6DF5529C" w14:textId="77777777">
            <w:pPr>
              <w:rPr>
                <w:rFonts w:eastAsia="Calibri"/>
                <w:sz w:val="20"/>
              </w:rPr>
            </w:pPr>
            <w:r w:rsidRPr="00AB3B6C">
              <w:rPr>
                <w:rFonts w:eastAsia="Calibri"/>
                <w:sz w:val="20"/>
              </w:rPr>
              <w:t>2016</w:t>
            </w:r>
          </w:p>
        </w:tc>
        <w:tc>
          <w:tcPr>
            <w:tcW w:w="1695" w:type="dxa"/>
          </w:tcPr>
          <w:p w:rsidR="00965215" w:rsidRPr="00AB3B6C" w:rsidP="00965215" w14:paraId="776F2B3F"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7EDB0466" w14:textId="77777777">
            <w:pPr>
              <w:rPr>
                <w:rFonts w:eastAsia="Calibri"/>
                <w:sz w:val="20"/>
              </w:rPr>
            </w:pPr>
            <w:r w:rsidRPr="00AB3B6C">
              <w:rPr>
                <w:rFonts w:eastAsia="Calibri"/>
                <w:sz w:val="20"/>
              </w:rPr>
              <w:t>1697947</w:t>
            </w:r>
          </w:p>
        </w:tc>
      </w:tr>
      <w:tr w14:paraId="22EB9B80" w14:textId="77777777" w:rsidTr="00AB3B6C">
        <w:tblPrEx>
          <w:tblW w:w="0" w:type="auto"/>
          <w:tblLook w:val="04A0"/>
        </w:tblPrEx>
        <w:trPr>
          <w:cantSplit/>
        </w:trPr>
        <w:tc>
          <w:tcPr>
            <w:tcW w:w="2075" w:type="dxa"/>
            <w:shd w:val="clear" w:color="auto" w:fill="auto"/>
          </w:tcPr>
          <w:p w:rsidR="00965215" w:rsidRPr="00AB3B6C" w:rsidP="00965215" w14:paraId="6BF882EF"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37C3EE2E"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72952F27" w14:textId="77777777">
            <w:pPr>
              <w:rPr>
                <w:rFonts w:eastAsia="Calibri"/>
                <w:sz w:val="20"/>
              </w:rPr>
            </w:pPr>
            <w:r w:rsidRPr="00AB3B6C">
              <w:rPr>
                <w:rFonts w:eastAsia="Calibri"/>
                <w:sz w:val="20"/>
              </w:rPr>
              <w:t>2016</w:t>
            </w:r>
          </w:p>
        </w:tc>
        <w:tc>
          <w:tcPr>
            <w:tcW w:w="1695" w:type="dxa"/>
          </w:tcPr>
          <w:p w:rsidR="00965215" w:rsidRPr="00AB3B6C" w:rsidP="00965215" w14:paraId="603EE034"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672C209A" w14:textId="77777777">
            <w:pPr>
              <w:rPr>
                <w:rFonts w:eastAsia="Calibri"/>
                <w:sz w:val="20"/>
              </w:rPr>
            </w:pPr>
            <w:r w:rsidRPr="00AB3B6C">
              <w:rPr>
                <w:rFonts w:eastAsia="Calibri"/>
                <w:sz w:val="20"/>
              </w:rPr>
              <w:t>1697948</w:t>
            </w:r>
          </w:p>
        </w:tc>
      </w:tr>
      <w:tr w14:paraId="49498D24" w14:textId="77777777" w:rsidTr="00AB3B6C">
        <w:tblPrEx>
          <w:tblW w:w="0" w:type="auto"/>
          <w:tblLook w:val="04A0"/>
        </w:tblPrEx>
        <w:trPr>
          <w:cantSplit/>
        </w:trPr>
        <w:tc>
          <w:tcPr>
            <w:tcW w:w="2075" w:type="dxa"/>
            <w:shd w:val="clear" w:color="auto" w:fill="auto"/>
          </w:tcPr>
          <w:p w:rsidR="00965215" w:rsidRPr="00AB3B6C" w:rsidP="00965215" w14:paraId="43B93206"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32C0F6AF"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2FC45DA2" w14:textId="77777777">
            <w:pPr>
              <w:rPr>
                <w:rFonts w:eastAsia="Calibri"/>
                <w:sz w:val="20"/>
              </w:rPr>
            </w:pPr>
            <w:r w:rsidRPr="00AB3B6C">
              <w:rPr>
                <w:rFonts w:eastAsia="Calibri"/>
                <w:sz w:val="20"/>
              </w:rPr>
              <w:t>2016</w:t>
            </w:r>
          </w:p>
        </w:tc>
        <w:tc>
          <w:tcPr>
            <w:tcW w:w="1695" w:type="dxa"/>
          </w:tcPr>
          <w:p w:rsidR="00965215" w:rsidRPr="00AB3B6C" w:rsidP="00965215" w14:paraId="1B48E353"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5645A7F7" w14:textId="77777777">
            <w:pPr>
              <w:rPr>
                <w:rFonts w:eastAsia="Calibri"/>
                <w:sz w:val="20"/>
              </w:rPr>
            </w:pPr>
            <w:r w:rsidRPr="00AB3B6C">
              <w:rPr>
                <w:rFonts w:eastAsia="Calibri"/>
                <w:sz w:val="20"/>
              </w:rPr>
              <w:t>1697949</w:t>
            </w:r>
          </w:p>
        </w:tc>
      </w:tr>
      <w:tr w14:paraId="32C3C7ED" w14:textId="77777777" w:rsidTr="00AB3B6C">
        <w:tblPrEx>
          <w:tblW w:w="0" w:type="auto"/>
          <w:tblLook w:val="04A0"/>
        </w:tblPrEx>
        <w:trPr>
          <w:cantSplit/>
        </w:trPr>
        <w:tc>
          <w:tcPr>
            <w:tcW w:w="2075" w:type="dxa"/>
            <w:shd w:val="clear" w:color="auto" w:fill="auto"/>
          </w:tcPr>
          <w:p w:rsidR="00965215" w:rsidRPr="00AB3B6C" w:rsidP="00965215" w14:paraId="25B872D3"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3019CCD7"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68D412D1" w14:textId="77777777">
            <w:pPr>
              <w:rPr>
                <w:rFonts w:eastAsia="Calibri"/>
                <w:sz w:val="20"/>
              </w:rPr>
            </w:pPr>
            <w:r w:rsidRPr="00AB3B6C">
              <w:rPr>
                <w:rFonts w:eastAsia="Calibri"/>
                <w:sz w:val="20"/>
              </w:rPr>
              <w:t>2016</w:t>
            </w:r>
          </w:p>
        </w:tc>
        <w:tc>
          <w:tcPr>
            <w:tcW w:w="1695" w:type="dxa"/>
          </w:tcPr>
          <w:p w:rsidR="00965215" w:rsidRPr="00AB3B6C" w:rsidP="00965215" w14:paraId="2AE2DD67"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5C548D76" w14:textId="77777777">
            <w:pPr>
              <w:rPr>
                <w:rFonts w:eastAsia="Calibri"/>
                <w:sz w:val="20"/>
              </w:rPr>
            </w:pPr>
            <w:r w:rsidRPr="00AB3B6C">
              <w:rPr>
                <w:rFonts w:eastAsia="Calibri"/>
                <w:sz w:val="20"/>
              </w:rPr>
              <w:t>1697953</w:t>
            </w:r>
          </w:p>
        </w:tc>
      </w:tr>
      <w:tr w14:paraId="751D0F7B" w14:textId="77777777" w:rsidTr="00AB3B6C">
        <w:tblPrEx>
          <w:tblW w:w="0" w:type="auto"/>
          <w:tblLook w:val="04A0"/>
        </w:tblPrEx>
        <w:trPr>
          <w:cantSplit/>
        </w:trPr>
        <w:tc>
          <w:tcPr>
            <w:tcW w:w="2075" w:type="dxa"/>
            <w:shd w:val="clear" w:color="auto" w:fill="auto"/>
          </w:tcPr>
          <w:p w:rsidR="00965215" w:rsidRPr="00AB3B6C" w:rsidP="00965215" w14:paraId="1BD9A3B2"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076999EA"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79426CF6" w14:textId="77777777">
            <w:pPr>
              <w:rPr>
                <w:rFonts w:eastAsia="Calibri"/>
                <w:sz w:val="20"/>
              </w:rPr>
            </w:pPr>
            <w:r w:rsidRPr="00AB3B6C">
              <w:rPr>
                <w:rFonts w:eastAsia="Calibri"/>
                <w:sz w:val="20"/>
              </w:rPr>
              <w:t>2016</w:t>
            </w:r>
          </w:p>
        </w:tc>
        <w:tc>
          <w:tcPr>
            <w:tcW w:w="1695" w:type="dxa"/>
          </w:tcPr>
          <w:p w:rsidR="00965215" w:rsidRPr="00AB3B6C" w:rsidP="00965215" w14:paraId="045B1A19"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3604E6F5" w14:textId="77777777">
            <w:pPr>
              <w:rPr>
                <w:rFonts w:eastAsia="Calibri"/>
                <w:sz w:val="20"/>
              </w:rPr>
            </w:pPr>
            <w:r w:rsidRPr="00AB3B6C">
              <w:rPr>
                <w:rFonts w:eastAsia="Calibri"/>
                <w:sz w:val="20"/>
              </w:rPr>
              <w:t>1697954</w:t>
            </w:r>
          </w:p>
        </w:tc>
      </w:tr>
      <w:tr w14:paraId="6541D33F" w14:textId="77777777" w:rsidTr="00AB3B6C">
        <w:tblPrEx>
          <w:tblW w:w="0" w:type="auto"/>
          <w:tblLook w:val="04A0"/>
        </w:tblPrEx>
        <w:trPr>
          <w:cantSplit/>
        </w:trPr>
        <w:tc>
          <w:tcPr>
            <w:tcW w:w="2075" w:type="dxa"/>
            <w:shd w:val="clear" w:color="auto" w:fill="auto"/>
          </w:tcPr>
          <w:p w:rsidR="00965215" w:rsidRPr="00AB3B6C" w:rsidP="00965215" w14:paraId="76E7D0A6"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363C70F5"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47C63C32" w14:textId="77777777">
            <w:pPr>
              <w:rPr>
                <w:rFonts w:eastAsia="Calibri"/>
                <w:sz w:val="20"/>
              </w:rPr>
            </w:pPr>
            <w:r w:rsidRPr="00AB3B6C">
              <w:rPr>
                <w:rFonts w:eastAsia="Calibri"/>
                <w:sz w:val="20"/>
              </w:rPr>
              <w:t>2016</w:t>
            </w:r>
          </w:p>
        </w:tc>
        <w:tc>
          <w:tcPr>
            <w:tcW w:w="1695" w:type="dxa"/>
          </w:tcPr>
          <w:p w:rsidR="00965215" w:rsidRPr="00AB3B6C" w:rsidP="00965215" w14:paraId="1B003829"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7277493E" w14:textId="77777777">
            <w:pPr>
              <w:rPr>
                <w:rFonts w:eastAsia="Calibri"/>
                <w:sz w:val="20"/>
              </w:rPr>
            </w:pPr>
            <w:r w:rsidRPr="00AB3B6C">
              <w:rPr>
                <w:rFonts w:eastAsia="Calibri"/>
                <w:sz w:val="20"/>
              </w:rPr>
              <w:t>1697958</w:t>
            </w:r>
          </w:p>
        </w:tc>
      </w:tr>
      <w:tr w14:paraId="55453E7B" w14:textId="77777777" w:rsidTr="00AB3B6C">
        <w:tblPrEx>
          <w:tblW w:w="0" w:type="auto"/>
          <w:tblLook w:val="04A0"/>
        </w:tblPrEx>
        <w:trPr>
          <w:cantSplit/>
        </w:trPr>
        <w:tc>
          <w:tcPr>
            <w:tcW w:w="2075" w:type="dxa"/>
            <w:shd w:val="clear" w:color="auto" w:fill="auto"/>
          </w:tcPr>
          <w:p w:rsidR="00965215" w:rsidRPr="00AB3B6C" w:rsidP="00965215" w14:paraId="2951FE51"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49962884"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209D278C" w14:textId="77777777">
            <w:pPr>
              <w:rPr>
                <w:rFonts w:eastAsia="Calibri"/>
                <w:sz w:val="20"/>
              </w:rPr>
            </w:pPr>
            <w:r w:rsidRPr="00AB3B6C">
              <w:rPr>
                <w:rFonts w:eastAsia="Calibri"/>
                <w:sz w:val="20"/>
              </w:rPr>
              <w:t>2016</w:t>
            </w:r>
          </w:p>
        </w:tc>
        <w:tc>
          <w:tcPr>
            <w:tcW w:w="1695" w:type="dxa"/>
          </w:tcPr>
          <w:p w:rsidR="00965215" w:rsidRPr="00AB3B6C" w:rsidP="00965215" w14:paraId="4802E64C"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3249D38B" w14:textId="77777777">
            <w:pPr>
              <w:rPr>
                <w:rFonts w:eastAsia="Calibri"/>
                <w:sz w:val="20"/>
              </w:rPr>
            </w:pPr>
            <w:r w:rsidRPr="00AB3B6C">
              <w:rPr>
                <w:rFonts w:eastAsia="Calibri"/>
                <w:sz w:val="20"/>
              </w:rPr>
              <w:t>1697959</w:t>
            </w:r>
          </w:p>
        </w:tc>
      </w:tr>
      <w:tr w14:paraId="7D29B86C" w14:textId="77777777" w:rsidTr="00AB3B6C">
        <w:tblPrEx>
          <w:tblW w:w="0" w:type="auto"/>
          <w:tblLook w:val="04A0"/>
        </w:tblPrEx>
        <w:trPr>
          <w:cantSplit/>
        </w:trPr>
        <w:tc>
          <w:tcPr>
            <w:tcW w:w="2075" w:type="dxa"/>
            <w:shd w:val="clear" w:color="auto" w:fill="auto"/>
          </w:tcPr>
          <w:p w:rsidR="00965215" w:rsidRPr="00AB3B6C" w:rsidP="00965215" w14:paraId="5C7ADD5B"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708AE2BE"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1B298870" w14:textId="77777777">
            <w:pPr>
              <w:rPr>
                <w:rFonts w:eastAsia="Calibri"/>
                <w:sz w:val="20"/>
              </w:rPr>
            </w:pPr>
            <w:r w:rsidRPr="00AB3B6C">
              <w:rPr>
                <w:rFonts w:eastAsia="Calibri"/>
                <w:sz w:val="20"/>
              </w:rPr>
              <w:t>2016</w:t>
            </w:r>
          </w:p>
        </w:tc>
        <w:tc>
          <w:tcPr>
            <w:tcW w:w="1695" w:type="dxa"/>
          </w:tcPr>
          <w:p w:rsidR="00965215" w:rsidRPr="00AB3B6C" w:rsidP="00965215" w14:paraId="2363FC71"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4DD84707" w14:textId="77777777">
            <w:pPr>
              <w:rPr>
                <w:rFonts w:eastAsia="Calibri"/>
                <w:sz w:val="20"/>
              </w:rPr>
            </w:pPr>
            <w:r w:rsidRPr="00AB3B6C">
              <w:rPr>
                <w:rFonts w:eastAsia="Calibri"/>
                <w:sz w:val="20"/>
              </w:rPr>
              <w:t>1697960</w:t>
            </w:r>
          </w:p>
        </w:tc>
      </w:tr>
      <w:tr w14:paraId="368D8956" w14:textId="77777777" w:rsidTr="00AB3B6C">
        <w:tblPrEx>
          <w:tblW w:w="0" w:type="auto"/>
          <w:tblLook w:val="04A0"/>
        </w:tblPrEx>
        <w:trPr>
          <w:cantSplit/>
        </w:trPr>
        <w:tc>
          <w:tcPr>
            <w:tcW w:w="2075" w:type="dxa"/>
            <w:shd w:val="clear" w:color="auto" w:fill="auto"/>
          </w:tcPr>
          <w:p w:rsidR="00965215" w:rsidRPr="00AB3B6C" w:rsidP="00965215" w14:paraId="4495021E"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237F0E8B"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5C5DB593" w14:textId="77777777">
            <w:pPr>
              <w:rPr>
                <w:rFonts w:eastAsia="Calibri"/>
                <w:sz w:val="20"/>
              </w:rPr>
            </w:pPr>
            <w:r w:rsidRPr="00AB3B6C">
              <w:rPr>
                <w:rFonts w:eastAsia="Calibri"/>
                <w:sz w:val="20"/>
              </w:rPr>
              <w:t>2016</w:t>
            </w:r>
          </w:p>
        </w:tc>
        <w:tc>
          <w:tcPr>
            <w:tcW w:w="1695" w:type="dxa"/>
          </w:tcPr>
          <w:p w:rsidR="00965215" w:rsidRPr="00AB3B6C" w:rsidP="00965215" w14:paraId="120BA265"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6361B5EF" w14:textId="77777777">
            <w:pPr>
              <w:rPr>
                <w:rFonts w:eastAsia="Calibri"/>
                <w:sz w:val="20"/>
              </w:rPr>
            </w:pPr>
            <w:r w:rsidRPr="00AB3B6C">
              <w:rPr>
                <w:rFonts w:eastAsia="Calibri"/>
                <w:sz w:val="20"/>
              </w:rPr>
              <w:t>1697961</w:t>
            </w:r>
          </w:p>
        </w:tc>
      </w:tr>
      <w:tr w14:paraId="35D43937" w14:textId="77777777" w:rsidTr="00AB3B6C">
        <w:tblPrEx>
          <w:tblW w:w="0" w:type="auto"/>
          <w:tblLook w:val="04A0"/>
        </w:tblPrEx>
        <w:trPr>
          <w:cantSplit/>
        </w:trPr>
        <w:tc>
          <w:tcPr>
            <w:tcW w:w="2075" w:type="dxa"/>
            <w:shd w:val="clear" w:color="auto" w:fill="auto"/>
          </w:tcPr>
          <w:p w:rsidR="00965215" w:rsidRPr="00AB3B6C" w:rsidP="00965215" w14:paraId="6EDA7737" w14:textId="77777777">
            <w:pPr>
              <w:rPr>
                <w:rFonts w:eastAsia="Calibri"/>
                <w:sz w:val="20"/>
              </w:rPr>
            </w:pPr>
            <w:r w:rsidRPr="00AB3B6C">
              <w:rPr>
                <w:rFonts w:eastAsia="Calibri"/>
                <w:sz w:val="20"/>
              </w:rPr>
              <w:t>33149</w:t>
            </w:r>
          </w:p>
        </w:tc>
        <w:tc>
          <w:tcPr>
            <w:tcW w:w="2690" w:type="dxa"/>
            <w:shd w:val="clear" w:color="auto" w:fill="auto"/>
          </w:tcPr>
          <w:p w:rsidR="00965215" w:rsidRPr="00AB3B6C" w:rsidP="00965215" w14:paraId="4E1C640D" w14:textId="77777777">
            <w:pPr>
              <w:rPr>
                <w:rFonts w:eastAsia="Calibri"/>
                <w:sz w:val="20"/>
              </w:rPr>
            </w:pPr>
            <w:r w:rsidRPr="00AB3B6C">
              <w:rPr>
                <w:rFonts w:eastAsia="Calibri"/>
                <w:sz w:val="20"/>
              </w:rPr>
              <w:t>The Burke Center- West Austin Street</w:t>
            </w:r>
          </w:p>
        </w:tc>
        <w:tc>
          <w:tcPr>
            <w:tcW w:w="1011" w:type="dxa"/>
            <w:shd w:val="clear" w:color="auto" w:fill="auto"/>
          </w:tcPr>
          <w:p w:rsidR="00965215" w:rsidRPr="00AB3B6C" w:rsidP="00965215" w14:paraId="3237364B" w14:textId="77777777">
            <w:pPr>
              <w:rPr>
                <w:rFonts w:eastAsia="Calibri"/>
                <w:sz w:val="20"/>
              </w:rPr>
            </w:pPr>
            <w:r w:rsidRPr="00AB3B6C">
              <w:rPr>
                <w:rFonts w:eastAsia="Calibri"/>
                <w:sz w:val="20"/>
              </w:rPr>
              <w:t>2016</w:t>
            </w:r>
          </w:p>
        </w:tc>
        <w:tc>
          <w:tcPr>
            <w:tcW w:w="1695" w:type="dxa"/>
          </w:tcPr>
          <w:p w:rsidR="00965215" w:rsidRPr="00AB3B6C" w:rsidP="00965215" w14:paraId="0B2AA07C" w14:textId="77777777">
            <w:pPr>
              <w:rPr>
                <w:rFonts w:eastAsia="Calibri"/>
                <w:sz w:val="20"/>
              </w:rPr>
            </w:pPr>
            <w:r w:rsidRPr="00AB3B6C">
              <w:rPr>
                <w:rFonts w:eastAsia="Calibri"/>
                <w:sz w:val="20"/>
              </w:rPr>
              <w:t>43144429</w:t>
            </w:r>
          </w:p>
        </w:tc>
        <w:tc>
          <w:tcPr>
            <w:tcW w:w="1882" w:type="dxa"/>
            <w:shd w:val="clear" w:color="auto" w:fill="auto"/>
          </w:tcPr>
          <w:p w:rsidR="00965215" w:rsidRPr="00AB3B6C" w:rsidP="00965215" w14:paraId="7D5B623A" w14:textId="77777777">
            <w:pPr>
              <w:rPr>
                <w:rFonts w:eastAsia="Calibri"/>
                <w:sz w:val="20"/>
              </w:rPr>
            </w:pPr>
            <w:r w:rsidRPr="00AB3B6C">
              <w:rPr>
                <w:rFonts w:eastAsia="Calibri"/>
                <w:sz w:val="20"/>
              </w:rPr>
              <w:t>1697963</w:t>
            </w:r>
          </w:p>
        </w:tc>
      </w:tr>
      <w:tr w14:paraId="0058E2AD" w14:textId="77777777" w:rsidTr="00AB3B6C">
        <w:tblPrEx>
          <w:tblW w:w="0" w:type="auto"/>
          <w:tblLook w:val="04A0"/>
        </w:tblPrEx>
        <w:trPr>
          <w:cantSplit/>
        </w:trPr>
        <w:tc>
          <w:tcPr>
            <w:tcW w:w="2075" w:type="dxa"/>
            <w:shd w:val="clear" w:color="auto" w:fill="auto"/>
          </w:tcPr>
          <w:p w:rsidR="00965215" w:rsidRPr="00AB3B6C" w:rsidP="00965215" w14:paraId="29A3CD6C"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0C0C64EE"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5288B6E2" w14:textId="77777777">
            <w:pPr>
              <w:rPr>
                <w:rFonts w:eastAsia="Calibri"/>
                <w:sz w:val="20"/>
              </w:rPr>
            </w:pPr>
            <w:r w:rsidRPr="00AB3B6C">
              <w:rPr>
                <w:rFonts w:eastAsia="Calibri"/>
                <w:sz w:val="20"/>
              </w:rPr>
              <w:t>2016</w:t>
            </w:r>
          </w:p>
        </w:tc>
        <w:tc>
          <w:tcPr>
            <w:tcW w:w="1695" w:type="dxa"/>
          </w:tcPr>
          <w:p w:rsidR="00965215" w:rsidRPr="00AB3B6C" w:rsidP="00965215" w14:paraId="61DCCD52" w14:textId="77777777">
            <w:pPr>
              <w:rPr>
                <w:rFonts w:eastAsia="Calibri"/>
                <w:sz w:val="20"/>
              </w:rPr>
            </w:pPr>
            <w:r w:rsidRPr="00AB3B6C">
              <w:rPr>
                <w:rFonts w:eastAsia="Calibri"/>
                <w:sz w:val="20"/>
              </w:rPr>
              <w:t>43123237</w:t>
            </w:r>
          </w:p>
        </w:tc>
        <w:tc>
          <w:tcPr>
            <w:tcW w:w="1882" w:type="dxa"/>
            <w:shd w:val="clear" w:color="auto" w:fill="auto"/>
          </w:tcPr>
          <w:p w:rsidR="00965215" w:rsidRPr="00AB3B6C" w:rsidP="00965215" w14:paraId="6EBDBF18" w14:textId="77777777">
            <w:pPr>
              <w:rPr>
                <w:rFonts w:eastAsia="Calibri"/>
                <w:sz w:val="20"/>
              </w:rPr>
            </w:pPr>
            <w:r w:rsidRPr="00AB3B6C">
              <w:rPr>
                <w:rFonts w:eastAsia="Calibri"/>
                <w:sz w:val="20"/>
              </w:rPr>
              <w:t>1698106</w:t>
            </w:r>
          </w:p>
        </w:tc>
      </w:tr>
      <w:tr w14:paraId="76871AFB" w14:textId="77777777" w:rsidTr="00AB3B6C">
        <w:tblPrEx>
          <w:tblW w:w="0" w:type="auto"/>
          <w:tblLook w:val="04A0"/>
        </w:tblPrEx>
        <w:trPr>
          <w:cantSplit/>
        </w:trPr>
        <w:tc>
          <w:tcPr>
            <w:tcW w:w="2075" w:type="dxa"/>
            <w:shd w:val="clear" w:color="auto" w:fill="auto"/>
          </w:tcPr>
          <w:p w:rsidR="00965215" w:rsidRPr="00AB3B6C" w:rsidP="00965215" w14:paraId="6CFCAA23"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3417EFC3"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1555D50C" w14:textId="77777777">
            <w:pPr>
              <w:rPr>
                <w:rFonts w:eastAsia="Calibri"/>
                <w:sz w:val="20"/>
              </w:rPr>
            </w:pPr>
            <w:r w:rsidRPr="00AB3B6C">
              <w:rPr>
                <w:rFonts w:eastAsia="Calibri"/>
                <w:sz w:val="20"/>
              </w:rPr>
              <w:t>2016</w:t>
            </w:r>
          </w:p>
        </w:tc>
        <w:tc>
          <w:tcPr>
            <w:tcW w:w="1695" w:type="dxa"/>
          </w:tcPr>
          <w:p w:rsidR="00965215" w:rsidRPr="00AB3B6C" w:rsidP="00965215" w14:paraId="18DAF299"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229984C4" w14:textId="77777777">
            <w:pPr>
              <w:rPr>
                <w:rFonts w:eastAsia="Calibri"/>
                <w:sz w:val="20"/>
              </w:rPr>
            </w:pPr>
            <w:r w:rsidRPr="00AB3B6C">
              <w:rPr>
                <w:rFonts w:eastAsia="Calibri"/>
                <w:sz w:val="20"/>
              </w:rPr>
              <w:t>1698108</w:t>
            </w:r>
          </w:p>
        </w:tc>
      </w:tr>
      <w:tr w14:paraId="666E5076" w14:textId="77777777" w:rsidTr="00AB3B6C">
        <w:tblPrEx>
          <w:tblW w:w="0" w:type="auto"/>
          <w:tblLook w:val="04A0"/>
        </w:tblPrEx>
        <w:trPr>
          <w:cantSplit/>
        </w:trPr>
        <w:tc>
          <w:tcPr>
            <w:tcW w:w="2075" w:type="dxa"/>
            <w:shd w:val="clear" w:color="auto" w:fill="auto"/>
          </w:tcPr>
          <w:p w:rsidR="00965215" w:rsidRPr="00AB3B6C" w:rsidP="00965215" w14:paraId="38230FD6"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342359F0"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4B3E13D2" w14:textId="77777777">
            <w:pPr>
              <w:rPr>
                <w:rFonts w:eastAsia="Calibri"/>
                <w:sz w:val="20"/>
              </w:rPr>
            </w:pPr>
            <w:r w:rsidRPr="00AB3B6C">
              <w:rPr>
                <w:rFonts w:eastAsia="Calibri"/>
                <w:sz w:val="20"/>
              </w:rPr>
              <w:t>2016</w:t>
            </w:r>
          </w:p>
        </w:tc>
        <w:tc>
          <w:tcPr>
            <w:tcW w:w="1695" w:type="dxa"/>
          </w:tcPr>
          <w:p w:rsidR="00965215" w:rsidRPr="00AB3B6C" w:rsidP="00965215" w14:paraId="278B2BA5"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21160FF1" w14:textId="77777777">
            <w:pPr>
              <w:rPr>
                <w:rFonts w:eastAsia="Calibri"/>
                <w:sz w:val="20"/>
              </w:rPr>
            </w:pPr>
            <w:r w:rsidRPr="00AB3B6C">
              <w:rPr>
                <w:rFonts w:eastAsia="Calibri"/>
                <w:sz w:val="20"/>
              </w:rPr>
              <w:t>1698110</w:t>
            </w:r>
          </w:p>
        </w:tc>
      </w:tr>
      <w:tr w14:paraId="7EF4F691" w14:textId="77777777" w:rsidTr="00AB3B6C">
        <w:tblPrEx>
          <w:tblW w:w="0" w:type="auto"/>
          <w:tblLook w:val="04A0"/>
        </w:tblPrEx>
        <w:trPr>
          <w:cantSplit/>
        </w:trPr>
        <w:tc>
          <w:tcPr>
            <w:tcW w:w="2075" w:type="dxa"/>
            <w:shd w:val="clear" w:color="auto" w:fill="auto"/>
          </w:tcPr>
          <w:p w:rsidR="00965215" w:rsidRPr="00AB3B6C" w:rsidP="00965215" w14:paraId="3111BCBF"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1082CB39"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04BB0966" w14:textId="77777777">
            <w:pPr>
              <w:rPr>
                <w:rFonts w:eastAsia="Calibri"/>
                <w:sz w:val="20"/>
              </w:rPr>
            </w:pPr>
            <w:r w:rsidRPr="00AB3B6C">
              <w:rPr>
                <w:rFonts w:eastAsia="Calibri"/>
                <w:sz w:val="20"/>
              </w:rPr>
              <w:t>2016</w:t>
            </w:r>
          </w:p>
        </w:tc>
        <w:tc>
          <w:tcPr>
            <w:tcW w:w="1695" w:type="dxa"/>
          </w:tcPr>
          <w:p w:rsidR="00965215" w:rsidRPr="00AB3B6C" w:rsidP="00965215" w14:paraId="166450AB"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217775F5" w14:textId="77777777">
            <w:pPr>
              <w:rPr>
                <w:rFonts w:eastAsia="Calibri"/>
                <w:sz w:val="20"/>
              </w:rPr>
            </w:pPr>
            <w:r w:rsidRPr="00AB3B6C">
              <w:rPr>
                <w:rFonts w:eastAsia="Calibri"/>
                <w:sz w:val="20"/>
              </w:rPr>
              <w:t>1698112</w:t>
            </w:r>
          </w:p>
        </w:tc>
      </w:tr>
      <w:tr w14:paraId="213C9CBA" w14:textId="77777777" w:rsidTr="00AB3B6C">
        <w:tblPrEx>
          <w:tblW w:w="0" w:type="auto"/>
          <w:tblLook w:val="04A0"/>
        </w:tblPrEx>
        <w:trPr>
          <w:cantSplit/>
        </w:trPr>
        <w:tc>
          <w:tcPr>
            <w:tcW w:w="2075" w:type="dxa"/>
            <w:shd w:val="clear" w:color="auto" w:fill="auto"/>
          </w:tcPr>
          <w:p w:rsidR="00965215" w:rsidRPr="00AB3B6C" w:rsidP="00965215" w14:paraId="16A40C38"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2E75776B"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6B730AC0" w14:textId="77777777">
            <w:pPr>
              <w:rPr>
                <w:rFonts w:eastAsia="Calibri"/>
                <w:sz w:val="20"/>
              </w:rPr>
            </w:pPr>
            <w:r w:rsidRPr="00AB3B6C">
              <w:rPr>
                <w:rFonts w:eastAsia="Calibri"/>
                <w:sz w:val="20"/>
              </w:rPr>
              <w:t>2016</w:t>
            </w:r>
          </w:p>
        </w:tc>
        <w:tc>
          <w:tcPr>
            <w:tcW w:w="1695" w:type="dxa"/>
          </w:tcPr>
          <w:p w:rsidR="00965215" w:rsidRPr="00AB3B6C" w:rsidP="00965215" w14:paraId="37706182"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6D599882" w14:textId="77777777">
            <w:pPr>
              <w:rPr>
                <w:rFonts w:eastAsia="Calibri"/>
                <w:sz w:val="20"/>
              </w:rPr>
            </w:pPr>
            <w:r w:rsidRPr="00AB3B6C">
              <w:rPr>
                <w:rFonts w:eastAsia="Calibri"/>
                <w:sz w:val="20"/>
              </w:rPr>
              <w:t>1698118</w:t>
            </w:r>
          </w:p>
        </w:tc>
      </w:tr>
      <w:tr w14:paraId="6F207F2F" w14:textId="77777777" w:rsidTr="00AB3B6C">
        <w:tblPrEx>
          <w:tblW w:w="0" w:type="auto"/>
          <w:tblLook w:val="04A0"/>
        </w:tblPrEx>
        <w:trPr>
          <w:cantSplit/>
        </w:trPr>
        <w:tc>
          <w:tcPr>
            <w:tcW w:w="2075" w:type="dxa"/>
            <w:shd w:val="clear" w:color="auto" w:fill="auto"/>
          </w:tcPr>
          <w:p w:rsidR="00965215" w:rsidRPr="00AB3B6C" w:rsidP="00965215" w14:paraId="2D555BD2"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3EB04F5F"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0CE1BF50" w14:textId="77777777">
            <w:pPr>
              <w:rPr>
                <w:rFonts w:eastAsia="Calibri"/>
                <w:sz w:val="20"/>
              </w:rPr>
            </w:pPr>
            <w:r w:rsidRPr="00AB3B6C">
              <w:rPr>
                <w:rFonts w:eastAsia="Calibri"/>
                <w:sz w:val="20"/>
              </w:rPr>
              <w:t>2016</w:t>
            </w:r>
          </w:p>
        </w:tc>
        <w:tc>
          <w:tcPr>
            <w:tcW w:w="1695" w:type="dxa"/>
          </w:tcPr>
          <w:p w:rsidR="00965215" w:rsidRPr="00AB3B6C" w:rsidP="00965215" w14:paraId="4B7524B2" w14:textId="77777777">
            <w:pPr>
              <w:rPr>
                <w:rFonts w:eastAsia="Calibri"/>
                <w:sz w:val="20"/>
              </w:rPr>
            </w:pPr>
            <w:r w:rsidRPr="00AB3B6C">
              <w:rPr>
                <w:rFonts w:eastAsia="Calibri"/>
                <w:sz w:val="20"/>
              </w:rPr>
              <w:t>43133868</w:t>
            </w:r>
          </w:p>
        </w:tc>
        <w:tc>
          <w:tcPr>
            <w:tcW w:w="1882" w:type="dxa"/>
            <w:shd w:val="clear" w:color="auto" w:fill="auto"/>
          </w:tcPr>
          <w:p w:rsidR="00965215" w:rsidRPr="00AB3B6C" w:rsidP="00965215" w14:paraId="680DA930" w14:textId="77777777">
            <w:pPr>
              <w:rPr>
                <w:rFonts w:eastAsia="Calibri"/>
                <w:sz w:val="20"/>
              </w:rPr>
            </w:pPr>
            <w:r w:rsidRPr="00AB3B6C">
              <w:rPr>
                <w:rFonts w:eastAsia="Calibri"/>
                <w:sz w:val="20"/>
              </w:rPr>
              <w:t>1698121</w:t>
            </w:r>
          </w:p>
        </w:tc>
      </w:tr>
      <w:tr w14:paraId="7DDCE548" w14:textId="77777777" w:rsidTr="00AB3B6C">
        <w:tblPrEx>
          <w:tblW w:w="0" w:type="auto"/>
          <w:tblLook w:val="04A0"/>
        </w:tblPrEx>
        <w:trPr>
          <w:cantSplit/>
        </w:trPr>
        <w:tc>
          <w:tcPr>
            <w:tcW w:w="2075" w:type="dxa"/>
            <w:shd w:val="clear" w:color="auto" w:fill="auto"/>
          </w:tcPr>
          <w:p w:rsidR="00965215" w:rsidRPr="00AB3B6C" w:rsidP="00965215" w14:paraId="4CBC2BBB"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69E66FEF"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48611D35" w14:textId="77777777">
            <w:pPr>
              <w:rPr>
                <w:rFonts w:eastAsia="Calibri"/>
                <w:sz w:val="20"/>
              </w:rPr>
            </w:pPr>
            <w:r w:rsidRPr="00AB3B6C">
              <w:rPr>
                <w:rFonts w:eastAsia="Calibri"/>
                <w:sz w:val="20"/>
              </w:rPr>
              <w:t>2016</w:t>
            </w:r>
          </w:p>
        </w:tc>
        <w:tc>
          <w:tcPr>
            <w:tcW w:w="1695" w:type="dxa"/>
          </w:tcPr>
          <w:p w:rsidR="00965215" w:rsidRPr="00AB3B6C" w:rsidP="00965215" w14:paraId="50AA5DFC" w14:textId="77777777">
            <w:pPr>
              <w:rPr>
                <w:rFonts w:eastAsia="Calibri"/>
                <w:sz w:val="20"/>
              </w:rPr>
            </w:pPr>
            <w:r w:rsidRPr="00AB3B6C">
              <w:rPr>
                <w:rFonts w:eastAsia="Calibri"/>
                <w:sz w:val="20"/>
              </w:rPr>
              <w:t>43144511</w:t>
            </w:r>
          </w:p>
        </w:tc>
        <w:tc>
          <w:tcPr>
            <w:tcW w:w="1882" w:type="dxa"/>
            <w:shd w:val="clear" w:color="auto" w:fill="auto"/>
          </w:tcPr>
          <w:p w:rsidR="00965215" w:rsidRPr="00AB3B6C" w:rsidP="00965215" w14:paraId="32E45D52" w14:textId="77777777">
            <w:pPr>
              <w:rPr>
                <w:rFonts w:eastAsia="Calibri"/>
                <w:sz w:val="20"/>
              </w:rPr>
            </w:pPr>
            <w:r w:rsidRPr="00AB3B6C">
              <w:rPr>
                <w:rFonts w:eastAsia="Calibri"/>
                <w:sz w:val="20"/>
              </w:rPr>
              <w:t>1698125</w:t>
            </w:r>
          </w:p>
        </w:tc>
      </w:tr>
      <w:tr w14:paraId="145C64D6" w14:textId="77777777" w:rsidTr="00AB3B6C">
        <w:tblPrEx>
          <w:tblW w:w="0" w:type="auto"/>
          <w:tblLook w:val="04A0"/>
        </w:tblPrEx>
        <w:trPr>
          <w:cantSplit/>
        </w:trPr>
        <w:tc>
          <w:tcPr>
            <w:tcW w:w="2075" w:type="dxa"/>
            <w:shd w:val="clear" w:color="auto" w:fill="auto"/>
          </w:tcPr>
          <w:p w:rsidR="00965215" w:rsidRPr="00AB3B6C" w:rsidP="00965215" w14:paraId="1E54FAD6"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3D27AB00"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35D7EEE0" w14:textId="77777777">
            <w:pPr>
              <w:rPr>
                <w:rFonts w:eastAsia="Calibri"/>
                <w:sz w:val="20"/>
              </w:rPr>
            </w:pPr>
            <w:r w:rsidRPr="00AB3B6C">
              <w:rPr>
                <w:rFonts w:eastAsia="Calibri"/>
                <w:sz w:val="20"/>
              </w:rPr>
              <w:t>2016</w:t>
            </w:r>
          </w:p>
        </w:tc>
        <w:tc>
          <w:tcPr>
            <w:tcW w:w="1695" w:type="dxa"/>
          </w:tcPr>
          <w:p w:rsidR="00965215" w:rsidRPr="00AB3B6C" w:rsidP="00965215" w14:paraId="37F3D2FA" w14:textId="77777777">
            <w:pPr>
              <w:rPr>
                <w:rFonts w:eastAsia="Calibri"/>
                <w:sz w:val="20"/>
              </w:rPr>
            </w:pPr>
            <w:r w:rsidRPr="00AB3B6C">
              <w:rPr>
                <w:rFonts w:eastAsia="Calibri"/>
                <w:sz w:val="20"/>
              </w:rPr>
              <w:t>43144511</w:t>
            </w:r>
          </w:p>
        </w:tc>
        <w:tc>
          <w:tcPr>
            <w:tcW w:w="1882" w:type="dxa"/>
            <w:shd w:val="clear" w:color="auto" w:fill="auto"/>
          </w:tcPr>
          <w:p w:rsidR="00965215" w:rsidRPr="00AB3B6C" w:rsidP="00965215" w14:paraId="1FF1A53A" w14:textId="77777777">
            <w:pPr>
              <w:rPr>
                <w:rFonts w:eastAsia="Calibri"/>
                <w:sz w:val="20"/>
              </w:rPr>
            </w:pPr>
            <w:r w:rsidRPr="00AB3B6C">
              <w:rPr>
                <w:rFonts w:eastAsia="Calibri"/>
                <w:sz w:val="20"/>
              </w:rPr>
              <w:t>1698130</w:t>
            </w:r>
          </w:p>
        </w:tc>
      </w:tr>
      <w:tr w14:paraId="449E426D" w14:textId="77777777" w:rsidTr="00AB3B6C">
        <w:tblPrEx>
          <w:tblW w:w="0" w:type="auto"/>
          <w:tblLook w:val="04A0"/>
        </w:tblPrEx>
        <w:trPr>
          <w:cantSplit/>
        </w:trPr>
        <w:tc>
          <w:tcPr>
            <w:tcW w:w="2075" w:type="dxa"/>
            <w:shd w:val="clear" w:color="auto" w:fill="auto"/>
          </w:tcPr>
          <w:p w:rsidR="00965215" w:rsidRPr="00AB3B6C" w:rsidP="00965215" w14:paraId="37951326"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6D0C757D"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120430B4" w14:textId="77777777">
            <w:pPr>
              <w:rPr>
                <w:rFonts w:eastAsia="Calibri"/>
                <w:sz w:val="20"/>
              </w:rPr>
            </w:pPr>
            <w:r w:rsidRPr="00AB3B6C">
              <w:rPr>
                <w:rFonts w:eastAsia="Calibri"/>
                <w:sz w:val="20"/>
              </w:rPr>
              <w:t>2016</w:t>
            </w:r>
          </w:p>
        </w:tc>
        <w:tc>
          <w:tcPr>
            <w:tcW w:w="1695" w:type="dxa"/>
          </w:tcPr>
          <w:p w:rsidR="00965215" w:rsidRPr="00AB3B6C" w:rsidP="00965215" w14:paraId="45CD1945" w14:textId="77777777">
            <w:pPr>
              <w:rPr>
                <w:rFonts w:eastAsia="Calibri"/>
                <w:sz w:val="20"/>
              </w:rPr>
            </w:pPr>
            <w:r w:rsidRPr="00AB3B6C">
              <w:rPr>
                <w:rFonts w:eastAsia="Calibri"/>
                <w:sz w:val="20"/>
              </w:rPr>
              <w:t>43144511</w:t>
            </w:r>
          </w:p>
        </w:tc>
        <w:tc>
          <w:tcPr>
            <w:tcW w:w="1882" w:type="dxa"/>
            <w:shd w:val="clear" w:color="auto" w:fill="auto"/>
          </w:tcPr>
          <w:p w:rsidR="00965215" w:rsidRPr="00AB3B6C" w:rsidP="00965215" w14:paraId="684F4887" w14:textId="77777777">
            <w:pPr>
              <w:rPr>
                <w:rFonts w:eastAsia="Calibri"/>
                <w:sz w:val="20"/>
              </w:rPr>
            </w:pPr>
            <w:r w:rsidRPr="00AB3B6C">
              <w:rPr>
                <w:rFonts w:eastAsia="Calibri"/>
                <w:sz w:val="20"/>
              </w:rPr>
              <w:t>1698134</w:t>
            </w:r>
          </w:p>
        </w:tc>
      </w:tr>
      <w:tr w14:paraId="3E2825BF" w14:textId="77777777" w:rsidTr="00AB3B6C">
        <w:tblPrEx>
          <w:tblW w:w="0" w:type="auto"/>
          <w:tblLook w:val="04A0"/>
        </w:tblPrEx>
        <w:trPr>
          <w:cantSplit/>
        </w:trPr>
        <w:tc>
          <w:tcPr>
            <w:tcW w:w="2075" w:type="dxa"/>
            <w:shd w:val="clear" w:color="auto" w:fill="auto"/>
          </w:tcPr>
          <w:p w:rsidR="00965215" w:rsidRPr="00AB3B6C" w:rsidP="00965215" w14:paraId="06673235" w14:textId="77777777">
            <w:pPr>
              <w:rPr>
                <w:rFonts w:eastAsia="Calibri"/>
                <w:sz w:val="20"/>
              </w:rPr>
            </w:pPr>
            <w:r w:rsidRPr="00AB3B6C">
              <w:rPr>
                <w:rFonts w:eastAsia="Calibri"/>
                <w:sz w:val="20"/>
              </w:rPr>
              <w:t>26649</w:t>
            </w:r>
          </w:p>
        </w:tc>
        <w:tc>
          <w:tcPr>
            <w:tcW w:w="2690" w:type="dxa"/>
            <w:shd w:val="clear" w:color="auto" w:fill="auto"/>
          </w:tcPr>
          <w:p w:rsidR="00965215" w:rsidRPr="00AB3B6C" w:rsidP="00965215" w14:paraId="3FFDD03B" w14:textId="77777777">
            <w:pPr>
              <w:rPr>
                <w:rFonts w:eastAsia="Calibri"/>
                <w:sz w:val="20"/>
              </w:rPr>
            </w:pPr>
            <w:r w:rsidRPr="00AB3B6C">
              <w:rPr>
                <w:rFonts w:eastAsia="Calibri"/>
                <w:sz w:val="20"/>
              </w:rPr>
              <w:t>Trinity Valley Community College</w:t>
            </w:r>
          </w:p>
        </w:tc>
        <w:tc>
          <w:tcPr>
            <w:tcW w:w="1011" w:type="dxa"/>
            <w:shd w:val="clear" w:color="auto" w:fill="auto"/>
          </w:tcPr>
          <w:p w:rsidR="00965215" w:rsidRPr="00AB3B6C" w:rsidP="00965215" w14:paraId="072A2B06" w14:textId="77777777">
            <w:pPr>
              <w:rPr>
                <w:rFonts w:eastAsia="Calibri"/>
                <w:sz w:val="20"/>
              </w:rPr>
            </w:pPr>
            <w:r w:rsidRPr="00AB3B6C">
              <w:rPr>
                <w:rFonts w:eastAsia="Calibri"/>
                <w:sz w:val="20"/>
              </w:rPr>
              <w:t>2016</w:t>
            </w:r>
          </w:p>
        </w:tc>
        <w:tc>
          <w:tcPr>
            <w:tcW w:w="1695" w:type="dxa"/>
          </w:tcPr>
          <w:p w:rsidR="00965215" w:rsidRPr="00AB3B6C" w:rsidP="00965215" w14:paraId="77C13282" w14:textId="77777777">
            <w:pPr>
              <w:rPr>
                <w:rFonts w:eastAsia="Calibri"/>
                <w:sz w:val="20"/>
              </w:rPr>
            </w:pPr>
            <w:r w:rsidRPr="00AB3B6C">
              <w:rPr>
                <w:rFonts w:eastAsia="Calibri"/>
                <w:sz w:val="20"/>
              </w:rPr>
              <w:t>43155659</w:t>
            </w:r>
          </w:p>
        </w:tc>
        <w:tc>
          <w:tcPr>
            <w:tcW w:w="1882" w:type="dxa"/>
            <w:shd w:val="clear" w:color="auto" w:fill="auto"/>
          </w:tcPr>
          <w:p w:rsidR="00965215" w:rsidRPr="00AB3B6C" w:rsidP="00965215" w14:paraId="49BBA14F" w14:textId="77777777">
            <w:pPr>
              <w:rPr>
                <w:rFonts w:eastAsia="Calibri"/>
                <w:sz w:val="20"/>
              </w:rPr>
            </w:pPr>
            <w:r w:rsidRPr="00AB3B6C">
              <w:rPr>
                <w:rFonts w:eastAsia="Calibri"/>
                <w:sz w:val="20"/>
              </w:rPr>
              <w:t>1698138</w:t>
            </w:r>
          </w:p>
        </w:tc>
      </w:tr>
      <w:tr w14:paraId="03038AAA" w14:textId="77777777" w:rsidTr="00AB3B6C">
        <w:tblPrEx>
          <w:tblW w:w="0" w:type="auto"/>
          <w:tblLook w:val="04A0"/>
        </w:tblPrEx>
        <w:trPr>
          <w:cantSplit/>
        </w:trPr>
        <w:tc>
          <w:tcPr>
            <w:tcW w:w="2075" w:type="dxa"/>
            <w:shd w:val="clear" w:color="auto" w:fill="auto"/>
          </w:tcPr>
          <w:p w:rsidR="00965215" w:rsidRPr="00AB3B6C" w:rsidP="00965215" w14:paraId="253CE642" w14:textId="77777777">
            <w:pPr>
              <w:rPr>
                <w:rFonts w:eastAsia="Calibri"/>
                <w:sz w:val="20"/>
              </w:rPr>
            </w:pPr>
            <w:r w:rsidRPr="00AB3B6C">
              <w:rPr>
                <w:rFonts w:eastAsia="Calibri"/>
                <w:sz w:val="20"/>
              </w:rPr>
              <w:t>34447</w:t>
            </w:r>
          </w:p>
        </w:tc>
        <w:tc>
          <w:tcPr>
            <w:tcW w:w="2690" w:type="dxa"/>
            <w:shd w:val="clear" w:color="auto" w:fill="auto"/>
          </w:tcPr>
          <w:p w:rsidR="00965215" w:rsidRPr="00AB3B6C" w:rsidP="00965215" w14:paraId="2C5A2B99" w14:textId="77777777">
            <w:pPr>
              <w:rPr>
                <w:rFonts w:eastAsia="Calibri"/>
                <w:sz w:val="20"/>
              </w:rPr>
            </w:pPr>
            <w:r w:rsidRPr="00AB3B6C">
              <w:rPr>
                <w:rFonts w:eastAsia="Calibri"/>
                <w:sz w:val="20"/>
              </w:rPr>
              <w:t>UTHSCT</w:t>
            </w:r>
            <w:r w:rsidRPr="00AB3B6C">
              <w:rPr>
                <w:rFonts w:eastAsia="Calibri"/>
                <w:sz w:val="20"/>
              </w:rPr>
              <w:t xml:space="preserve"> on behalf of </w:t>
            </w:r>
            <w:r w:rsidRPr="00AB3B6C">
              <w:rPr>
                <w:rFonts w:eastAsia="Calibri"/>
                <w:sz w:val="20"/>
              </w:rPr>
              <w:t>ETIHN</w:t>
            </w:r>
            <w:r w:rsidRPr="00AB3B6C">
              <w:rPr>
                <w:rFonts w:eastAsia="Calibri"/>
                <w:sz w:val="20"/>
              </w:rPr>
              <w:t>- Andrews Center</w:t>
            </w:r>
          </w:p>
        </w:tc>
        <w:tc>
          <w:tcPr>
            <w:tcW w:w="1011" w:type="dxa"/>
            <w:shd w:val="clear" w:color="auto" w:fill="auto"/>
          </w:tcPr>
          <w:p w:rsidR="00965215" w:rsidRPr="00AB3B6C" w:rsidP="00965215" w14:paraId="1A475A36" w14:textId="77777777">
            <w:pPr>
              <w:rPr>
                <w:rFonts w:eastAsia="Calibri"/>
                <w:sz w:val="20"/>
              </w:rPr>
            </w:pPr>
            <w:r w:rsidRPr="00AB3B6C">
              <w:rPr>
                <w:rFonts w:eastAsia="Calibri"/>
                <w:sz w:val="20"/>
              </w:rPr>
              <w:t>2016</w:t>
            </w:r>
          </w:p>
        </w:tc>
        <w:tc>
          <w:tcPr>
            <w:tcW w:w="1695" w:type="dxa"/>
          </w:tcPr>
          <w:p w:rsidR="00965215" w:rsidRPr="00AB3B6C" w:rsidP="00965215" w14:paraId="3E5C83FD" w14:textId="77777777">
            <w:pPr>
              <w:rPr>
                <w:rFonts w:eastAsia="Calibri"/>
                <w:sz w:val="20"/>
              </w:rPr>
            </w:pPr>
            <w:r w:rsidRPr="00AB3B6C">
              <w:rPr>
                <w:rFonts w:eastAsia="Calibri"/>
                <w:sz w:val="20"/>
              </w:rPr>
              <w:t>43155889</w:t>
            </w:r>
          </w:p>
        </w:tc>
        <w:tc>
          <w:tcPr>
            <w:tcW w:w="1882" w:type="dxa"/>
            <w:shd w:val="clear" w:color="auto" w:fill="auto"/>
          </w:tcPr>
          <w:p w:rsidR="00965215" w:rsidRPr="00AB3B6C" w:rsidP="00965215" w14:paraId="7E40477D" w14:textId="77777777">
            <w:pPr>
              <w:rPr>
                <w:rFonts w:eastAsia="Calibri"/>
                <w:sz w:val="20"/>
              </w:rPr>
            </w:pPr>
            <w:r w:rsidRPr="00AB3B6C">
              <w:rPr>
                <w:rFonts w:eastAsia="Calibri"/>
                <w:sz w:val="20"/>
              </w:rPr>
              <w:t>1697880</w:t>
            </w:r>
          </w:p>
        </w:tc>
      </w:tr>
      <w:tr w14:paraId="666E419D" w14:textId="77777777" w:rsidTr="00AB3B6C">
        <w:tblPrEx>
          <w:tblW w:w="0" w:type="auto"/>
          <w:tblLook w:val="04A0"/>
        </w:tblPrEx>
        <w:trPr>
          <w:cantSplit/>
        </w:trPr>
        <w:tc>
          <w:tcPr>
            <w:tcW w:w="2075" w:type="dxa"/>
            <w:shd w:val="clear" w:color="auto" w:fill="auto"/>
          </w:tcPr>
          <w:p w:rsidR="00965215" w:rsidRPr="00AB3B6C" w:rsidP="00965215" w14:paraId="668A2B91" w14:textId="77777777">
            <w:pPr>
              <w:rPr>
                <w:rFonts w:eastAsia="Calibri"/>
                <w:sz w:val="20"/>
              </w:rPr>
            </w:pPr>
            <w:r w:rsidRPr="00AB3B6C">
              <w:rPr>
                <w:rFonts w:eastAsia="Calibri"/>
                <w:sz w:val="20"/>
              </w:rPr>
              <w:t>34447</w:t>
            </w:r>
          </w:p>
        </w:tc>
        <w:tc>
          <w:tcPr>
            <w:tcW w:w="2690" w:type="dxa"/>
            <w:shd w:val="clear" w:color="auto" w:fill="auto"/>
          </w:tcPr>
          <w:p w:rsidR="00965215" w:rsidRPr="00AB3B6C" w:rsidP="00965215" w14:paraId="5DB64772" w14:textId="77777777">
            <w:pPr>
              <w:rPr>
                <w:rFonts w:eastAsia="Calibri"/>
                <w:sz w:val="20"/>
              </w:rPr>
            </w:pPr>
            <w:r w:rsidRPr="00AB3B6C">
              <w:rPr>
                <w:rFonts w:eastAsia="Calibri"/>
                <w:sz w:val="20"/>
              </w:rPr>
              <w:t>UTHSCT</w:t>
            </w:r>
            <w:r w:rsidRPr="00AB3B6C">
              <w:rPr>
                <w:rFonts w:eastAsia="Calibri"/>
                <w:sz w:val="20"/>
              </w:rPr>
              <w:t xml:space="preserve"> on behalf of </w:t>
            </w:r>
            <w:r w:rsidRPr="00AB3B6C">
              <w:rPr>
                <w:rFonts w:eastAsia="Calibri"/>
                <w:sz w:val="20"/>
              </w:rPr>
              <w:t>ETIHN</w:t>
            </w:r>
            <w:r w:rsidRPr="00AB3B6C">
              <w:rPr>
                <w:rFonts w:eastAsia="Calibri"/>
                <w:sz w:val="20"/>
              </w:rPr>
              <w:t>- Andrews Center</w:t>
            </w:r>
          </w:p>
        </w:tc>
        <w:tc>
          <w:tcPr>
            <w:tcW w:w="1011" w:type="dxa"/>
            <w:shd w:val="clear" w:color="auto" w:fill="auto"/>
          </w:tcPr>
          <w:p w:rsidR="00965215" w:rsidRPr="00AB3B6C" w:rsidP="00965215" w14:paraId="34DFBE3A" w14:textId="77777777">
            <w:pPr>
              <w:rPr>
                <w:rFonts w:eastAsia="Calibri"/>
                <w:sz w:val="20"/>
              </w:rPr>
            </w:pPr>
            <w:r w:rsidRPr="00AB3B6C">
              <w:rPr>
                <w:rFonts w:eastAsia="Calibri"/>
                <w:sz w:val="20"/>
              </w:rPr>
              <w:t>2016</w:t>
            </w:r>
          </w:p>
        </w:tc>
        <w:tc>
          <w:tcPr>
            <w:tcW w:w="1695" w:type="dxa"/>
          </w:tcPr>
          <w:p w:rsidR="00965215" w:rsidRPr="00AB3B6C" w:rsidP="00965215" w14:paraId="06917A6F" w14:textId="77777777">
            <w:pPr>
              <w:rPr>
                <w:rFonts w:eastAsia="Calibri"/>
                <w:sz w:val="20"/>
              </w:rPr>
            </w:pPr>
            <w:r w:rsidRPr="00AB3B6C">
              <w:rPr>
                <w:rFonts w:eastAsia="Calibri"/>
                <w:sz w:val="20"/>
              </w:rPr>
              <w:t>43155889</w:t>
            </w:r>
          </w:p>
        </w:tc>
        <w:tc>
          <w:tcPr>
            <w:tcW w:w="1882" w:type="dxa"/>
            <w:shd w:val="clear" w:color="auto" w:fill="auto"/>
          </w:tcPr>
          <w:p w:rsidR="00965215" w:rsidRPr="00AB3B6C" w:rsidP="00965215" w14:paraId="1612B31E" w14:textId="77777777">
            <w:pPr>
              <w:rPr>
                <w:rFonts w:eastAsia="Calibri"/>
                <w:sz w:val="20"/>
              </w:rPr>
            </w:pPr>
            <w:r w:rsidRPr="00AB3B6C">
              <w:rPr>
                <w:rFonts w:eastAsia="Calibri"/>
                <w:sz w:val="20"/>
              </w:rPr>
              <w:t>1698227</w:t>
            </w:r>
          </w:p>
        </w:tc>
      </w:tr>
      <w:tr w14:paraId="6CFF339C" w14:textId="77777777" w:rsidTr="00AB3B6C">
        <w:tblPrEx>
          <w:tblW w:w="0" w:type="auto"/>
          <w:tblLook w:val="04A0"/>
        </w:tblPrEx>
        <w:trPr>
          <w:cantSplit/>
        </w:trPr>
        <w:tc>
          <w:tcPr>
            <w:tcW w:w="2075" w:type="dxa"/>
            <w:shd w:val="clear" w:color="auto" w:fill="auto"/>
          </w:tcPr>
          <w:p w:rsidR="00965215" w:rsidRPr="00AB3B6C" w:rsidP="00965215" w14:paraId="2ED81B53" w14:textId="77777777">
            <w:pPr>
              <w:rPr>
                <w:rFonts w:eastAsia="Calibri"/>
                <w:sz w:val="20"/>
              </w:rPr>
            </w:pPr>
            <w:r w:rsidRPr="00AB3B6C">
              <w:rPr>
                <w:rFonts w:eastAsia="Calibri"/>
                <w:sz w:val="20"/>
              </w:rPr>
              <w:t>34447</w:t>
            </w:r>
          </w:p>
        </w:tc>
        <w:tc>
          <w:tcPr>
            <w:tcW w:w="2690" w:type="dxa"/>
            <w:shd w:val="clear" w:color="auto" w:fill="auto"/>
          </w:tcPr>
          <w:p w:rsidR="00965215" w:rsidRPr="00AB3B6C" w:rsidP="00965215" w14:paraId="339CF939" w14:textId="77777777">
            <w:pPr>
              <w:rPr>
                <w:rFonts w:eastAsia="Calibri"/>
                <w:sz w:val="20"/>
              </w:rPr>
            </w:pPr>
            <w:r w:rsidRPr="00AB3B6C">
              <w:rPr>
                <w:rFonts w:eastAsia="Calibri"/>
                <w:sz w:val="20"/>
              </w:rPr>
              <w:t>UTHSCT</w:t>
            </w:r>
            <w:r w:rsidRPr="00AB3B6C">
              <w:rPr>
                <w:rFonts w:eastAsia="Calibri"/>
                <w:sz w:val="20"/>
              </w:rPr>
              <w:t xml:space="preserve"> on behalf of </w:t>
            </w:r>
            <w:r w:rsidRPr="00AB3B6C">
              <w:rPr>
                <w:rFonts w:eastAsia="Calibri"/>
                <w:sz w:val="20"/>
              </w:rPr>
              <w:t>ETIHN</w:t>
            </w:r>
            <w:r w:rsidRPr="00AB3B6C">
              <w:rPr>
                <w:rFonts w:eastAsia="Calibri"/>
                <w:sz w:val="20"/>
              </w:rPr>
              <w:t>- Andrews Center</w:t>
            </w:r>
          </w:p>
        </w:tc>
        <w:tc>
          <w:tcPr>
            <w:tcW w:w="1011" w:type="dxa"/>
            <w:shd w:val="clear" w:color="auto" w:fill="auto"/>
          </w:tcPr>
          <w:p w:rsidR="00965215" w:rsidRPr="00AB3B6C" w:rsidP="00965215" w14:paraId="2811D0C8" w14:textId="77777777">
            <w:pPr>
              <w:rPr>
                <w:rFonts w:eastAsia="Calibri"/>
                <w:sz w:val="20"/>
              </w:rPr>
            </w:pPr>
            <w:r w:rsidRPr="00AB3B6C">
              <w:rPr>
                <w:rFonts w:eastAsia="Calibri"/>
                <w:sz w:val="20"/>
              </w:rPr>
              <w:t>2016</w:t>
            </w:r>
          </w:p>
        </w:tc>
        <w:tc>
          <w:tcPr>
            <w:tcW w:w="1695" w:type="dxa"/>
          </w:tcPr>
          <w:p w:rsidR="00965215" w:rsidRPr="00AB3B6C" w:rsidP="00965215" w14:paraId="4E8350A9" w14:textId="77777777">
            <w:pPr>
              <w:rPr>
                <w:rFonts w:eastAsia="Calibri"/>
                <w:sz w:val="20"/>
              </w:rPr>
            </w:pPr>
            <w:r w:rsidRPr="00AB3B6C">
              <w:rPr>
                <w:rFonts w:eastAsia="Calibri"/>
                <w:sz w:val="20"/>
              </w:rPr>
              <w:t>43155889</w:t>
            </w:r>
          </w:p>
        </w:tc>
        <w:tc>
          <w:tcPr>
            <w:tcW w:w="1882" w:type="dxa"/>
            <w:shd w:val="clear" w:color="auto" w:fill="auto"/>
          </w:tcPr>
          <w:p w:rsidR="00965215" w:rsidRPr="00AB3B6C" w:rsidP="00965215" w14:paraId="1EBA5297" w14:textId="77777777">
            <w:pPr>
              <w:rPr>
                <w:rFonts w:eastAsia="Calibri"/>
                <w:sz w:val="20"/>
              </w:rPr>
            </w:pPr>
            <w:r w:rsidRPr="00AB3B6C">
              <w:rPr>
                <w:rFonts w:eastAsia="Calibri"/>
                <w:sz w:val="20"/>
              </w:rPr>
              <w:t>1698229</w:t>
            </w:r>
          </w:p>
        </w:tc>
      </w:tr>
      <w:tr w14:paraId="2FD4C906" w14:textId="77777777" w:rsidTr="00AB3B6C">
        <w:tblPrEx>
          <w:tblW w:w="0" w:type="auto"/>
          <w:tblLook w:val="04A0"/>
        </w:tblPrEx>
        <w:trPr>
          <w:cantSplit/>
        </w:trPr>
        <w:tc>
          <w:tcPr>
            <w:tcW w:w="2075" w:type="dxa"/>
            <w:shd w:val="clear" w:color="auto" w:fill="auto"/>
          </w:tcPr>
          <w:p w:rsidR="00965215" w:rsidRPr="00AB3B6C" w:rsidP="00965215" w14:paraId="156BCFD3" w14:textId="77777777">
            <w:pPr>
              <w:rPr>
                <w:rFonts w:eastAsia="Calibri"/>
                <w:sz w:val="20"/>
              </w:rPr>
            </w:pPr>
            <w:r w:rsidRPr="00AB3B6C">
              <w:rPr>
                <w:rFonts w:eastAsia="Calibri"/>
                <w:sz w:val="20"/>
              </w:rPr>
              <w:t>34447</w:t>
            </w:r>
          </w:p>
        </w:tc>
        <w:tc>
          <w:tcPr>
            <w:tcW w:w="2690" w:type="dxa"/>
            <w:shd w:val="clear" w:color="auto" w:fill="auto"/>
          </w:tcPr>
          <w:p w:rsidR="00965215" w:rsidRPr="00AB3B6C" w:rsidP="00965215" w14:paraId="641097B5" w14:textId="77777777">
            <w:pPr>
              <w:rPr>
                <w:rFonts w:eastAsia="Calibri"/>
                <w:sz w:val="20"/>
              </w:rPr>
            </w:pPr>
            <w:r w:rsidRPr="00AB3B6C">
              <w:rPr>
                <w:rFonts w:eastAsia="Calibri"/>
                <w:sz w:val="20"/>
              </w:rPr>
              <w:t>UTHSCT</w:t>
            </w:r>
            <w:r w:rsidRPr="00AB3B6C">
              <w:rPr>
                <w:rFonts w:eastAsia="Calibri"/>
                <w:sz w:val="20"/>
              </w:rPr>
              <w:t xml:space="preserve"> on behalf of </w:t>
            </w:r>
            <w:r w:rsidRPr="00AB3B6C">
              <w:rPr>
                <w:rFonts w:eastAsia="Calibri"/>
                <w:sz w:val="20"/>
              </w:rPr>
              <w:t>ETIHN</w:t>
            </w:r>
            <w:r w:rsidRPr="00AB3B6C">
              <w:rPr>
                <w:rFonts w:eastAsia="Calibri"/>
                <w:sz w:val="20"/>
              </w:rPr>
              <w:t>- Andrews Center</w:t>
            </w:r>
          </w:p>
        </w:tc>
        <w:tc>
          <w:tcPr>
            <w:tcW w:w="1011" w:type="dxa"/>
            <w:shd w:val="clear" w:color="auto" w:fill="auto"/>
          </w:tcPr>
          <w:p w:rsidR="00965215" w:rsidRPr="00AB3B6C" w:rsidP="00965215" w14:paraId="6B98F496" w14:textId="77777777">
            <w:pPr>
              <w:rPr>
                <w:rFonts w:eastAsia="Calibri"/>
                <w:sz w:val="20"/>
              </w:rPr>
            </w:pPr>
            <w:r w:rsidRPr="00AB3B6C">
              <w:rPr>
                <w:rFonts w:eastAsia="Calibri"/>
                <w:sz w:val="20"/>
              </w:rPr>
              <w:t>2016</w:t>
            </w:r>
          </w:p>
        </w:tc>
        <w:tc>
          <w:tcPr>
            <w:tcW w:w="1695" w:type="dxa"/>
          </w:tcPr>
          <w:p w:rsidR="00965215" w:rsidRPr="00AB3B6C" w:rsidP="00965215" w14:paraId="65EC05AB" w14:textId="77777777">
            <w:pPr>
              <w:rPr>
                <w:rFonts w:eastAsia="Calibri"/>
                <w:sz w:val="20"/>
              </w:rPr>
            </w:pPr>
            <w:r w:rsidRPr="00AB3B6C">
              <w:rPr>
                <w:rFonts w:eastAsia="Calibri"/>
                <w:sz w:val="20"/>
              </w:rPr>
              <w:t>43155889</w:t>
            </w:r>
          </w:p>
        </w:tc>
        <w:tc>
          <w:tcPr>
            <w:tcW w:w="1882" w:type="dxa"/>
            <w:shd w:val="clear" w:color="auto" w:fill="auto"/>
          </w:tcPr>
          <w:p w:rsidR="00965215" w:rsidRPr="00AB3B6C" w:rsidP="00965215" w14:paraId="2AA24F9B" w14:textId="77777777">
            <w:pPr>
              <w:rPr>
                <w:rFonts w:eastAsia="Calibri"/>
                <w:sz w:val="20"/>
              </w:rPr>
            </w:pPr>
            <w:r w:rsidRPr="00AB3B6C">
              <w:rPr>
                <w:rFonts w:eastAsia="Calibri"/>
                <w:sz w:val="20"/>
              </w:rPr>
              <w:t>1698230</w:t>
            </w:r>
          </w:p>
        </w:tc>
      </w:tr>
      <w:tr w14:paraId="7D2E1EE4" w14:textId="77777777" w:rsidTr="00AB3B6C">
        <w:tblPrEx>
          <w:tblW w:w="0" w:type="auto"/>
          <w:tblLook w:val="04A0"/>
        </w:tblPrEx>
        <w:trPr>
          <w:cantSplit/>
        </w:trPr>
        <w:tc>
          <w:tcPr>
            <w:tcW w:w="2075" w:type="dxa"/>
            <w:shd w:val="clear" w:color="auto" w:fill="auto"/>
          </w:tcPr>
          <w:p w:rsidR="00965215" w:rsidRPr="00AB3B6C" w:rsidP="00965215" w14:paraId="1130AB3F" w14:textId="77777777">
            <w:pPr>
              <w:rPr>
                <w:rFonts w:eastAsia="Calibri"/>
                <w:sz w:val="20"/>
              </w:rPr>
            </w:pPr>
            <w:r w:rsidRPr="00AB3B6C">
              <w:rPr>
                <w:rFonts w:eastAsia="Calibri"/>
                <w:sz w:val="20"/>
              </w:rPr>
              <w:t>34447</w:t>
            </w:r>
          </w:p>
        </w:tc>
        <w:tc>
          <w:tcPr>
            <w:tcW w:w="2690" w:type="dxa"/>
            <w:shd w:val="clear" w:color="auto" w:fill="auto"/>
          </w:tcPr>
          <w:p w:rsidR="00965215" w:rsidRPr="00AB3B6C" w:rsidP="00965215" w14:paraId="13264EFB" w14:textId="77777777">
            <w:pPr>
              <w:rPr>
                <w:rFonts w:eastAsia="Calibri"/>
                <w:sz w:val="20"/>
              </w:rPr>
            </w:pPr>
            <w:r w:rsidRPr="00AB3B6C">
              <w:rPr>
                <w:rFonts w:eastAsia="Calibri"/>
                <w:sz w:val="20"/>
              </w:rPr>
              <w:t>UTHSCT</w:t>
            </w:r>
            <w:r w:rsidRPr="00AB3B6C">
              <w:rPr>
                <w:rFonts w:eastAsia="Calibri"/>
                <w:sz w:val="20"/>
              </w:rPr>
              <w:t xml:space="preserve"> on behalf of </w:t>
            </w:r>
            <w:r w:rsidRPr="00AB3B6C">
              <w:rPr>
                <w:rFonts w:eastAsia="Calibri"/>
                <w:sz w:val="20"/>
              </w:rPr>
              <w:t>ETIHN</w:t>
            </w:r>
            <w:r w:rsidRPr="00AB3B6C">
              <w:rPr>
                <w:rFonts w:eastAsia="Calibri"/>
                <w:sz w:val="20"/>
              </w:rPr>
              <w:t>- Andrews Center</w:t>
            </w:r>
          </w:p>
        </w:tc>
        <w:tc>
          <w:tcPr>
            <w:tcW w:w="1011" w:type="dxa"/>
            <w:shd w:val="clear" w:color="auto" w:fill="auto"/>
          </w:tcPr>
          <w:p w:rsidR="00965215" w:rsidRPr="00AB3B6C" w:rsidP="00965215" w14:paraId="3FB0A469" w14:textId="77777777">
            <w:pPr>
              <w:rPr>
                <w:rFonts w:eastAsia="Calibri"/>
                <w:sz w:val="20"/>
              </w:rPr>
            </w:pPr>
            <w:r w:rsidRPr="00AB3B6C">
              <w:rPr>
                <w:rFonts w:eastAsia="Calibri"/>
                <w:sz w:val="20"/>
              </w:rPr>
              <w:t>2016</w:t>
            </w:r>
          </w:p>
        </w:tc>
        <w:tc>
          <w:tcPr>
            <w:tcW w:w="1695" w:type="dxa"/>
          </w:tcPr>
          <w:p w:rsidR="00965215" w:rsidRPr="00AB3B6C" w:rsidP="00965215" w14:paraId="76A036F1" w14:textId="77777777">
            <w:pPr>
              <w:rPr>
                <w:rFonts w:eastAsia="Calibri"/>
                <w:sz w:val="20"/>
              </w:rPr>
            </w:pPr>
            <w:r w:rsidRPr="00AB3B6C">
              <w:rPr>
                <w:rFonts w:eastAsia="Calibri"/>
                <w:sz w:val="20"/>
              </w:rPr>
              <w:t>43165932</w:t>
            </w:r>
          </w:p>
        </w:tc>
        <w:tc>
          <w:tcPr>
            <w:tcW w:w="1882" w:type="dxa"/>
            <w:shd w:val="clear" w:color="auto" w:fill="auto"/>
          </w:tcPr>
          <w:p w:rsidR="00965215" w:rsidRPr="00AB3B6C" w:rsidP="00965215" w14:paraId="7B68C3D8" w14:textId="77777777">
            <w:pPr>
              <w:rPr>
                <w:rFonts w:eastAsia="Calibri"/>
                <w:sz w:val="20"/>
              </w:rPr>
            </w:pPr>
            <w:r w:rsidRPr="00AB3B6C">
              <w:rPr>
                <w:rFonts w:eastAsia="Calibri"/>
                <w:sz w:val="20"/>
              </w:rPr>
              <w:t>1698233</w:t>
            </w:r>
          </w:p>
        </w:tc>
      </w:tr>
    </w:tbl>
    <w:p w:rsidR="00965215" w:rsidRPr="00965215" w:rsidP="00965215" w14:paraId="6D64008B" w14:textId="77777777">
      <w:pPr>
        <w:rPr>
          <w:szCs w:val="22"/>
        </w:rPr>
      </w:pPr>
    </w:p>
    <w:p w:rsidR="00AB3B6C" w:rsidP="00AB3B6C" w14:paraId="78059543" w14:textId="77777777">
      <w:pPr>
        <w:widowControl/>
        <w:jc w:val="center"/>
        <w:rPr>
          <w:b/>
          <w:szCs w:val="22"/>
          <w:u w:val="single"/>
        </w:rPr>
        <w:sectPr w:rsidSect="00AB3B6C">
          <w:endnotePr>
            <w:numFmt w:val="decimal"/>
          </w:endnotePr>
          <w:pgSz w:w="12240" w:h="15840"/>
          <w:pgMar w:top="1440" w:right="1440" w:bottom="720" w:left="1440" w:header="720" w:footer="720" w:gutter="0"/>
          <w:cols w:space="720"/>
          <w:noEndnote/>
          <w:docGrid w:linePitch="299"/>
        </w:sectPr>
      </w:pPr>
    </w:p>
    <w:p w:rsidR="00965215" w:rsidP="00AB3B6C" w14:paraId="622CB46C" w14:textId="093C21CE">
      <w:pPr>
        <w:widowControl/>
        <w:jc w:val="center"/>
        <w:rPr>
          <w:b/>
          <w:szCs w:val="22"/>
          <w:u w:val="single"/>
        </w:rPr>
      </w:pPr>
      <w:r w:rsidRPr="00965215">
        <w:rPr>
          <w:b/>
          <w:szCs w:val="22"/>
          <w:u w:val="single"/>
        </w:rPr>
        <w:t>Appendix B</w:t>
      </w:r>
    </w:p>
    <w:p w:rsidR="00AB3B6C" w:rsidRPr="00AB3B6C" w:rsidP="00AB3B6C" w14:paraId="62E9960E" w14:textId="77777777">
      <w:pPr>
        <w:widowControl/>
        <w:jc w:val="center"/>
        <w:rPr>
          <w:b/>
          <w:caps/>
          <w:szCs w:val="22"/>
        </w:rPr>
      </w:pPr>
    </w:p>
    <w:p w:rsidR="00965215" w:rsidRPr="00965215" w:rsidP="00965215" w14:paraId="68127D55" w14:textId="77777777">
      <w:pPr>
        <w:jc w:val="center"/>
        <w:rPr>
          <w:b/>
          <w:szCs w:val="22"/>
        </w:rPr>
      </w:pPr>
      <w:r w:rsidRPr="00965215">
        <w:rPr>
          <w:b/>
          <w:szCs w:val="22"/>
        </w:rPr>
        <w:t xml:space="preserve">FY 2012 - 2015 </w:t>
      </w:r>
      <w:r w:rsidRPr="00965215">
        <w:rPr>
          <w:b/>
          <w:szCs w:val="22"/>
        </w:rPr>
        <w:t>FRNs</w:t>
      </w:r>
      <w:r w:rsidRPr="00965215">
        <w:rPr>
          <w:b/>
          <w:szCs w:val="22"/>
        </w:rPr>
        <w:t xml:space="preserve"> Subject to Commitment Adjustments</w:t>
      </w:r>
    </w:p>
    <w:p w:rsidR="00965215" w:rsidRPr="00965215" w:rsidP="00965215" w14:paraId="285F0783" w14:textId="77777777">
      <w:pPr>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2690"/>
        <w:gridCol w:w="1011"/>
        <w:gridCol w:w="1695"/>
        <w:gridCol w:w="1882"/>
      </w:tblGrid>
      <w:tr w14:paraId="47E59147" w14:textId="77777777" w:rsidTr="007D6F8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075" w:type="dxa"/>
            <w:shd w:val="clear" w:color="auto" w:fill="auto"/>
          </w:tcPr>
          <w:p w:rsidR="00965215" w:rsidP="007D6F85" w14:paraId="425039FD" w14:textId="77777777">
            <w:pPr>
              <w:jc w:val="center"/>
              <w:rPr>
                <w:rFonts w:eastAsia="Calibri"/>
                <w:b/>
                <w:sz w:val="20"/>
              </w:rPr>
            </w:pPr>
            <w:r w:rsidRPr="007D6F85">
              <w:rPr>
                <w:rFonts w:eastAsia="Calibri"/>
                <w:b/>
                <w:sz w:val="20"/>
              </w:rPr>
              <w:t>Healthcare Provider Number</w:t>
            </w:r>
          </w:p>
          <w:p w:rsidR="007D6F85" w:rsidRPr="007D6F85" w:rsidP="007D6F85" w14:paraId="60AFFA10" w14:textId="5DFCB247">
            <w:pPr>
              <w:jc w:val="center"/>
              <w:rPr>
                <w:rFonts w:eastAsia="Calibri"/>
                <w:b/>
                <w:sz w:val="20"/>
              </w:rPr>
            </w:pPr>
          </w:p>
        </w:tc>
        <w:tc>
          <w:tcPr>
            <w:tcW w:w="2690" w:type="dxa"/>
            <w:shd w:val="clear" w:color="auto" w:fill="auto"/>
          </w:tcPr>
          <w:p w:rsidR="00965215" w:rsidRPr="007D6F85" w:rsidP="007D6F85" w14:paraId="5A1930F8" w14:textId="77777777">
            <w:pPr>
              <w:jc w:val="center"/>
              <w:rPr>
                <w:rFonts w:eastAsia="Calibri"/>
                <w:b/>
                <w:sz w:val="20"/>
              </w:rPr>
            </w:pPr>
            <w:r w:rsidRPr="007D6F85">
              <w:rPr>
                <w:rFonts w:eastAsia="Calibri"/>
                <w:b/>
                <w:sz w:val="20"/>
              </w:rPr>
              <w:t>Healthcare Provider Name</w:t>
            </w:r>
          </w:p>
        </w:tc>
        <w:tc>
          <w:tcPr>
            <w:tcW w:w="1011" w:type="dxa"/>
            <w:shd w:val="clear" w:color="auto" w:fill="auto"/>
          </w:tcPr>
          <w:p w:rsidR="00965215" w:rsidRPr="007D6F85" w:rsidP="007D6F85" w14:paraId="13788F49" w14:textId="77777777">
            <w:pPr>
              <w:jc w:val="center"/>
              <w:rPr>
                <w:rFonts w:eastAsia="Calibri"/>
                <w:b/>
                <w:sz w:val="20"/>
              </w:rPr>
            </w:pPr>
            <w:r w:rsidRPr="007D6F85">
              <w:rPr>
                <w:rFonts w:eastAsia="Calibri"/>
                <w:b/>
                <w:sz w:val="20"/>
              </w:rPr>
              <w:t>Funding Year</w:t>
            </w:r>
          </w:p>
        </w:tc>
        <w:tc>
          <w:tcPr>
            <w:tcW w:w="1695" w:type="dxa"/>
          </w:tcPr>
          <w:p w:rsidR="00965215" w:rsidRPr="007D6F85" w:rsidP="007D6F85" w14:paraId="131D9A4C" w14:textId="77777777">
            <w:pPr>
              <w:jc w:val="center"/>
              <w:rPr>
                <w:rFonts w:eastAsia="Calibri"/>
                <w:b/>
                <w:sz w:val="20"/>
              </w:rPr>
            </w:pPr>
            <w:r w:rsidRPr="007D6F85">
              <w:rPr>
                <w:rFonts w:eastAsia="Calibri"/>
                <w:b/>
                <w:sz w:val="20"/>
              </w:rPr>
              <w:t>FCC Form 465</w:t>
            </w:r>
          </w:p>
        </w:tc>
        <w:tc>
          <w:tcPr>
            <w:tcW w:w="1882" w:type="dxa"/>
            <w:shd w:val="clear" w:color="auto" w:fill="auto"/>
          </w:tcPr>
          <w:p w:rsidR="00965215" w:rsidRPr="007D6F85" w:rsidP="007D6F85" w14:paraId="71B5009E" w14:textId="77777777">
            <w:pPr>
              <w:jc w:val="center"/>
              <w:rPr>
                <w:rFonts w:eastAsia="Calibri"/>
                <w:b/>
                <w:sz w:val="20"/>
              </w:rPr>
            </w:pPr>
            <w:r w:rsidRPr="007D6F85">
              <w:rPr>
                <w:rFonts w:eastAsia="Calibri"/>
                <w:b/>
                <w:sz w:val="20"/>
              </w:rPr>
              <w:t>Funding Request Number</w:t>
            </w:r>
          </w:p>
        </w:tc>
      </w:tr>
      <w:tr w14:paraId="4312A4CE" w14:textId="77777777" w:rsidTr="007D6F85">
        <w:tblPrEx>
          <w:tblW w:w="0" w:type="auto"/>
          <w:tblLook w:val="04A0"/>
        </w:tblPrEx>
        <w:trPr>
          <w:cantSplit/>
        </w:trPr>
        <w:tc>
          <w:tcPr>
            <w:tcW w:w="2075" w:type="dxa"/>
            <w:shd w:val="clear" w:color="auto" w:fill="auto"/>
          </w:tcPr>
          <w:p w:rsidR="00965215" w:rsidRPr="007D6F85" w:rsidP="00965215" w14:paraId="4D032F94"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0E4511FE"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0ACFECDB" w14:textId="77777777">
            <w:pPr>
              <w:rPr>
                <w:rFonts w:eastAsia="Calibri"/>
                <w:sz w:val="20"/>
              </w:rPr>
            </w:pPr>
            <w:r w:rsidRPr="007D6F85">
              <w:rPr>
                <w:rFonts w:eastAsia="Calibri"/>
                <w:sz w:val="20"/>
              </w:rPr>
              <w:t>2012</w:t>
            </w:r>
          </w:p>
        </w:tc>
        <w:tc>
          <w:tcPr>
            <w:tcW w:w="1695" w:type="dxa"/>
          </w:tcPr>
          <w:p w:rsidR="00965215" w:rsidRPr="007D6F85" w:rsidP="00965215" w14:paraId="65BE4E25" w14:textId="77777777">
            <w:pPr>
              <w:rPr>
                <w:rFonts w:eastAsia="Calibri"/>
                <w:sz w:val="20"/>
              </w:rPr>
            </w:pPr>
            <w:r w:rsidRPr="007D6F85">
              <w:rPr>
                <w:rFonts w:eastAsia="Calibri"/>
                <w:sz w:val="20"/>
              </w:rPr>
              <w:t>43123237</w:t>
            </w:r>
          </w:p>
        </w:tc>
        <w:tc>
          <w:tcPr>
            <w:tcW w:w="1882" w:type="dxa"/>
            <w:shd w:val="clear" w:color="auto" w:fill="auto"/>
          </w:tcPr>
          <w:p w:rsidR="00965215" w:rsidRPr="007D6F85" w:rsidP="00965215" w14:paraId="50C8D14F" w14:textId="77777777">
            <w:pPr>
              <w:rPr>
                <w:rFonts w:eastAsia="Calibri"/>
                <w:sz w:val="20"/>
              </w:rPr>
            </w:pPr>
            <w:r w:rsidRPr="007D6F85">
              <w:rPr>
                <w:rFonts w:eastAsia="Calibri"/>
                <w:sz w:val="20"/>
              </w:rPr>
              <w:t>1210028</w:t>
            </w:r>
          </w:p>
        </w:tc>
      </w:tr>
      <w:tr w14:paraId="4C3359B4" w14:textId="77777777" w:rsidTr="007D6F85">
        <w:tblPrEx>
          <w:tblW w:w="0" w:type="auto"/>
          <w:tblLook w:val="04A0"/>
        </w:tblPrEx>
        <w:trPr>
          <w:cantSplit/>
        </w:trPr>
        <w:tc>
          <w:tcPr>
            <w:tcW w:w="2075" w:type="dxa"/>
            <w:shd w:val="clear" w:color="auto" w:fill="auto"/>
          </w:tcPr>
          <w:p w:rsidR="00965215" w:rsidRPr="007D6F85" w:rsidP="00965215" w14:paraId="3D495C43"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42653F9F"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414682F7" w14:textId="77777777">
            <w:pPr>
              <w:rPr>
                <w:rFonts w:eastAsia="Calibri"/>
                <w:sz w:val="20"/>
              </w:rPr>
            </w:pPr>
            <w:r w:rsidRPr="007D6F85">
              <w:rPr>
                <w:rFonts w:eastAsia="Calibri"/>
                <w:sz w:val="20"/>
              </w:rPr>
              <w:t>2012</w:t>
            </w:r>
          </w:p>
        </w:tc>
        <w:tc>
          <w:tcPr>
            <w:tcW w:w="1695" w:type="dxa"/>
          </w:tcPr>
          <w:p w:rsidR="00965215" w:rsidRPr="007D6F85" w:rsidP="00965215" w14:paraId="491B0D27" w14:textId="77777777">
            <w:pPr>
              <w:rPr>
                <w:rFonts w:eastAsia="Calibri"/>
                <w:sz w:val="20"/>
              </w:rPr>
            </w:pPr>
            <w:r w:rsidRPr="007D6F85">
              <w:rPr>
                <w:rFonts w:eastAsia="Calibri"/>
                <w:sz w:val="20"/>
              </w:rPr>
              <w:t>43123239</w:t>
            </w:r>
          </w:p>
        </w:tc>
        <w:tc>
          <w:tcPr>
            <w:tcW w:w="1882" w:type="dxa"/>
            <w:shd w:val="clear" w:color="auto" w:fill="auto"/>
          </w:tcPr>
          <w:p w:rsidR="00965215" w:rsidRPr="007D6F85" w:rsidP="00965215" w14:paraId="2DD47FB0" w14:textId="77777777">
            <w:pPr>
              <w:rPr>
                <w:rFonts w:eastAsia="Calibri"/>
                <w:sz w:val="20"/>
              </w:rPr>
            </w:pPr>
            <w:r w:rsidRPr="007D6F85">
              <w:rPr>
                <w:rFonts w:eastAsia="Calibri"/>
                <w:sz w:val="20"/>
              </w:rPr>
              <w:t>1210032</w:t>
            </w:r>
          </w:p>
        </w:tc>
      </w:tr>
      <w:tr w14:paraId="69490158" w14:textId="77777777" w:rsidTr="007D6F85">
        <w:tblPrEx>
          <w:tblW w:w="0" w:type="auto"/>
          <w:tblLook w:val="04A0"/>
        </w:tblPrEx>
        <w:trPr>
          <w:cantSplit/>
        </w:trPr>
        <w:tc>
          <w:tcPr>
            <w:tcW w:w="2075" w:type="dxa"/>
            <w:shd w:val="clear" w:color="auto" w:fill="auto"/>
          </w:tcPr>
          <w:p w:rsidR="00965215" w:rsidRPr="007D6F85" w:rsidP="00965215" w14:paraId="69053544"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07D95A9B"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3875AB2D" w14:textId="77777777">
            <w:pPr>
              <w:rPr>
                <w:rFonts w:eastAsia="Calibri"/>
                <w:sz w:val="20"/>
              </w:rPr>
            </w:pPr>
            <w:r w:rsidRPr="007D6F85">
              <w:rPr>
                <w:rFonts w:eastAsia="Calibri"/>
                <w:sz w:val="20"/>
              </w:rPr>
              <w:t>2012</w:t>
            </w:r>
          </w:p>
        </w:tc>
        <w:tc>
          <w:tcPr>
            <w:tcW w:w="1695" w:type="dxa"/>
          </w:tcPr>
          <w:p w:rsidR="00965215" w:rsidRPr="007D6F85" w:rsidP="00965215" w14:paraId="1534A009" w14:textId="77777777">
            <w:pPr>
              <w:rPr>
                <w:rFonts w:eastAsia="Calibri"/>
                <w:sz w:val="20"/>
              </w:rPr>
            </w:pPr>
            <w:r w:rsidRPr="007D6F85">
              <w:rPr>
                <w:rFonts w:eastAsia="Calibri"/>
                <w:sz w:val="20"/>
              </w:rPr>
              <w:t>43123240</w:t>
            </w:r>
          </w:p>
        </w:tc>
        <w:tc>
          <w:tcPr>
            <w:tcW w:w="1882" w:type="dxa"/>
            <w:shd w:val="clear" w:color="auto" w:fill="auto"/>
          </w:tcPr>
          <w:p w:rsidR="00965215" w:rsidRPr="007D6F85" w:rsidP="00965215" w14:paraId="1EEC4613" w14:textId="77777777">
            <w:pPr>
              <w:rPr>
                <w:rFonts w:eastAsia="Calibri"/>
                <w:sz w:val="20"/>
              </w:rPr>
            </w:pPr>
            <w:r w:rsidRPr="007D6F85">
              <w:rPr>
                <w:rFonts w:eastAsia="Calibri"/>
                <w:sz w:val="20"/>
              </w:rPr>
              <w:t>1210038</w:t>
            </w:r>
          </w:p>
        </w:tc>
      </w:tr>
      <w:tr w14:paraId="56511A28" w14:textId="77777777" w:rsidTr="007D6F85">
        <w:tblPrEx>
          <w:tblW w:w="0" w:type="auto"/>
          <w:tblLook w:val="04A0"/>
        </w:tblPrEx>
        <w:trPr>
          <w:cantSplit/>
        </w:trPr>
        <w:tc>
          <w:tcPr>
            <w:tcW w:w="2075" w:type="dxa"/>
            <w:shd w:val="clear" w:color="auto" w:fill="auto"/>
          </w:tcPr>
          <w:p w:rsidR="00965215" w:rsidRPr="007D6F85" w:rsidP="00965215" w14:paraId="30C580E2"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23EE37DE"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04E20A5B" w14:textId="77777777">
            <w:pPr>
              <w:rPr>
                <w:rFonts w:eastAsia="Calibri"/>
                <w:sz w:val="20"/>
              </w:rPr>
            </w:pPr>
            <w:r w:rsidRPr="007D6F85">
              <w:rPr>
                <w:rFonts w:eastAsia="Calibri"/>
                <w:sz w:val="20"/>
              </w:rPr>
              <w:t>2013</w:t>
            </w:r>
          </w:p>
        </w:tc>
        <w:tc>
          <w:tcPr>
            <w:tcW w:w="1695" w:type="dxa"/>
          </w:tcPr>
          <w:p w:rsidR="00965215" w:rsidRPr="007D6F85" w:rsidP="00965215" w14:paraId="6EB3FC34" w14:textId="77777777">
            <w:pPr>
              <w:rPr>
                <w:rFonts w:eastAsia="Calibri"/>
                <w:sz w:val="20"/>
              </w:rPr>
            </w:pPr>
            <w:r w:rsidRPr="007D6F85">
              <w:rPr>
                <w:rFonts w:eastAsia="Calibri"/>
                <w:sz w:val="20"/>
              </w:rPr>
              <w:t>43123237</w:t>
            </w:r>
          </w:p>
        </w:tc>
        <w:tc>
          <w:tcPr>
            <w:tcW w:w="1882" w:type="dxa"/>
            <w:shd w:val="clear" w:color="auto" w:fill="auto"/>
          </w:tcPr>
          <w:p w:rsidR="00965215" w:rsidRPr="007D6F85" w:rsidP="00965215" w14:paraId="09DF4B1C" w14:textId="77777777">
            <w:pPr>
              <w:rPr>
                <w:rFonts w:eastAsia="Calibri"/>
                <w:sz w:val="20"/>
              </w:rPr>
            </w:pPr>
            <w:r w:rsidRPr="007D6F85">
              <w:rPr>
                <w:rFonts w:eastAsia="Calibri"/>
                <w:sz w:val="20"/>
              </w:rPr>
              <w:t>1332019</w:t>
            </w:r>
          </w:p>
        </w:tc>
      </w:tr>
      <w:tr w14:paraId="3F3AD1D7" w14:textId="77777777" w:rsidTr="007D6F85">
        <w:tblPrEx>
          <w:tblW w:w="0" w:type="auto"/>
          <w:tblLook w:val="04A0"/>
        </w:tblPrEx>
        <w:trPr>
          <w:cantSplit/>
        </w:trPr>
        <w:tc>
          <w:tcPr>
            <w:tcW w:w="2075" w:type="dxa"/>
            <w:shd w:val="clear" w:color="auto" w:fill="auto"/>
          </w:tcPr>
          <w:p w:rsidR="00965215" w:rsidRPr="007D6F85" w:rsidP="00965215" w14:paraId="00655816"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4AF0F884"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197AC676" w14:textId="77777777">
            <w:pPr>
              <w:rPr>
                <w:rFonts w:eastAsia="Calibri"/>
                <w:sz w:val="20"/>
              </w:rPr>
            </w:pPr>
            <w:r w:rsidRPr="007D6F85">
              <w:rPr>
                <w:rFonts w:eastAsia="Calibri"/>
                <w:sz w:val="20"/>
              </w:rPr>
              <w:t>2014</w:t>
            </w:r>
          </w:p>
        </w:tc>
        <w:tc>
          <w:tcPr>
            <w:tcW w:w="1695" w:type="dxa"/>
          </w:tcPr>
          <w:p w:rsidR="00965215" w:rsidRPr="007D6F85" w:rsidP="00965215" w14:paraId="161C4AF3" w14:textId="77777777">
            <w:pPr>
              <w:rPr>
                <w:rFonts w:eastAsia="Calibri"/>
                <w:sz w:val="20"/>
              </w:rPr>
            </w:pPr>
            <w:r w:rsidRPr="007D6F85">
              <w:rPr>
                <w:rFonts w:eastAsia="Calibri"/>
                <w:sz w:val="20"/>
              </w:rPr>
              <w:t>43123240</w:t>
            </w:r>
          </w:p>
        </w:tc>
        <w:tc>
          <w:tcPr>
            <w:tcW w:w="1882" w:type="dxa"/>
            <w:shd w:val="clear" w:color="auto" w:fill="auto"/>
          </w:tcPr>
          <w:p w:rsidR="00965215" w:rsidRPr="007D6F85" w:rsidP="00965215" w14:paraId="56741AF3" w14:textId="77777777">
            <w:pPr>
              <w:rPr>
                <w:rFonts w:eastAsia="Calibri"/>
                <w:sz w:val="20"/>
              </w:rPr>
            </w:pPr>
            <w:r w:rsidRPr="007D6F85">
              <w:rPr>
                <w:rFonts w:eastAsia="Calibri"/>
                <w:sz w:val="20"/>
              </w:rPr>
              <w:t>1455788</w:t>
            </w:r>
          </w:p>
        </w:tc>
      </w:tr>
      <w:tr w14:paraId="761AEA52" w14:textId="77777777" w:rsidTr="007D6F85">
        <w:tblPrEx>
          <w:tblW w:w="0" w:type="auto"/>
          <w:tblLook w:val="04A0"/>
        </w:tblPrEx>
        <w:trPr>
          <w:cantSplit/>
        </w:trPr>
        <w:tc>
          <w:tcPr>
            <w:tcW w:w="2075" w:type="dxa"/>
            <w:shd w:val="clear" w:color="auto" w:fill="auto"/>
          </w:tcPr>
          <w:p w:rsidR="00965215" w:rsidRPr="007D6F85" w:rsidP="00965215" w14:paraId="4E90FEB8"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2B88BBFA"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37A02536" w14:textId="77777777">
            <w:pPr>
              <w:rPr>
                <w:rFonts w:eastAsia="Calibri"/>
                <w:sz w:val="20"/>
              </w:rPr>
            </w:pPr>
            <w:r w:rsidRPr="007D6F85">
              <w:rPr>
                <w:rFonts w:eastAsia="Calibri"/>
                <w:sz w:val="20"/>
              </w:rPr>
              <w:t>2014</w:t>
            </w:r>
          </w:p>
        </w:tc>
        <w:tc>
          <w:tcPr>
            <w:tcW w:w="1695" w:type="dxa"/>
          </w:tcPr>
          <w:p w:rsidR="00965215" w:rsidRPr="007D6F85" w:rsidP="00965215" w14:paraId="15C055B9" w14:textId="77777777">
            <w:pPr>
              <w:rPr>
                <w:rFonts w:eastAsia="Calibri"/>
                <w:sz w:val="20"/>
              </w:rPr>
            </w:pPr>
            <w:r w:rsidRPr="007D6F85">
              <w:rPr>
                <w:rFonts w:eastAsia="Calibri"/>
                <w:sz w:val="20"/>
              </w:rPr>
              <w:t>43123237</w:t>
            </w:r>
          </w:p>
        </w:tc>
        <w:tc>
          <w:tcPr>
            <w:tcW w:w="1882" w:type="dxa"/>
            <w:shd w:val="clear" w:color="auto" w:fill="auto"/>
          </w:tcPr>
          <w:p w:rsidR="00965215" w:rsidRPr="007D6F85" w:rsidP="00965215" w14:paraId="0EA54A2A" w14:textId="77777777">
            <w:pPr>
              <w:rPr>
                <w:rFonts w:eastAsia="Calibri"/>
                <w:sz w:val="20"/>
              </w:rPr>
            </w:pPr>
            <w:r w:rsidRPr="007D6F85">
              <w:rPr>
                <w:rFonts w:eastAsia="Calibri"/>
                <w:sz w:val="20"/>
              </w:rPr>
              <w:t>1455793</w:t>
            </w:r>
          </w:p>
        </w:tc>
      </w:tr>
      <w:tr w14:paraId="1C6EC663" w14:textId="77777777" w:rsidTr="007D6F85">
        <w:tblPrEx>
          <w:tblW w:w="0" w:type="auto"/>
          <w:tblLook w:val="04A0"/>
        </w:tblPrEx>
        <w:trPr>
          <w:cantSplit/>
        </w:trPr>
        <w:tc>
          <w:tcPr>
            <w:tcW w:w="2075" w:type="dxa"/>
            <w:shd w:val="clear" w:color="auto" w:fill="auto"/>
          </w:tcPr>
          <w:p w:rsidR="00965215" w:rsidRPr="007D6F85" w:rsidP="00965215" w14:paraId="019C4D6B"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6452BEA3"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556858F8" w14:textId="77777777">
            <w:pPr>
              <w:rPr>
                <w:rFonts w:eastAsia="Calibri"/>
                <w:sz w:val="20"/>
              </w:rPr>
            </w:pPr>
            <w:r w:rsidRPr="007D6F85">
              <w:rPr>
                <w:rFonts w:eastAsia="Calibri"/>
                <w:sz w:val="20"/>
              </w:rPr>
              <w:t>2014</w:t>
            </w:r>
          </w:p>
        </w:tc>
        <w:tc>
          <w:tcPr>
            <w:tcW w:w="1695" w:type="dxa"/>
          </w:tcPr>
          <w:p w:rsidR="00965215" w:rsidRPr="007D6F85" w:rsidP="00965215" w14:paraId="1F29FAA9" w14:textId="77777777">
            <w:pPr>
              <w:rPr>
                <w:rFonts w:eastAsia="Calibri"/>
                <w:sz w:val="20"/>
              </w:rPr>
            </w:pPr>
            <w:r w:rsidRPr="007D6F85">
              <w:rPr>
                <w:rFonts w:eastAsia="Calibri"/>
                <w:sz w:val="20"/>
              </w:rPr>
              <w:t>43133868</w:t>
            </w:r>
          </w:p>
        </w:tc>
        <w:tc>
          <w:tcPr>
            <w:tcW w:w="1882" w:type="dxa"/>
            <w:shd w:val="clear" w:color="auto" w:fill="auto"/>
          </w:tcPr>
          <w:p w:rsidR="00965215" w:rsidRPr="007D6F85" w:rsidP="00965215" w14:paraId="2881F3B2" w14:textId="77777777">
            <w:pPr>
              <w:rPr>
                <w:rFonts w:eastAsia="Calibri"/>
                <w:sz w:val="20"/>
              </w:rPr>
            </w:pPr>
            <w:r w:rsidRPr="007D6F85">
              <w:rPr>
                <w:rFonts w:eastAsia="Calibri"/>
                <w:sz w:val="20"/>
              </w:rPr>
              <w:t>1455796</w:t>
            </w:r>
          </w:p>
        </w:tc>
      </w:tr>
      <w:tr w14:paraId="5CEF9B3E" w14:textId="77777777" w:rsidTr="007D6F85">
        <w:tblPrEx>
          <w:tblW w:w="0" w:type="auto"/>
          <w:tblLook w:val="04A0"/>
        </w:tblPrEx>
        <w:trPr>
          <w:cantSplit/>
        </w:trPr>
        <w:tc>
          <w:tcPr>
            <w:tcW w:w="2075" w:type="dxa"/>
            <w:shd w:val="clear" w:color="auto" w:fill="auto"/>
          </w:tcPr>
          <w:p w:rsidR="00965215" w:rsidRPr="007D6F85" w:rsidP="00965215" w14:paraId="60BD8BD2"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62A9D88B"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28E543DC" w14:textId="77777777">
            <w:pPr>
              <w:rPr>
                <w:rFonts w:eastAsia="Calibri"/>
                <w:sz w:val="20"/>
              </w:rPr>
            </w:pPr>
            <w:r w:rsidRPr="007D6F85">
              <w:rPr>
                <w:rFonts w:eastAsia="Calibri"/>
                <w:sz w:val="20"/>
              </w:rPr>
              <w:t>2014</w:t>
            </w:r>
          </w:p>
        </w:tc>
        <w:tc>
          <w:tcPr>
            <w:tcW w:w="1695" w:type="dxa"/>
          </w:tcPr>
          <w:p w:rsidR="00965215" w:rsidRPr="007D6F85" w:rsidP="00965215" w14:paraId="7E690FF5" w14:textId="77777777">
            <w:pPr>
              <w:rPr>
                <w:rFonts w:eastAsia="Calibri"/>
                <w:sz w:val="20"/>
              </w:rPr>
            </w:pPr>
            <w:r w:rsidRPr="007D6F85">
              <w:rPr>
                <w:rFonts w:eastAsia="Calibri"/>
                <w:sz w:val="20"/>
              </w:rPr>
              <w:t>43133868</w:t>
            </w:r>
          </w:p>
        </w:tc>
        <w:tc>
          <w:tcPr>
            <w:tcW w:w="1882" w:type="dxa"/>
            <w:shd w:val="clear" w:color="auto" w:fill="auto"/>
          </w:tcPr>
          <w:p w:rsidR="00965215" w:rsidRPr="007D6F85" w:rsidP="00965215" w14:paraId="1F961D52" w14:textId="77777777">
            <w:pPr>
              <w:rPr>
                <w:rFonts w:eastAsia="Calibri"/>
                <w:sz w:val="20"/>
              </w:rPr>
            </w:pPr>
            <w:r w:rsidRPr="007D6F85">
              <w:rPr>
                <w:rFonts w:eastAsia="Calibri"/>
                <w:sz w:val="20"/>
              </w:rPr>
              <w:t>1455797</w:t>
            </w:r>
          </w:p>
        </w:tc>
      </w:tr>
      <w:tr w14:paraId="6FA0E056" w14:textId="77777777" w:rsidTr="007D6F85">
        <w:tblPrEx>
          <w:tblW w:w="0" w:type="auto"/>
          <w:tblLook w:val="04A0"/>
        </w:tblPrEx>
        <w:trPr>
          <w:cantSplit/>
        </w:trPr>
        <w:tc>
          <w:tcPr>
            <w:tcW w:w="2075" w:type="dxa"/>
            <w:shd w:val="clear" w:color="auto" w:fill="auto"/>
          </w:tcPr>
          <w:p w:rsidR="00965215" w:rsidRPr="007D6F85" w:rsidP="00965215" w14:paraId="6F238C29"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41C4FDA6"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3D43B3C7" w14:textId="77777777">
            <w:pPr>
              <w:rPr>
                <w:rFonts w:eastAsia="Calibri"/>
                <w:sz w:val="20"/>
              </w:rPr>
            </w:pPr>
            <w:r w:rsidRPr="007D6F85">
              <w:rPr>
                <w:rFonts w:eastAsia="Calibri"/>
                <w:sz w:val="20"/>
              </w:rPr>
              <w:t>2014</w:t>
            </w:r>
          </w:p>
        </w:tc>
        <w:tc>
          <w:tcPr>
            <w:tcW w:w="1695" w:type="dxa"/>
          </w:tcPr>
          <w:p w:rsidR="00965215" w:rsidRPr="007D6F85" w:rsidP="00965215" w14:paraId="6954B767" w14:textId="77777777">
            <w:pPr>
              <w:rPr>
                <w:rFonts w:eastAsia="Calibri"/>
                <w:sz w:val="20"/>
              </w:rPr>
            </w:pPr>
            <w:r w:rsidRPr="007D6F85">
              <w:rPr>
                <w:rFonts w:eastAsia="Calibri"/>
                <w:sz w:val="20"/>
              </w:rPr>
              <w:t>43133868</w:t>
            </w:r>
          </w:p>
        </w:tc>
        <w:tc>
          <w:tcPr>
            <w:tcW w:w="1882" w:type="dxa"/>
            <w:shd w:val="clear" w:color="auto" w:fill="auto"/>
          </w:tcPr>
          <w:p w:rsidR="00965215" w:rsidRPr="007D6F85" w:rsidP="00965215" w14:paraId="720CC9A6" w14:textId="77777777">
            <w:pPr>
              <w:rPr>
                <w:rFonts w:eastAsia="Calibri"/>
                <w:sz w:val="20"/>
              </w:rPr>
            </w:pPr>
            <w:r w:rsidRPr="007D6F85">
              <w:rPr>
                <w:rFonts w:eastAsia="Calibri"/>
                <w:sz w:val="20"/>
              </w:rPr>
              <w:t>1455798</w:t>
            </w:r>
          </w:p>
        </w:tc>
      </w:tr>
      <w:tr w14:paraId="0C658457" w14:textId="77777777" w:rsidTr="007D6F85">
        <w:tblPrEx>
          <w:tblW w:w="0" w:type="auto"/>
          <w:tblLook w:val="04A0"/>
        </w:tblPrEx>
        <w:trPr>
          <w:cantSplit/>
        </w:trPr>
        <w:tc>
          <w:tcPr>
            <w:tcW w:w="2075" w:type="dxa"/>
            <w:shd w:val="clear" w:color="auto" w:fill="auto"/>
          </w:tcPr>
          <w:p w:rsidR="00965215" w:rsidRPr="007D6F85" w:rsidP="00965215" w14:paraId="09CB26FA"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51A2EF4E"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72C35CCC" w14:textId="77777777">
            <w:pPr>
              <w:rPr>
                <w:rFonts w:eastAsia="Calibri"/>
                <w:sz w:val="20"/>
              </w:rPr>
            </w:pPr>
            <w:r w:rsidRPr="007D6F85">
              <w:rPr>
                <w:rFonts w:eastAsia="Calibri"/>
                <w:sz w:val="20"/>
              </w:rPr>
              <w:t>2014</w:t>
            </w:r>
          </w:p>
        </w:tc>
        <w:tc>
          <w:tcPr>
            <w:tcW w:w="1695" w:type="dxa"/>
          </w:tcPr>
          <w:p w:rsidR="00965215" w:rsidRPr="007D6F85" w:rsidP="00965215" w14:paraId="4BCBF9AA" w14:textId="77777777">
            <w:pPr>
              <w:rPr>
                <w:rFonts w:eastAsia="Calibri"/>
                <w:sz w:val="20"/>
              </w:rPr>
            </w:pPr>
            <w:r w:rsidRPr="007D6F85">
              <w:rPr>
                <w:rFonts w:eastAsia="Calibri"/>
                <w:sz w:val="20"/>
              </w:rPr>
              <w:t>43133868</w:t>
            </w:r>
          </w:p>
        </w:tc>
        <w:tc>
          <w:tcPr>
            <w:tcW w:w="1882" w:type="dxa"/>
            <w:shd w:val="clear" w:color="auto" w:fill="auto"/>
          </w:tcPr>
          <w:p w:rsidR="00965215" w:rsidRPr="007D6F85" w:rsidP="00965215" w14:paraId="6B35DCD3" w14:textId="77777777">
            <w:pPr>
              <w:rPr>
                <w:rFonts w:eastAsia="Calibri"/>
                <w:sz w:val="20"/>
              </w:rPr>
            </w:pPr>
            <w:r w:rsidRPr="007D6F85">
              <w:rPr>
                <w:rFonts w:eastAsia="Calibri"/>
                <w:sz w:val="20"/>
              </w:rPr>
              <w:t>1456124</w:t>
            </w:r>
          </w:p>
        </w:tc>
      </w:tr>
      <w:tr w14:paraId="248FB279" w14:textId="77777777" w:rsidTr="007D6F85">
        <w:tblPrEx>
          <w:tblW w:w="0" w:type="auto"/>
          <w:tblLook w:val="04A0"/>
        </w:tblPrEx>
        <w:trPr>
          <w:cantSplit/>
        </w:trPr>
        <w:tc>
          <w:tcPr>
            <w:tcW w:w="2075" w:type="dxa"/>
            <w:shd w:val="clear" w:color="auto" w:fill="auto"/>
          </w:tcPr>
          <w:p w:rsidR="00965215" w:rsidRPr="007D6F85" w:rsidP="00965215" w14:paraId="2D92B07C"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6F894555"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0035C83E" w14:textId="77777777">
            <w:pPr>
              <w:rPr>
                <w:rFonts w:eastAsia="Calibri"/>
                <w:sz w:val="20"/>
              </w:rPr>
            </w:pPr>
            <w:r w:rsidRPr="007D6F85">
              <w:rPr>
                <w:rFonts w:eastAsia="Calibri"/>
                <w:sz w:val="20"/>
              </w:rPr>
              <w:t>2014</w:t>
            </w:r>
          </w:p>
        </w:tc>
        <w:tc>
          <w:tcPr>
            <w:tcW w:w="1695" w:type="dxa"/>
          </w:tcPr>
          <w:p w:rsidR="00965215" w:rsidRPr="007D6F85" w:rsidP="00965215" w14:paraId="2A4F9777" w14:textId="77777777">
            <w:pPr>
              <w:rPr>
                <w:rFonts w:eastAsia="Calibri"/>
                <w:sz w:val="20"/>
              </w:rPr>
            </w:pPr>
            <w:r w:rsidRPr="007D6F85">
              <w:rPr>
                <w:rFonts w:eastAsia="Calibri"/>
                <w:sz w:val="20"/>
              </w:rPr>
              <w:t>43133868</w:t>
            </w:r>
          </w:p>
        </w:tc>
        <w:tc>
          <w:tcPr>
            <w:tcW w:w="1882" w:type="dxa"/>
            <w:shd w:val="clear" w:color="auto" w:fill="auto"/>
          </w:tcPr>
          <w:p w:rsidR="00965215" w:rsidRPr="007D6F85" w:rsidP="00965215" w14:paraId="4A7278C3" w14:textId="77777777">
            <w:pPr>
              <w:rPr>
                <w:rFonts w:eastAsia="Calibri"/>
                <w:sz w:val="20"/>
              </w:rPr>
            </w:pPr>
            <w:r w:rsidRPr="007D6F85">
              <w:rPr>
                <w:rFonts w:eastAsia="Calibri"/>
                <w:sz w:val="20"/>
              </w:rPr>
              <w:t>1456125</w:t>
            </w:r>
          </w:p>
        </w:tc>
      </w:tr>
      <w:tr w14:paraId="4D5F033F" w14:textId="77777777" w:rsidTr="007D6F85">
        <w:tblPrEx>
          <w:tblW w:w="0" w:type="auto"/>
          <w:tblLook w:val="04A0"/>
        </w:tblPrEx>
        <w:trPr>
          <w:cantSplit/>
        </w:trPr>
        <w:tc>
          <w:tcPr>
            <w:tcW w:w="2075" w:type="dxa"/>
            <w:shd w:val="clear" w:color="auto" w:fill="auto"/>
          </w:tcPr>
          <w:p w:rsidR="00965215" w:rsidRPr="007D6F85" w:rsidP="00965215" w14:paraId="37BE996F"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26110A1F"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76BE1615" w14:textId="77777777">
            <w:pPr>
              <w:rPr>
                <w:rFonts w:eastAsia="Calibri"/>
                <w:sz w:val="20"/>
              </w:rPr>
            </w:pPr>
            <w:r w:rsidRPr="007D6F85">
              <w:rPr>
                <w:rFonts w:eastAsia="Calibri"/>
                <w:sz w:val="20"/>
              </w:rPr>
              <w:t>2014</w:t>
            </w:r>
          </w:p>
        </w:tc>
        <w:tc>
          <w:tcPr>
            <w:tcW w:w="1695" w:type="dxa"/>
          </w:tcPr>
          <w:p w:rsidR="00965215" w:rsidRPr="007D6F85" w:rsidP="00965215" w14:paraId="75622720" w14:textId="77777777">
            <w:pPr>
              <w:rPr>
                <w:rFonts w:eastAsia="Calibri"/>
                <w:sz w:val="20"/>
              </w:rPr>
            </w:pPr>
            <w:r w:rsidRPr="007D6F85">
              <w:rPr>
                <w:rFonts w:eastAsia="Calibri"/>
                <w:sz w:val="20"/>
              </w:rPr>
              <w:t>43144511</w:t>
            </w:r>
          </w:p>
        </w:tc>
        <w:tc>
          <w:tcPr>
            <w:tcW w:w="1882" w:type="dxa"/>
            <w:shd w:val="clear" w:color="auto" w:fill="auto"/>
          </w:tcPr>
          <w:p w:rsidR="00965215" w:rsidRPr="007D6F85" w:rsidP="00965215" w14:paraId="5183EE6F" w14:textId="77777777">
            <w:pPr>
              <w:rPr>
                <w:rFonts w:eastAsia="Calibri"/>
                <w:sz w:val="20"/>
              </w:rPr>
            </w:pPr>
            <w:r w:rsidRPr="007D6F85">
              <w:rPr>
                <w:rFonts w:eastAsia="Calibri"/>
                <w:sz w:val="20"/>
              </w:rPr>
              <w:t>1456126</w:t>
            </w:r>
          </w:p>
        </w:tc>
      </w:tr>
      <w:tr w14:paraId="4527F190" w14:textId="77777777" w:rsidTr="007D6F85">
        <w:tblPrEx>
          <w:tblW w:w="0" w:type="auto"/>
          <w:tblLook w:val="04A0"/>
        </w:tblPrEx>
        <w:trPr>
          <w:cantSplit/>
        </w:trPr>
        <w:tc>
          <w:tcPr>
            <w:tcW w:w="2075" w:type="dxa"/>
            <w:shd w:val="clear" w:color="auto" w:fill="auto"/>
          </w:tcPr>
          <w:p w:rsidR="00965215" w:rsidRPr="007D6F85" w:rsidP="00965215" w14:paraId="510C6971"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643600EB"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06CE34A8" w14:textId="77777777">
            <w:pPr>
              <w:rPr>
                <w:rFonts w:eastAsia="Calibri"/>
                <w:sz w:val="20"/>
              </w:rPr>
            </w:pPr>
            <w:r w:rsidRPr="007D6F85">
              <w:rPr>
                <w:rFonts w:eastAsia="Calibri"/>
                <w:sz w:val="20"/>
              </w:rPr>
              <w:t>2014</w:t>
            </w:r>
          </w:p>
        </w:tc>
        <w:tc>
          <w:tcPr>
            <w:tcW w:w="1695" w:type="dxa"/>
          </w:tcPr>
          <w:p w:rsidR="00965215" w:rsidRPr="007D6F85" w:rsidP="00965215" w14:paraId="2FC6B91F" w14:textId="77777777">
            <w:pPr>
              <w:rPr>
                <w:rFonts w:eastAsia="Calibri"/>
                <w:sz w:val="20"/>
              </w:rPr>
            </w:pPr>
            <w:r w:rsidRPr="007D6F85">
              <w:rPr>
                <w:rFonts w:eastAsia="Calibri"/>
                <w:sz w:val="20"/>
              </w:rPr>
              <w:t>43144511</w:t>
            </w:r>
          </w:p>
        </w:tc>
        <w:tc>
          <w:tcPr>
            <w:tcW w:w="1882" w:type="dxa"/>
            <w:shd w:val="clear" w:color="auto" w:fill="auto"/>
          </w:tcPr>
          <w:p w:rsidR="00965215" w:rsidRPr="007D6F85" w:rsidP="00965215" w14:paraId="75B8948E" w14:textId="77777777">
            <w:pPr>
              <w:rPr>
                <w:rFonts w:eastAsia="Calibri"/>
                <w:sz w:val="20"/>
              </w:rPr>
            </w:pPr>
            <w:r w:rsidRPr="007D6F85">
              <w:rPr>
                <w:rFonts w:eastAsia="Calibri"/>
                <w:sz w:val="20"/>
              </w:rPr>
              <w:t>1456997</w:t>
            </w:r>
          </w:p>
        </w:tc>
      </w:tr>
      <w:tr w14:paraId="1049DBE6" w14:textId="77777777" w:rsidTr="007D6F85">
        <w:tblPrEx>
          <w:tblW w:w="0" w:type="auto"/>
          <w:tblLook w:val="04A0"/>
        </w:tblPrEx>
        <w:trPr>
          <w:cantSplit/>
        </w:trPr>
        <w:tc>
          <w:tcPr>
            <w:tcW w:w="2075" w:type="dxa"/>
            <w:shd w:val="clear" w:color="auto" w:fill="auto"/>
          </w:tcPr>
          <w:p w:rsidR="00965215" w:rsidRPr="007D6F85" w:rsidP="00965215" w14:paraId="286B0365"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2C6E0A9E"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149A0979" w14:textId="77777777">
            <w:pPr>
              <w:rPr>
                <w:rFonts w:eastAsia="Calibri"/>
                <w:sz w:val="20"/>
              </w:rPr>
            </w:pPr>
            <w:r w:rsidRPr="007D6F85">
              <w:rPr>
                <w:rFonts w:eastAsia="Calibri"/>
                <w:sz w:val="20"/>
              </w:rPr>
              <w:t>2014</w:t>
            </w:r>
          </w:p>
        </w:tc>
        <w:tc>
          <w:tcPr>
            <w:tcW w:w="1695" w:type="dxa"/>
          </w:tcPr>
          <w:p w:rsidR="00965215" w:rsidRPr="007D6F85" w:rsidP="00965215" w14:paraId="746A11AA" w14:textId="77777777">
            <w:pPr>
              <w:rPr>
                <w:rFonts w:eastAsia="Calibri"/>
                <w:sz w:val="20"/>
              </w:rPr>
            </w:pPr>
            <w:r w:rsidRPr="007D6F85">
              <w:rPr>
                <w:rFonts w:eastAsia="Calibri"/>
                <w:sz w:val="20"/>
              </w:rPr>
              <w:t>43144511</w:t>
            </w:r>
          </w:p>
        </w:tc>
        <w:tc>
          <w:tcPr>
            <w:tcW w:w="1882" w:type="dxa"/>
            <w:shd w:val="clear" w:color="auto" w:fill="auto"/>
          </w:tcPr>
          <w:p w:rsidR="00965215" w:rsidRPr="007D6F85" w:rsidP="00965215" w14:paraId="24349521" w14:textId="77777777">
            <w:pPr>
              <w:rPr>
                <w:rFonts w:eastAsia="Calibri"/>
                <w:sz w:val="20"/>
              </w:rPr>
            </w:pPr>
            <w:r w:rsidRPr="007D6F85">
              <w:rPr>
                <w:rFonts w:eastAsia="Calibri"/>
                <w:sz w:val="20"/>
              </w:rPr>
              <w:t>1456998</w:t>
            </w:r>
          </w:p>
        </w:tc>
      </w:tr>
      <w:tr w14:paraId="2896163F" w14:textId="77777777" w:rsidTr="007D6F85">
        <w:tblPrEx>
          <w:tblW w:w="0" w:type="auto"/>
          <w:tblLook w:val="04A0"/>
        </w:tblPrEx>
        <w:trPr>
          <w:cantSplit/>
        </w:trPr>
        <w:tc>
          <w:tcPr>
            <w:tcW w:w="2075" w:type="dxa"/>
            <w:shd w:val="clear" w:color="auto" w:fill="auto"/>
          </w:tcPr>
          <w:p w:rsidR="00965215" w:rsidRPr="007D6F85" w:rsidP="00965215" w14:paraId="7C85AFE9"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2FBA880A"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2201ADFE" w14:textId="77777777">
            <w:pPr>
              <w:rPr>
                <w:rFonts w:eastAsia="Calibri"/>
                <w:sz w:val="20"/>
              </w:rPr>
            </w:pPr>
            <w:r w:rsidRPr="007D6F85">
              <w:rPr>
                <w:rFonts w:eastAsia="Calibri"/>
                <w:sz w:val="20"/>
              </w:rPr>
              <w:t>2014</w:t>
            </w:r>
          </w:p>
        </w:tc>
        <w:tc>
          <w:tcPr>
            <w:tcW w:w="1695" w:type="dxa"/>
          </w:tcPr>
          <w:p w:rsidR="00965215" w:rsidRPr="007D6F85" w:rsidP="00965215" w14:paraId="357CB241" w14:textId="77777777">
            <w:pPr>
              <w:rPr>
                <w:rFonts w:eastAsia="Calibri"/>
                <w:sz w:val="20"/>
              </w:rPr>
            </w:pPr>
            <w:r w:rsidRPr="007D6F85">
              <w:rPr>
                <w:rFonts w:eastAsia="Calibri"/>
                <w:sz w:val="20"/>
              </w:rPr>
              <w:t>43144511</w:t>
            </w:r>
          </w:p>
        </w:tc>
        <w:tc>
          <w:tcPr>
            <w:tcW w:w="1882" w:type="dxa"/>
            <w:shd w:val="clear" w:color="auto" w:fill="auto"/>
          </w:tcPr>
          <w:p w:rsidR="00965215" w:rsidRPr="007D6F85" w:rsidP="00965215" w14:paraId="0BCF3E4F" w14:textId="77777777">
            <w:pPr>
              <w:rPr>
                <w:rFonts w:eastAsia="Calibri"/>
                <w:sz w:val="20"/>
              </w:rPr>
            </w:pPr>
            <w:r w:rsidRPr="007D6F85">
              <w:rPr>
                <w:rFonts w:eastAsia="Calibri"/>
                <w:sz w:val="20"/>
              </w:rPr>
              <w:t>1462637</w:t>
            </w:r>
          </w:p>
        </w:tc>
      </w:tr>
      <w:tr w14:paraId="4490F927" w14:textId="77777777" w:rsidTr="007D6F85">
        <w:tblPrEx>
          <w:tblW w:w="0" w:type="auto"/>
          <w:tblLook w:val="04A0"/>
        </w:tblPrEx>
        <w:trPr>
          <w:cantSplit/>
        </w:trPr>
        <w:tc>
          <w:tcPr>
            <w:tcW w:w="2075" w:type="dxa"/>
            <w:shd w:val="clear" w:color="auto" w:fill="auto"/>
          </w:tcPr>
          <w:p w:rsidR="00965215" w:rsidRPr="007D6F85" w:rsidP="00965215" w14:paraId="20E0358C"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5472FA59"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59FB14E7" w14:textId="77777777">
            <w:pPr>
              <w:rPr>
                <w:rFonts w:eastAsia="Calibri"/>
                <w:sz w:val="20"/>
              </w:rPr>
            </w:pPr>
            <w:r w:rsidRPr="007D6F85">
              <w:rPr>
                <w:rFonts w:eastAsia="Calibri"/>
                <w:sz w:val="20"/>
              </w:rPr>
              <w:t>2014</w:t>
            </w:r>
          </w:p>
        </w:tc>
        <w:tc>
          <w:tcPr>
            <w:tcW w:w="1695" w:type="dxa"/>
          </w:tcPr>
          <w:p w:rsidR="00965215" w:rsidRPr="007D6F85" w:rsidP="00965215" w14:paraId="105DC354" w14:textId="77777777">
            <w:pPr>
              <w:rPr>
                <w:rFonts w:eastAsia="Calibri"/>
                <w:sz w:val="20"/>
              </w:rPr>
            </w:pPr>
            <w:r w:rsidRPr="007D6F85">
              <w:rPr>
                <w:rFonts w:eastAsia="Calibri"/>
                <w:sz w:val="20"/>
              </w:rPr>
              <w:t>43144511</w:t>
            </w:r>
          </w:p>
        </w:tc>
        <w:tc>
          <w:tcPr>
            <w:tcW w:w="1882" w:type="dxa"/>
            <w:shd w:val="clear" w:color="auto" w:fill="auto"/>
          </w:tcPr>
          <w:p w:rsidR="00965215" w:rsidRPr="007D6F85" w:rsidP="00965215" w14:paraId="781B2615" w14:textId="77777777">
            <w:pPr>
              <w:rPr>
                <w:rFonts w:eastAsia="Calibri"/>
                <w:sz w:val="20"/>
              </w:rPr>
            </w:pPr>
            <w:r w:rsidRPr="007D6F85">
              <w:rPr>
                <w:rFonts w:eastAsia="Calibri"/>
                <w:sz w:val="20"/>
              </w:rPr>
              <w:t>1462640</w:t>
            </w:r>
          </w:p>
        </w:tc>
      </w:tr>
      <w:tr w14:paraId="414EB8D3" w14:textId="77777777" w:rsidTr="007D6F85">
        <w:tblPrEx>
          <w:tblW w:w="0" w:type="auto"/>
          <w:tblLook w:val="04A0"/>
        </w:tblPrEx>
        <w:trPr>
          <w:cantSplit/>
        </w:trPr>
        <w:tc>
          <w:tcPr>
            <w:tcW w:w="2075" w:type="dxa"/>
            <w:shd w:val="clear" w:color="auto" w:fill="auto"/>
          </w:tcPr>
          <w:p w:rsidR="00965215" w:rsidRPr="007D6F85" w:rsidP="00965215" w14:paraId="08B31B06"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5A205E17"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26C678F1" w14:textId="77777777">
            <w:pPr>
              <w:rPr>
                <w:rFonts w:eastAsia="Calibri"/>
                <w:sz w:val="20"/>
              </w:rPr>
            </w:pPr>
            <w:r w:rsidRPr="007D6F85">
              <w:rPr>
                <w:rFonts w:eastAsia="Calibri"/>
                <w:sz w:val="20"/>
              </w:rPr>
              <w:t>2014</w:t>
            </w:r>
          </w:p>
        </w:tc>
        <w:tc>
          <w:tcPr>
            <w:tcW w:w="1695" w:type="dxa"/>
          </w:tcPr>
          <w:p w:rsidR="00965215" w:rsidRPr="007D6F85" w:rsidP="00965215" w14:paraId="271A6E33"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3C025A4B" w14:textId="77777777">
            <w:pPr>
              <w:rPr>
                <w:rFonts w:eastAsia="Calibri"/>
                <w:sz w:val="20"/>
              </w:rPr>
            </w:pPr>
            <w:r w:rsidRPr="007D6F85">
              <w:rPr>
                <w:rFonts w:eastAsia="Calibri"/>
                <w:sz w:val="20"/>
              </w:rPr>
              <w:t>1456999</w:t>
            </w:r>
          </w:p>
        </w:tc>
      </w:tr>
      <w:tr w14:paraId="3BBDA9E1" w14:textId="77777777" w:rsidTr="007D6F85">
        <w:tblPrEx>
          <w:tblW w:w="0" w:type="auto"/>
          <w:tblLook w:val="04A0"/>
        </w:tblPrEx>
        <w:trPr>
          <w:cantSplit/>
        </w:trPr>
        <w:tc>
          <w:tcPr>
            <w:tcW w:w="2075" w:type="dxa"/>
            <w:shd w:val="clear" w:color="auto" w:fill="auto"/>
          </w:tcPr>
          <w:p w:rsidR="00965215" w:rsidRPr="007D6F85" w:rsidP="00965215" w14:paraId="04155EBB"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42DFEAE0"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23425D08" w14:textId="77777777">
            <w:pPr>
              <w:rPr>
                <w:rFonts w:eastAsia="Calibri"/>
                <w:sz w:val="20"/>
              </w:rPr>
            </w:pPr>
            <w:r w:rsidRPr="007D6F85">
              <w:rPr>
                <w:rFonts w:eastAsia="Calibri"/>
                <w:sz w:val="20"/>
              </w:rPr>
              <w:t>2014</w:t>
            </w:r>
          </w:p>
        </w:tc>
        <w:tc>
          <w:tcPr>
            <w:tcW w:w="1695" w:type="dxa"/>
          </w:tcPr>
          <w:p w:rsidR="00965215" w:rsidRPr="007D6F85" w:rsidP="00965215" w14:paraId="43F7C496"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133D8FAD" w14:textId="77777777">
            <w:pPr>
              <w:rPr>
                <w:rFonts w:eastAsia="Calibri"/>
                <w:sz w:val="20"/>
              </w:rPr>
            </w:pPr>
            <w:r w:rsidRPr="007D6F85">
              <w:rPr>
                <w:rFonts w:eastAsia="Calibri"/>
                <w:sz w:val="20"/>
              </w:rPr>
              <w:t>1457000</w:t>
            </w:r>
          </w:p>
        </w:tc>
      </w:tr>
      <w:tr w14:paraId="75276A3F" w14:textId="77777777" w:rsidTr="007D6F85">
        <w:tblPrEx>
          <w:tblW w:w="0" w:type="auto"/>
          <w:tblLook w:val="04A0"/>
        </w:tblPrEx>
        <w:trPr>
          <w:cantSplit/>
        </w:trPr>
        <w:tc>
          <w:tcPr>
            <w:tcW w:w="2075" w:type="dxa"/>
            <w:shd w:val="clear" w:color="auto" w:fill="auto"/>
          </w:tcPr>
          <w:p w:rsidR="00965215" w:rsidRPr="007D6F85" w:rsidP="00965215" w14:paraId="762AE1E5"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66290121"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4E1D4167" w14:textId="77777777">
            <w:pPr>
              <w:rPr>
                <w:rFonts w:eastAsia="Calibri"/>
                <w:sz w:val="20"/>
              </w:rPr>
            </w:pPr>
            <w:r w:rsidRPr="007D6F85">
              <w:rPr>
                <w:rFonts w:eastAsia="Calibri"/>
                <w:sz w:val="20"/>
              </w:rPr>
              <w:t>2014</w:t>
            </w:r>
          </w:p>
        </w:tc>
        <w:tc>
          <w:tcPr>
            <w:tcW w:w="1695" w:type="dxa"/>
          </w:tcPr>
          <w:p w:rsidR="00965215" w:rsidRPr="007D6F85" w:rsidP="00965215" w14:paraId="5362F445"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1641CB78" w14:textId="77777777">
            <w:pPr>
              <w:rPr>
                <w:rFonts w:eastAsia="Calibri"/>
                <w:sz w:val="20"/>
              </w:rPr>
            </w:pPr>
            <w:r w:rsidRPr="007D6F85">
              <w:rPr>
                <w:rFonts w:eastAsia="Calibri"/>
                <w:sz w:val="20"/>
              </w:rPr>
              <w:t>1457001</w:t>
            </w:r>
          </w:p>
        </w:tc>
      </w:tr>
      <w:tr w14:paraId="0B80CB48" w14:textId="77777777" w:rsidTr="007D6F85">
        <w:tblPrEx>
          <w:tblW w:w="0" w:type="auto"/>
          <w:tblLook w:val="04A0"/>
        </w:tblPrEx>
        <w:trPr>
          <w:cantSplit/>
        </w:trPr>
        <w:tc>
          <w:tcPr>
            <w:tcW w:w="2075" w:type="dxa"/>
            <w:shd w:val="clear" w:color="auto" w:fill="auto"/>
          </w:tcPr>
          <w:p w:rsidR="00965215" w:rsidRPr="007D6F85" w:rsidP="00965215" w14:paraId="0423E0CF"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6F742AA8"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5695577B" w14:textId="77777777">
            <w:pPr>
              <w:rPr>
                <w:rFonts w:eastAsia="Calibri"/>
                <w:sz w:val="20"/>
              </w:rPr>
            </w:pPr>
            <w:r w:rsidRPr="007D6F85">
              <w:rPr>
                <w:rFonts w:eastAsia="Calibri"/>
                <w:sz w:val="20"/>
              </w:rPr>
              <w:t>2014</w:t>
            </w:r>
          </w:p>
        </w:tc>
        <w:tc>
          <w:tcPr>
            <w:tcW w:w="1695" w:type="dxa"/>
          </w:tcPr>
          <w:p w:rsidR="00965215" w:rsidRPr="007D6F85" w:rsidP="00965215" w14:paraId="3A49EB9E"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40E0CF62" w14:textId="77777777">
            <w:pPr>
              <w:rPr>
                <w:rFonts w:eastAsia="Calibri"/>
                <w:sz w:val="20"/>
              </w:rPr>
            </w:pPr>
            <w:r w:rsidRPr="007D6F85">
              <w:rPr>
                <w:rFonts w:eastAsia="Calibri"/>
                <w:sz w:val="20"/>
              </w:rPr>
              <w:t>1457002</w:t>
            </w:r>
          </w:p>
        </w:tc>
      </w:tr>
      <w:tr w14:paraId="0AFAAA14" w14:textId="77777777" w:rsidTr="007D6F85">
        <w:tblPrEx>
          <w:tblW w:w="0" w:type="auto"/>
          <w:tblLook w:val="04A0"/>
        </w:tblPrEx>
        <w:trPr>
          <w:cantSplit/>
        </w:trPr>
        <w:tc>
          <w:tcPr>
            <w:tcW w:w="2075" w:type="dxa"/>
            <w:shd w:val="clear" w:color="auto" w:fill="auto"/>
          </w:tcPr>
          <w:p w:rsidR="00965215" w:rsidRPr="007D6F85" w:rsidP="00965215" w14:paraId="6703331D"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00CCD4F4"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4D1239F4" w14:textId="77777777">
            <w:pPr>
              <w:rPr>
                <w:rFonts w:eastAsia="Calibri"/>
                <w:sz w:val="20"/>
              </w:rPr>
            </w:pPr>
            <w:r w:rsidRPr="007D6F85">
              <w:rPr>
                <w:rFonts w:eastAsia="Calibri"/>
                <w:sz w:val="20"/>
              </w:rPr>
              <w:t>2014</w:t>
            </w:r>
          </w:p>
        </w:tc>
        <w:tc>
          <w:tcPr>
            <w:tcW w:w="1695" w:type="dxa"/>
          </w:tcPr>
          <w:p w:rsidR="00965215" w:rsidRPr="007D6F85" w:rsidP="00965215" w14:paraId="4F463103"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52D3308E" w14:textId="77777777">
            <w:pPr>
              <w:rPr>
                <w:rFonts w:eastAsia="Calibri"/>
                <w:sz w:val="20"/>
              </w:rPr>
            </w:pPr>
            <w:r w:rsidRPr="007D6F85">
              <w:rPr>
                <w:rFonts w:eastAsia="Calibri"/>
                <w:sz w:val="20"/>
              </w:rPr>
              <w:t>1457003</w:t>
            </w:r>
          </w:p>
        </w:tc>
      </w:tr>
      <w:tr w14:paraId="6BBFBEB4" w14:textId="77777777" w:rsidTr="007D6F85">
        <w:tblPrEx>
          <w:tblW w:w="0" w:type="auto"/>
          <w:tblLook w:val="04A0"/>
        </w:tblPrEx>
        <w:trPr>
          <w:cantSplit/>
        </w:trPr>
        <w:tc>
          <w:tcPr>
            <w:tcW w:w="2075" w:type="dxa"/>
            <w:shd w:val="clear" w:color="auto" w:fill="auto"/>
          </w:tcPr>
          <w:p w:rsidR="00965215" w:rsidRPr="007D6F85" w:rsidP="00965215" w14:paraId="4D5B89B9"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4BBF4A7C"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04994D71" w14:textId="77777777">
            <w:pPr>
              <w:rPr>
                <w:rFonts w:eastAsia="Calibri"/>
                <w:sz w:val="20"/>
              </w:rPr>
            </w:pPr>
            <w:r w:rsidRPr="007D6F85">
              <w:rPr>
                <w:rFonts w:eastAsia="Calibri"/>
                <w:sz w:val="20"/>
              </w:rPr>
              <w:t>2014</w:t>
            </w:r>
          </w:p>
        </w:tc>
        <w:tc>
          <w:tcPr>
            <w:tcW w:w="1695" w:type="dxa"/>
          </w:tcPr>
          <w:p w:rsidR="00965215" w:rsidRPr="007D6F85" w:rsidP="00965215" w14:paraId="083CAC17"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1AA29F23" w14:textId="77777777">
            <w:pPr>
              <w:rPr>
                <w:rFonts w:eastAsia="Calibri"/>
                <w:sz w:val="20"/>
              </w:rPr>
            </w:pPr>
            <w:r w:rsidRPr="007D6F85">
              <w:rPr>
                <w:rFonts w:eastAsia="Calibri"/>
                <w:sz w:val="20"/>
              </w:rPr>
              <w:t>1457004</w:t>
            </w:r>
          </w:p>
        </w:tc>
      </w:tr>
      <w:tr w14:paraId="392794E3" w14:textId="77777777" w:rsidTr="007D6F85">
        <w:tblPrEx>
          <w:tblW w:w="0" w:type="auto"/>
          <w:tblLook w:val="04A0"/>
        </w:tblPrEx>
        <w:trPr>
          <w:cantSplit/>
        </w:trPr>
        <w:tc>
          <w:tcPr>
            <w:tcW w:w="2075" w:type="dxa"/>
            <w:shd w:val="clear" w:color="auto" w:fill="auto"/>
          </w:tcPr>
          <w:p w:rsidR="00965215" w:rsidRPr="007D6F85" w:rsidP="00965215" w14:paraId="3603FA0D"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519C8589"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7CBBB72D" w14:textId="77777777">
            <w:pPr>
              <w:rPr>
                <w:rFonts w:eastAsia="Calibri"/>
                <w:sz w:val="20"/>
              </w:rPr>
            </w:pPr>
            <w:r w:rsidRPr="007D6F85">
              <w:rPr>
                <w:rFonts w:eastAsia="Calibri"/>
                <w:sz w:val="20"/>
              </w:rPr>
              <w:t>2014</w:t>
            </w:r>
          </w:p>
        </w:tc>
        <w:tc>
          <w:tcPr>
            <w:tcW w:w="1695" w:type="dxa"/>
          </w:tcPr>
          <w:p w:rsidR="00965215" w:rsidRPr="007D6F85" w:rsidP="00965215" w14:paraId="486F3474"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6D3C30C3" w14:textId="77777777">
            <w:pPr>
              <w:rPr>
                <w:rFonts w:eastAsia="Calibri"/>
                <w:sz w:val="20"/>
              </w:rPr>
            </w:pPr>
            <w:r w:rsidRPr="007D6F85">
              <w:rPr>
                <w:rFonts w:eastAsia="Calibri"/>
                <w:sz w:val="20"/>
              </w:rPr>
              <w:t>1457005</w:t>
            </w:r>
          </w:p>
        </w:tc>
      </w:tr>
      <w:tr w14:paraId="3B07807A" w14:textId="77777777" w:rsidTr="007D6F85">
        <w:tblPrEx>
          <w:tblW w:w="0" w:type="auto"/>
          <w:tblLook w:val="04A0"/>
        </w:tblPrEx>
        <w:trPr>
          <w:cantSplit/>
        </w:trPr>
        <w:tc>
          <w:tcPr>
            <w:tcW w:w="2075" w:type="dxa"/>
            <w:shd w:val="clear" w:color="auto" w:fill="auto"/>
          </w:tcPr>
          <w:p w:rsidR="00965215" w:rsidRPr="007D6F85" w:rsidP="00965215" w14:paraId="3E879F9B"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7402E0A9"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2D71AE0E" w14:textId="77777777">
            <w:pPr>
              <w:rPr>
                <w:rFonts w:eastAsia="Calibri"/>
                <w:sz w:val="20"/>
              </w:rPr>
            </w:pPr>
            <w:r w:rsidRPr="007D6F85">
              <w:rPr>
                <w:rFonts w:eastAsia="Calibri"/>
                <w:sz w:val="20"/>
              </w:rPr>
              <w:t>2014</w:t>
            </w:r>
          </w:p>
        </w:tc>
        <w:tc>
          <w:tcPr>
            <w:tcW w:w="1695" w:type="dxa"/>
          </w:tcPr>
          <w:p w:rsidR="00965215" w:rsidRPr="007D6F85" w:rsidP="00965215" w14:paraId="7D2F0FE5"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1181C8F8" w14:textId="77777777">
            <w:pPr>
              <w:rPr>
                <w:rFonts w:eastAsia="Calibri"/>
                <w:sz w:val="20"/>
              </w:rPr>
            </w:pPr>
            <w:r w:rsidRPr="007D6F85">
              <w:rPr>
                <w:rFonts w:eastAsia="Calibri"/>
                <w:sz w:val="20"/>
              </w:rPr>
              <w:t>1457006</w:t>
            </w:r>
          </w:p>
        </w:tc>
      </w:tr>
      <w:tr w14:paraId="176F88E0" w14:textId="77777777" w:rsidTr="007D6F85">
        <w:tblPrEx>
          <w:tblW w:w="0" w:type="auto"/>
          <w:tblLook w:val="04A0"/>
        </w:tblPrEx>
        <w:trPr>
          <w:cantSplit/>
        </w:trPr>
        <w:tc>
          <w:tcPr>
            <w:tcW w:w="2075" w:type="dxa"/>
            <w:shd w:val="clear" w:color="auto" w:fill="auto"/>
          </w:tcPr>
          <w:p w:rsidR="00965215" w:rsidRPr="007D6F85" w:rsidP="00965215" w14:paraId="29D88C82"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739315F0"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6CBD99A9" w14:textId="77777777">
            <w:pPr>
              <w:rPr>
                <w:rFonts w:eastAsia="Calibri"/>
                <w:sz w:val="20"/>
              </w:rPr>
            </w:pPr>
            <w:r w:rsidRPr="007D6F85">
              <w:rPr>
                <w:rFonts w:eastAsia="Calibri"/>
                <w:sz w:val="20"/>
              </w:rPr>
              <w:t>2014</w:t>
            </w:r>
          </w:p>
        </w:tc>
        <w:tc>
          <w:tcPr>
            <w:tcW w:w="1695" w:type="dxa"/>
          </w:tcPr>
          <w:p w:rsidR="00965215" w:rsidRPr="007D6F85" w:rsidP="00965215" w14:paraId="40BCE3CD"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297C0F9B" w14:textId="77777777">
            <w:pPr>
              <w:rPr>
                <w:rFonts w:eastAsia="Calibri"/>
                <w:sz w:val="20"/>
              </w:rPr>
            </w:pPr>
            <w:r w:rsidRPr="007D6F85">
              <w:rPr>
                <w:rFonts w:eastAsia="Calibri"/>
                <w:sz w:val="20"/>
              </w:rPr>
              <w:t>1457007</w:t>
            </w:r>
          </w:p>
        </w:tc>
      </w:tr>
      <w:tr w14:paraId="21215E83" w14:textId="77777777" w:rsidTr="007D6F85">
        <w:tblPrEx>
          <w:tblW w:w="0" w:type="auto"/>
          <w:tblLook w:val="04A0"/>
        </w:tblPrEx>
        <w:trPr>
          <w:cantSplit/>
        </w:trPr>
        <w:tc>
          <w:tcPr>
            <w:tcW w:w="2075" w:type="dxa"/>
            <w:shd w:val="clear" w:color="auto" w:fill="auto"/>
          </w:tcPr>
          <w:p w:rsidR="00965215" w:rsidRPr="007D6F85" w:rsidP="00965215" w14:paraId="2CE2AB81"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0EDA3B33"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651DC401" w14:textId="77777777">
            <w:pPr>
              <w:rPr>
                <w:rFonts w:eastAsia="Calibri"/>
                <w:sz w:val="20"/>
              </w:rPr>
            </w:pPr>
            <w:r w:rsidRPr="007D6F85">
              <w:rPr>
                <w:rFonts w:eastAsia="Calibri"/>
                <w:sz w:val="20"/>
              </w:rPr>
              <w:t>2014</w:t>
            </w:r>
          </w:p>
        </w:tc>
        <w:tc>
          <w:tcPr>
            <w:tcW w:w="1695" w:type="dxa"/>
          </w:tcPr>
          <w:p w:rsidR="00965215" w:rsidRPr="007D6F85" w:rsidP="00965215" w14:paraId="41F54835"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79DFFE07" w14:textId="77777777">
            <w:pPr>
              <w:rPr>
                <w:rFonts w:eastAsia="Calibri"/>
                <w:sz w:val="20"/>
              </w:rPr>
            </w:pPr>
            <w:r w:rsidRPr="007D6F85">
              <w:rPr>
                <w:rFonts w:eastAsia="Calibri"/>
                <w:sz w:val="20"/>
              </w:rPr>
              <w:t>1457008</w:t>
            </w:r>
          </w:p>
        </w:tc>
      </w:tr>
      <w:tr w14:paraId="28442526" w14:textId="77777777" w:rsidTr="007D6F85">
        <w:tblPrEx>
          <w:tblW w:w="0" w:type="auto"/>
          <w:tblLook w:val="04A0"/>
        </w:tblPrEx>
        <w:trPr>
          <w:cantSplit/>
        </w:trPr>
        <w:tc>
          <w:tcPr>
            <w:tcW w:w="2075" w:type="dxa"/>
            <w:shd w:val="clear" w:color="auto" w:fill="auto"/>
          </w:tcPr>
          <w:p w:rsidR="00965215" w:rsidRPr="007D6F85" w:rsidP="00965215" w14:paraId="183386C2"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0BC578AD"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31B3412B" w14:textId="77777777">
            <w:pPr>
              <w:rPr>
                <w:rFonts w:eastAsia="Calibri"/>
                <w:sz w:val="20"/>
              </w:rPr>
            </w:pPr>
            <w:r w:rsidRPr="007D6F85">
              <w:rPr>
                <w:rFonts w:eastAsia="Calibri"/>
                <w:sz w:val="20"/>
              </w:rPr>
              <w:t>2014</w:t>
            </w:r>
          </w:p>
        </w:tc>
        <w:tc>
          <w:tcPr>
            <w:tcW w:w="1695" w:type="dxa"/>
          </w:tcPr>
          <w:p w:rsidR="00965215" w:rsidRPr="007D6F85" w:rsidP="00965215" w14:paraId="44D7CA90"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2582DC24" w14:textId="77777777">
            <w:pPr>
              <w:rPr>
                <w:rFonts w:eastAsia="Calibri"/>
                <w:sz w:val="20"/>
              </w:rPr>
            </w:pPr>
            <w:r w:rsidRPr="007D6F85">
              <w:rPr>
                <w:rFonts w:eastAsia="Calibri"/>
                <w:sz w:val="20"/>
              </w:rPr>
              <w:t>1457010</w:t>
            </w:r>
          </w:p>
        </w:tc>
      </w:tr>
      <w:tr w14:paraId="08335D4E" w14:textId="77777777" w:rsidTr="007D6F85">
        <w:tblPrEx>
          <w:tblW w:w="0" w:type="auto"/>
          <w:tblLook w:val="04A0"/>
        </w:tblPrEx>
        <w:trPr>
          <w:cantSplit/>
        </w:trPr>
        <w:tc>
          <w:tcPr>
            <w:tcW w:w="2075" w:type="dxa"/>
            <w:shd w:val="clear" w:color="auto" w:fill="auto"/>
          </w:tcPr>
          <w:p w:rsidR="00965215" w:rsidRPr="007D6F85" w:rsidP="00965215" w14:paraId="5951F500"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3830E4CE"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46C68A94" w14:textId="77777777">
            <w:pPr>
              <w:rPr>
                <w:rFonts w:eastAsia="Calibri"/>
                <w:sz w:val="20"/>
              </w:rPr>
            </w:pPr>
            <w:r w:rsidRPr="007D6F85">
              <w:rPr>
                <w:rFonts w:eastAsia="Calibri"/>
                <w:sz w:val="20"/>
              </w:rPr>
              <w:t>2014</w:t>
            </w:r>
          </w:p>
        </w:tc>
        <w:tc>
          <w:tcPr>
            <w:tcW w:w="1695" w:type="dxa"/>
          </w:tcPr>
          <w:p w:rsidR="00965215" w:rsidRPr="007D6F85" w:rsidP="00965215" w14:paraId="49BF1E24"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43F424C4" w14:textId="77777777">
            <w:pPr>
              <w:rPr>
                <w:rFonts w:eastAsia="Calibri"/>
                <w:sz w:val="20"/>
              </w:rPr>
            </w:pPr>
            <w:r w:rsidRPr="007D6F85">
              <w:rPr>
                <w:rFonts w:eastAsia="Calibri"/>
                <w:sz w:val="20"/>
              </w:rPr>
              <w:t>1457011</w:t>
            </w:r>
          </w:p>
        </w:tc>
      </w:tr>
      <w:tr w14:paraId="2D55C669" w14:textId="77777777" w:rsidTr="007D6F85">
        <w:tblPrEx>
          <w:tblW w:w="0" w:type="auto"/>
          <w:tblLook w:val="04A0"/>
        </w:tblPrEx>
        <w:trPr>
          <w:cantSplit/>
        </w:trPr>
        <w:tc>
          <w:tcPr>
            <w:tcW w:w="2075" w:type="dxa"/>
            <w:shd w:val="clear" w:color="auto" w:fill="auto"/>
          </w:tcPr>
          <w:p w:rsidR="00965215" w:rsidRPr="007D6F85" w:rsidP="00965215" w14:paraId="43B5789F"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23E14A79"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14F2CE37" w14:textId="77777777">
            <w:pPr>
              <w:rPr>
                <w:rFonts w:eastAsia="Calibri"/>
                <w:sz w:val="20"/>
              </w:rPr>
            </w:pPr>
            <w:r w:rsidRPr="007D6F85">
              <w:rPr>
                <w:rFonts w:eastAsia="Calibri"/>
                <w:sz w:val="20"/>
              </w:rPr>
              <w:t>2014</w:t>
            </w:r>
          </w:p>
        </w:tc>
        <w:tc>
          <w:tcPr>
            <w:tcW w:w="1695" w:type="dxa"/>
          </w:tcPr>
          <w:p w:rsidR="00965215" w:rsidRPr="007D6F85" w:rsidP="00965215" w14:paraId="41DDC7AE"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744244C9" w14:textId="77777777">
            <w:pPr>
              <w:rPr>
                <w:rFonts w:eastAsia="Calibri"/>
                <w:sz w:val="20"/>
              </w:rPr>
            </w:pPr>
            <w:r w:rsidRPr="007D6F85">
              <w:rPr>
                <w:rFonts w:eastAsia="Calibri"/>
                <w:sz w:val="20"/>
              </w:rPr>
              <w:t>1462644</w:t>
            </w:r>
          </w:p>
        </w:tc>
      </w:tr>
      <w:tr w14:paraId="46939E66" w14:textId="77777777" w:rsidTr="007D6F85">
        <w:tblPrEx>
          <w:tblW w:w="0" w:type="auto"/>
          <w:tblLook w:val="04A0"/>
        </w:tblPrEx>
        <w:trPr>
          <w:cantSplit/>
        </w:trPr>
        <w:tc>
          <w:tcPr>
            <w:tcW w:w="2075" w:type="dxa"/>
            <w:shd w:val="clear" w:color="auto" w:fill="auto"/>
          </w:tcPr>
          <w:p w:rsidR="00965215" w:rsidRPr="007D6F85" w:rsidP="00965215" w14:paraId="4EA9797E"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56A6BE53"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55E0510A" w14:textId="77777777">
            <w:pPr>
              <w:rPr>
                <w:rFonts w:eastAsia="Calibri"/>
                <w:sz w:val="20"/>
              </w:rPr>
            </w:pPr>
            <w:r w:rsidRPr="007D6F85">
              <w:rPr>
                <w:rFonts w:eastAsia="Calibri"/>
                <w:sz w:val="20"/>
              </w:rPr>
              <w:t>2014</w:t>
            </w:r>
          </w:p>
        </w:tc>
        <w:tc>
          <w:tcPr>
            <w:tcW w:w="1695" w:type="dxa"/>
          </w:tcPr>
          <w:p w:rsidR="00965215" w:rsidRPr="007D6F85" w:rsidP="00965215" w14:paraId="1991D323"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0A5DABC7" w14:textId="77777777">
            <w:pPr>
              <w:rPr>
                <w:rFonts w:eastAsia="Calibri"/>
                <w:sz w:val="20"/>
              </w:rPr>
            </w:pPr>
            <w:r w:rsidRPr="007D6F85">
              <w:rPr>
                <w:rFonts w:eastAsia="Calibri"/>
                <w:sz w:val="20"/>
              </w:rPr>
              <w:t>1462646</w:t>
            </w:r>
          </w:p>
        </w:tc>
      </w:tr>
      <w:tr w14:paraId="2CD9E340" w14:textId="77777777" w:rsidTr="007D6F85">
        <w:tblPrEx>
          <w:tblW w:w="0" w:type="auto"/>
          <w:tblLook w:val="04A0"/>
        </w:tblPrEx>
        <w:trPr>
          <w:cantSplit/>
        </w:trPr>
        <w:tc>
          <w:tcPr>
            <w:tcW w:w="2075" w:type="dxa"/>
            <w:shd w:val="clear" w:color="auto" w:fill="auto"/>
          </w:tcPr>
          <w:p w:rsidR="00965215" w:rsidRPr="007D6F85" w:rsidP="00965215" w14:paraId="2830963C" w14:textId="77777777">
            <w:pPr>
              <w:rPr>
                <w:rFonts w:eastAsia="Calibri"/>
                <w:sz w:val="20"/>
              </w:rPr>
            </w:pPr>
            <w:r w:rsidRPr="007D6F85">
              <w:rPr>
                <w:rFonts w:eastAsia="Calibri"/>
                <w:sz w:val="20"/>
              </w:rPr>
              <w:t>33149</w:t>
            </w:r>
          </w:p>
        </w:tc>
        <w:tc>
          <w:tcPr>
            <w:tcW w:w="2690" w:type="dxa"/>
            <w:shd w:val="clear" w:color="auto" w:fill="auto"/>
          </w:tcPr>
          <w:p w:rsidR="00965215" w:rsidRPr="007D6F85" w:rsidP="00965215" w14:paraId="6B0033D7" w14:textId="77777777">
            <w:pPr>
              <w:rPr>
                <w:rFonts w:eastAsia="Calibri"/>
                <w:sz w:val="20"/>
              </w:rPr>
            </w:pPr>
            <w:r w:rsidRPr="007D6F85">
              <w:rPr>
                <w:rFonts w:eastAsia="Calibri"/>
                <w:sz w:val="20"/>
              </w:rPr>
              <w:t>The Burke Center- West Austin Street</w:t>
            </w:r>
          </w:p>
        </w:tc>
        <w:tc>
          <w:tcPr>
            <w:tcW w:w="1011" w:type="dxa"/>
            <w:shd w:val="clear" w:color="auto" w:fill="auto"/>
          </w:tcPr>
          <w:p w:rsidR="00965215" w:rsidRPr="007D6F85" w:rsidP="00965215" w14:paraId="01D1BA37" w14:textId="77777777">
            <w:pPr>
              <w:rPr>
                <w:rFonts w:eastAsia="Calibri"/>
                <w:sz w:val="20"/>
              </w:rPr>
            </w:pPr>
            <w:r w:rsidRPr="007D6F85">
              <w:rPr>
                <w:rFonts w:eastAsia="Calibri"/>
                <w:sz w:val="20"/>
              </w:rPr>
              <w:t>2014</w:t>
            </w:r>
          </w:p>
        </w:tc>
        <w:tc>
          <w:tcPr>
            <w:tcW w:w="1695" w:type="dxa"/>
          </w:tcPr>
          <w:p w:rsidR="00965215" w:rsidRPr="007D6F85" w:rsidP="00965215" w14:paraId="65E1943D" w14:textId="77777777">
            <w:pPr>
              <w:rPr>
                <w:rFonts w:eastAsia="Calibri"/>
                <w:sz w:val="20"/>
              </w:rPr>
            </w:pPr>
            <w:r w:rsidRPr="007D6F85">
              <w:rPr>
                <w:rFonts w:eastAsia="Calibri"/>
                <w:sz w:val="20"/>
              </w:rPr>
              <w:t>43144429</w:t>
            </w:r>
          </w:p>
        </w:tc>
        <w:tc>
          <w:tcPr>
            <w:tcW w:w="1882" w:type="dxa"/>
            <w:shd w:val="clear" w:color="auto" w:fill="auto"/>
          </w:tcPr>
          <w:p w:rsidR="00965215" w:rsidRPr="007D6F85" w:rsidP="00965215" w14:paraId="1A00D436" w14:textId="77777777">
            <w:pPr>
              <w:rPr>
                <w:rFonts w:eastAsia="Calibri"/>
                <w:sz w:val="20"/>
              </w:rPr>
            </w:pPr>
            <w:r w:rsidRPr="007D6F85">
              <w:rPr>
                <w:rFonts w:eastAsia="Calibri"/>
                <w:sz w:val="20"/>
              </w:rPr>
              <w:t>1465687</w:t>
            </w:r>
          </w:p>
        </w:tc>
      </w:tr>
      <w:tr w14:paraId="11A1AB24" w14:textId="77777777" w:rsidTr="007D6F85">
        <w:tblPrEx>
          <w:tblW w:w="0" w:type="auto"/>
          <w:tblLook w:val="04A0"/>
        </w:tblPrEx>
        <w:trPr>
          <w:cantSplit/>
        </w:trPr>
        <w:tc>
          <w:tcPr>
            <w:tcW w:w="2075" w:type="dxa"/>
            <w:shd w:val="clear" w:color="auto" w:fill="auto"/>
          </w:tcPr>
          <w:p w:rsidR="00965215" w:rsidRPr="007D6F85" w:rsidP="00965215" w14:paraId="3DEFDA9A" w14:textId="77777777">
            <w:pPr>
              <w:rPr>
                <w:rFonts w:eastAsia="Calibri"/>
                <w:sz w:val="20"/>
              </w:rPr>
            </w:pPr>
            <w:r w:rsidRPr="007D6F85">
              <w:rPr>
                <w:rFonts w:eastAsia="Calibri"/>
                <w:sz w:val="20"/>
              </w:rPr>
              <w:t>34447</w:t>
            </w:r>
          </w:p>
        </w:tc>
        <w:tc>
          <w:tcPr>
            <w:tcW w:w="2690" w:type="dxa"/>
            <w:shd w:val="clear" w:color="auto" w:fill="auto"/>
          </w:tcPr>
          <w:p w:rsidR="00965215" w:rsidRPr="007D6F85" w:rsidP="00965215" w14:paraId="35A2234F" w14:textId="77777777">
            <w:pPr>
              <w:rPr>
                <w:rFonts w:eastAsia="Calibri"/>
                <w:sz w:val="20"/>
              </w:rPr>
            </w:pPr>
            <w:r w:rsidRPr="007D6F85">
              <w:rPr>
                <w:rFonts w:eastAsia="Calibri"/>
                <w:sz w:val="20"/>
              </w:rPr>
              <w:t>UTHSCT</w:t>
            </w:r>
            <w:r w:rsidRPr="007D6F85">
              <w:rPr>
                <w:rFonts w:eastAsia="Calibri"/>
                <w:sz w:val="20"/>
              </w:rPr>
              <w:t xml:space="preserve"> on behalf of </w:t>
            </w:r>
            <w:r w:rsidRPr="007D6F85">
              <w:rPr>
                <w:rFonts w:eastAsia="Calibri"/>
                <w:sz w:val="20"/>
              </w:rPr>
              <w:t>ETIHN</w:t>
            </w:r>
            <w:r w:rsidRPr="007D6F85">
              <w:rPr>
                <w:rFonts w:eastAsia="Calibri"/>
                <w:sz w:val="20"/>
              </w:rPr>
              <w:t>- Andrews Center</w:t>
            </w:r>
          </w:p>
        </w:tc>
        <w:tc>
          <w:tcPr>
            <w:tcW w:w="1011" w:type="dxa"/>
            <w:shd w:val="clear" w:color="auto" w:fill="auto"/>
          </w:tcPr>
          <w:p w:rsidR="00965215" w:rsidRPr="007D6F85" w:rsidP="00965215" w14:paraId="28314D9D" w14:textId="77777777">
            <w:pPr>
              <w:rPr>
                <w:rFonts w:eastAsia="Calibri"/>
                <w:sz w:val="20"/>
              </w:rPr>
            </w:pPr>
            <w:r w:rsidRPr="007D6F85">
              <w:rPr>
                <w:rFonts w:eastAsia="Calibri"/>
                <w:sz w:val="20"/>
              </w:rPr>
              <w:t>2015</w:t>
            </w:r>
          </w:p>
        </w:tc>
        <w:tc>
          <w:tcPr>
            <w:tcW w:w="1695" w:type="dxa"/>
          </w:tcPr>
          <w:p w:rsidR="00965215" w:rsidRPr="007D6F85" w:rsidP="00965215" w14:paraId="067B578E" w14:textId="77777777">
            <w:pPr>
              <w:rPr>
                <w:rFonts w:eastAsia="Calibri"/>
                <w:sz w:val="20"/>
              </w:rPr>
            </w:pPr>
            <w:r w:rsidRPr="007D6F85">
              <w:rPr>
                <w:rFonts w:eastAsia="Calibri"/>
                <w:sz w:val="20"/>
              </w:rPr>
              <w:t>43155889</w:t>
            </w:r>
          </w:p>
        </w:tc>
        <w:tc>
          <w:tcPr>
            <w:tcW w:w="1882" w:type="dxa"/>
            <w:shd w:val="clear" w:color="auto" w:fill="auto"/>
          </w:tcPr>
          <w:p w:rsidR="00965215" w:rsidRPr="007D6F85" w:rsidP="00965215" w14:paraId="44DA9C0E" w14:textId="77777777">
            <w:pPr>
              <w:rPr>
                <w:rFonts w:eastAsia="Calibri"/>
                <w:sz w:val="20"/>
              </w:rPr>
            </w:pPr>
            <w:r w:rsidRPr="007D6F85">
              <w:rPr>
                <w:rFonts w:eastAsia="Calibri"/>
                <w:sz w:val="20"/>
              </w:rPr>
              <w:t>1575203</w:t>
            </w:r>
          </w:p>
        </w:tc>
      </w:tr>
      <w:tr w14:paraId="3F847300" w14:textId="77777777" w:rsidTr="007D6F85">
        <w:tblPrEx>
          <w:tblW w:w="0" w:type="auto"/>
          <w:tblLook w:val="04A0"/>
        </w:tblPrEx>
        <w:trPr>
          <w:cantSplit/>
        </w:trPr>
        <w:tc>
          <w:tcPr>
            <w:tcW w:w="2075" w:type="dxa"/>
            <w:shd w:val="clear" w:color="auto" w:fill="auto"/>
          </w:tcPr>
          <w:p w:rsidR="00965215" w:rsidRPr="007D6F85" w:rsidP="00965215" w14:paraId="022F46B2" w14:textId="77777777">
            <w:pPr>
              <w:rPr>
                <w:rFonts w:eastAsia="Calibri"/>
                <w:sz w:val="20"/>
              </w:rPr>
            </w:pPr>
            <w:r w:rsidRPr="007D6F85">
              <w:rPr>
                <w:rFonts w:eastAsia="Calibri"/>
                <w:sz w:val="20"/>
              </w:rPr>
              <w:t>34447</w:t>
            </w:r>
          </w:p>
        </w:tc>
        <w:tc>
          <w:tcPr>
            <w:tcW w:w="2690" w:type="dxa"/>
            <w:shd w:val="clear" w:color="auto" w:fill="auto"/>
          </w:tcPr>
          <w:p w:rsidR="00965215" w:rsidRPr="007D6F85" w:rsidP="00965215" w14:paraId="6AB7BA22" w14:textId="77777777">
            <w:pPr>
              <w:rPr>
                <w:rFonts w:eastAsia="Calibri"/>
                <w:sz w:val="20"/>
              </w:rPr>
            </w:pPr>
            <w:r w:rsidRPr="007D6F85">
              <w:rPr>
                <w:rFonts w:eastAsia="Calibri"/>
                <w:sz w:val="20"/>
              </w:rPr>
              <w:t>UTHSCT</w:t>
            </w:r>
            <w:r w:rsidRPr="007D6F85">
              <w:rPr>
                <w:rFonts w:eastAsia="Calibri"/>
                <w:sz w:val="20"/>
              </w:rPr>
              <w:t xml:space="preserve"> on behalf of </w:t>
            </w:r>
            <w:r w:rsidRPr="007D6F85">
              <w:rPr>
                <w:rFonts w:eastAsia="Calibri"/>
                <w:sz w:val="20"/>
              </w:rPr>
              <w:t>ETIHN</w:t>
            </w:r>
            <w:r w:rsidRPr="007D6F85">
              <w:rPr>
                <w:rFonts w:eastAsia="Calibri"/>
                <w:sz w:val="20"/>
              </w:rPr>
              <w:t>- Andrews Center</w:t>
            </w:r>
          </w:p>
        </w:tc>
        <w:tc>
          <w:tcPr>
            <w:tcW w:w="1011" w:type="dxa"/>
            <w:shd w:val="clear" w:color="auto" w:fill="auto"/>
          </w:tcPr>
          <w:p w:rsidR="00965215" w:rsidRPr="007D6F85" w:rsidP="00965215" w14:paraId="256C8F49" w14:textId="77777777">
            <w:pPr>
              <w:rPr>
                <w:rFonts w:eastAsia="Calibri"/>
                <w:sz w:val="20"/>
              </w:rPr>
            </w:pPr>
            <w:r w:rsidRPr="007D6F85">
              <w:rPr>
                <w:rFonts w:eastAsia="Calibri"/>
                <w:sz w:val="20"/>
              </w:rPr>
              <w:t>2015</w:t>
            </w:r>
          </w:p>
        </w:tc>
        <w:tc>
          <w:tcPr>
            <w:tcW w:w="1695" w:type="dxa"/>
          </w:tcPr>
          <w:p w:rsidR="00965215" w:rsidRPr="007D6F85" w:rsidP="00965215" w14:paraId="50C1A156" w14:textId="77777777">
            <w:pPr>
              <w:rPr>
                <w:rFonts w:eastAsia="Calibri"/>
                <w:sz w:val="20"/>
              </w:rPr>
            </w:pPr>
            <w:r w:rsidRPr="007D6F85">
              <w:rPr>
                <w:rFonts w:eastAsia="Calibri"/>
                <w:sz w:val="20"/>
              </w:rPr>
              <w:t>43155889</w:t>
            </w:r>
          </w:p>
        </w:tc>
        <w:tc>
          <w:tcPr>
            <w:tcW w:w="1882" w:type="dxa"/>
            <w:shd w:val="clear" w:color="auto" w:fill="auto"/>
          </w:tcPr>
          <w:p w:rsidR="00965215" w:rsidRPr="007D6F85" w:rsidP="00965215" w14:paraId="2F573477" w14:textId="77777777">
            <w:pPr>
              <w:rPr>
                <w:rFonts w:eastAsia="Calibri"/>
                <w:sz w:val="20"/>
              </w:rPr>
            </w:pPr>
            <w:r w:rsidRPr="007D6F85">
              <w:rPr>
                <w:rFonts w:eastAsia="Calibri"/>
                <w:sz w:val="20"/>
              </w:rPr>
              <w:t>1578408</w:t>
            </w:r>
          </w:p>
        </w:tc>
      </w:tr>
      <w:tr w14:paraId="10ECC2E6" w14:textId="77777777" w:rsidTr="007D6F85">
        <w:tblPrEx>
          <w:tblW w:w="0" w:type="auto"/>
          <w:tblLook w:val="04A0"/>
        </w:tblPrEx>
        <w:trPr>
          <w:cantSplit/>
        </w:trPr>
        <w:tc>
          <w:tcPr>
            <w:tcW w:w="2075" w:type="dxa"/>
            <w:shd w:val="clear" w:color="auto" w:fill="auto"/>
          </w:tcPr>
          <w:p w:rsidR="00965215" w:rsidRPr="007D6F85" w:rsidP="00965215" w14:paraId="573CA290" w14:textId="77777777">
            <w:pPr>
              <w:rPr>
                <w:rFonts w:eastAsia="Calibri"/>
                <w:sz w:val="20"/>
              </w:rPr>
            </w:pPr>
            <w:r w:rsidRPr="007D6F85">
              <w:rPr>
                <w:rFonts w:eastAsia="Calibri"/>
                <w:sz w:val="20"/>
              </w:rPr>
              <w:t>34447</w:t>
            </w:r>
          </w:p>
        </w:tc>
        <w:tc>
          <w:tcPr>
            <w:tcW w:w="2690" w:type="dxa"/>
            <w:shd w:val="clear" w:color="auto" w:fill="auto"/>
          </w:tcPr>
          <w:p w:rsidR="00965215" w:rsidRPr="007D6F85" w:rsidP="00965215" w14:paraId="4C3546CD" w14:textId="77777777">
            <w:pPr>
              <w:rPr>
                <w:rFonts w:eastAsia="Calibri"/>
                <w:sz w:val="20"/>
              </w:rPr>
            </w:pPr>
            <w:r w:rsidRPr="007D6F85">
              <w:rPr>
                <w:rFonts w:eastAsia="Calibri"/>
                <w:sz w:val="20"/>
              </w:rPr>
              <w:t>UTHSCT</w:t>
            </w:r>
            <w:r w:rsidRPr="007D6F85">
              <w:rPr>
                <w:rFonts w:eastAsia="Calibri"/>
                <w:sz w:val="20"/>
              </w:rPr>
              <w:t xml:space="preserve"> on behalf of </w:t>
            </w:r>
            <w:r w:rsidRPr="007D6F85">
              <w:rPr>
                <w:rFonts w:eastAsia="Calibri"/>
                <w:sz w:val="20"/>
              </w:rPr>
              <w:t>ETIHN</w:t>
            </w:r>
            <w:r w:rsidRPr="007D6F85">
              <w:rPr>
                <w:rFonts w:eastAsia="Calibri"/>
                <w:sz w:val="20"/>
              </w:rPr>
              <w:t>- Andrews Center</w:t>
            </w:r>
          </w:p>
        </w:tc>
        <w:tc>
          <w:tcPr>
            <w:tcW w:w="1011" w:type="dxa"/>
            <w:shd w:val="clear" w:color="auto" w:fill="auto"/>
          </w:tcPr>
          <w:p w:rsidR="00965215" w:rsidRPr="007D6F85" w:rsidP="00965215" w14:paraId="32EA142B" w14:textId="77777777">
            <w:pPr>
              <w:rPr>
                <w:rFonts w:eastAsia="Calibri"/>
                <w:sz w:val="20"/>
              </w:rPr>
            </w:pPr>
            <w:r w:rsidRPr="007D6F85">
              <w:rPr>
                <w:rFonts w:eastAsia="Calibri"/>
                <w:sz w:val="20"/>
              </w:rPr>
              <w:t>2015</w:t>
            </w:r>
          </w:p>
        </w:tc>
        <w:tc>
          <w:tcPr>
            <w:tcW w:w="1695" w:type="dxa"/>
          </w:tcPr>
          <w:p w:rsidR="00965215" w:rsidRPr="007D6F85" w:rsidP="00965215" w14:paraId="59148C76" w14:textId="77777777">
            <w:pPr>
              <w:rPr>
                <w:rFonts w:eastAsia="Calibri"/>
                <w:sz w:val="20"/>
              </w:rPr>
            </w:pPr>
            <w:r w:rsidRPr="007D6F85">
              <w:rPr>
                <w:rFonts w:eastAsia="Calibri"/>
                <w:sz w:val="20"/>
              </w:rPr>
              <w:t>43155889</w:t>
            </w:r>
          </w:p>
        </w:tc>
        <w:tc>
          <w:tcPr>
            <w:tcW w:w="1882" w:type="dxa"/>
            <w:shd w:val="clear" w:color="auto" w:fill="auto"/>
          </w:tcPr>
          <w:p w:rsidR="00965215" w:rsidRPr="007D6F85" w:rsidP="00965215" w14:paraId="045D78B7" w14:textId="77777777">
            <w:pPr>
              <w:rPr>
                <w:rFonts w:eastAsia="Calibri"/>
                <w:sz w:val="20"/>
              </w:rPr>
            </w:pPr>
            <w:r w:rsidRPr="007D6F85">
              <w:rPr>
                <w:rFonts w:eastAsia="Calibri"/>
                <w:sz w:val="20"/>
              </w:rPr>
              <w:t>1578409</w:t>
            </w:r>
          </w:p>
        </w:tc>
      </w:tr>
      <w:tr w14:paraId="2886A5B9" w14:textId="77777777" w:rsidTr="007D6F85">
        <w:tblPrEx>
          <w:tblW w:w="0" w:type="auto"/>
          <w:tblLook w:val="04A0"/>
        </w:tblPrEx>
        <w:trPr>
          <w:cantSplit/>
        </w:trPr>
        <w:tc>
          <w:tcPr>
            <w:tcW w:w="2075" w:type="dxa"/>
            <w:shd w:val="clear" w:color="auto" w:fill="auto"/>
          </w:tcPr>
          <w:p w:rsidR="00965215" w:rsidRPr="007D6F85" w:rsidP="00965215" w14:paraId="65FDB0CB" w14:textId="77777777">
            <w:pPr>
              <w:rPr>
                <w:rFonts w:eastAsia="Calibri"/>
                <w:sz w:val="20"/>
              </w:rPr>
            </w:pPr>
            <w:r w:rsidRPr="007D6F85">
              <w:rPr>
                <w:rFonts w:eastAsia="Calibri"/>
                <w:sz w:val="20"/>
              </w:rPr>
              <w:t>34447</w:t>
            </w:r>
          </w:p>
        </w:tc>
        <w:tc>
          <w:tcPr>
            <w:tcW w:w="2690" w:type="dxa"/>
            <w:shd w:val="clear" w:color="auto" w:fill="auto"/>
          </w:tcPr>
          <w:p w:rsidR="00965215" w:rsidRPr="007D6F85" w:rsidP="00965215" w14:paraId="50744146" w14:textId="77777777">
            <w:pPr>
              <w:rPr>
                <w:rFonts w:eastAsia="Calibri"/>
                <w:sz w:val="20"/>
              </w:rPr>
            </w:pPr>
            <w:r w:rsidRPr="007D6F85">
              <w:rPr>
                <w:rFonts w:eastAsia="Calibri"/>
                <w:sz w:val="20"/>
              </w:rPr>
              <w:t>UTHSCT</w:t>
            </w:r>
            <w:r w:rsidRPr="007D6F85">
              <w:rPr>
                <w:rFonts w:eastAsia="Calibri"/>
                <w:sz w:val="20"/>
              </w:rPr>
              <w:t xml:space="preserve"> on behalf of </w:t>
            </w:r>
            <w:r w:rsidRPr="007D6F85">
              <w:rPr>
                <w:rFonts w:eastAsia="Calibri"/>
                <w:sz w:val="20"/>
              </w:rPr>
              <w:t>ETIHN</w:t>
            </w:r>
            <w:r w:rsidRPr="007D6F85">
              <w:rPr>
                <w:rFonts w:eastAsia="Calibri"/>
                <w:sz w:val="20"/>
              </w:rPr>
              <w:t>- Andrews Center</w:t>
            </w:r>
          </w:p>
        </w:tc>
        <w:tc>
          <w:tcPr>
            <w:tcW w:w="1011" w:type="dxa"/>
            <w:shd w:val="clear" w:color="auto" w:fill="auto"/>
          </w:tcPr>
          <w:p w:rsidR="00965215" w:rsidRPr="007D6F85" w:rsidP="00965215" w14:paraId="16F8F8FE" w14:textId="77777777">
            <w:pPr>
              <w:rPr>
                <w:rFonts w:eastAsia="Calibri"/>
                <w:sz w:val="20"/>
              </w:rPr>
            </w:pPr>
            <w:r w:rsidRPr="007D6F85">
              <w:rPr>
                <w:rFonts w:eastAsia="Calibri"/>
                <w:sz w:val="20"/>
              </w:rPr>
              <w:t>2015</w:t>
            </w:r>
          </w:p>
        </w:tc>
        <w:tc>
          <w:tcPr>
            <w:tcW w:w="1695" w:type="dxa"/>
          </w:tcPr>
          <w:p w:rsidR="00965215" w:rsidRPr="007D6F85" w:rsidP="00965215" w14:paraId="6874E497" w14:textId="77777777">
            <w:pPr>
              <w:rPr>
                <w:rFonts w:eastAsia="Calibri"/>
                <w:sz w:val="20"/>
              </w:rPr>
            </w:pPr>
            <w:r w:rsidRPr="007D6F85">
              <w:rPr>
                <w:rFonts w:eastAsia="Calibri"/>
                <w:sz w:val="20"/>
              </w:rPr>
              <w:t>43155889</w:t>
            </w:r>
          </w:p>
        </w:tc>
        <w:tc>
          <w:tcPr>
            <w:tcW w:w="1882" w:type="dxa"/>
            <w:shd w:val="clear" w:color="auto" w:fill="auto"/>
          </w:tcPr>
          <w:p w:rsidR="00965215" w:rsidRPr="007D6F85" w:rsidP="00965215" w14:paraId="67725729" w14:textId="77777777">
            <w:pPr>
              <w:rPr>
                <w:rFonts w:eastAsia="Calibri"/>
                <w:sz w:val="20"/>
              </w:rPr>
            </w:pPr>
            <w:r w:rsidRPr="007D6F85">
              <w:rPr>
                <w:rFonts w:eastAsia="Calibri"/>
                <w:sz w:val="20"/>
              </w:rPr>
              <w:t>1578410</w:t>
            </w:r>
          </w:p>
        </w:tc>
      </w:tr>
      <w:tr w14:paraId="1984E452" w14:textId="77777777" w:rsidTr="007D6F85">
        <w:tblPrEx>
          <w:tblW w:w="0" w:type="auto"/>
          <w:tblLook w:val="04A0"/>
        </w:tblPrEx>
        <w:trPr>
          <w:cantSplit/>
        </w:trPr>
        <w:tc>
          <w:tcPr>
            <w:tcW w:w="2075" w:type="dxa"/>
            <w:shd w:val="clear" w:color="auto" w:fill="auto"/>
          </w:tcPr>
          <w:p w:rsidR="00965215" w:rsidRPr="007D6F85" w:rsidP="00965215" w14:paraId="50907E47"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52493BFD"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5E8F3CB7" w14:textId="77777777">
            <w:pPr>
              <w:rPr>
                <w:rFonts w:eastAsia="Calibri"/>
                <w:sz w:val="20"/>
              </w:rPr>
            </w:pPr>
            <w:r w:rsidRPr="007D6F85">
              <w:rPr>
                <w:rFonts w:eastAsia="Calibri"/>
                <w:sz w:val="20"/>
              </w:rPr>
              <w:t>2015</w:t>
            </w:r>
          </w:p>
        </w:tc>
        <w:tc>
          <w:tcPr>
            <w:tcW w:w="1695" w:type="dxa"/>
          </w:tcPr>
          <w:p w:rsidR="00965215" w:rsidRPr="007D6F85" w:rsidP="00965215" w14:paraId="38191039" w14:textId="77777777">
            <w:pPr>
              <w:rPr>
                <w:rFonts w:eastAsia="Calibri"/>
                <w:sz w:val="20"/>
              </w:rPr>
            </w:pPr>
            <w:r w:rsidRPr="007D6F85">
              <w:rPr>
                <w:rFonts w:eastAsia="Calibri"/>
                <w:sz w:val="20"/>
              </w:rPr>
              <w:t>43133868</w:t>
            </w:r>
          </w:p>
        </w:tc>
        <w:tc>
          <w:tcPr>
            <w:tcW w:w="1882" w:type="dxa"/>
            <w:shd w:val="clear" w:color="auto" w:fill="auto"/>
          </w:tcPr>
          <w:p w:rsidR="00965215" w:rsidRPr="007D6F85" w:rsidP="00965215" w14:paraId="34902915" w14:textId="77777777">
            <w:pPr>
              <w:rPr>
                <w:rFonts w:eastAsia="Calibri"/>
                <w:sz w:val="20"/>
              </w:rPr>
            </w:pPr>
            <w:r w:rsidRPr="007D6F85">
              <w:rPr>
                <w:rFonts w:eastAsia="Calibri"/>
                <w:sz w:val="20"/>
              </w:rPr>
              <w:t>1578411</w:t>
            </w:r>
          </w:p>
        </w:tc>
      </w:tr>
      <w:tr w14:paraId="5C2A2B96" w14:textId="77777777" w:rsidTr="007D6F85">
        <w:tblPrEx>
          <w:tblW w:w="0" w:type="auto"/>
          <w:tblLook w:val="04A0"/>
        </w:tblPrEx>
        <w:trPr>
          <w:cantSplit/>
        </w:trPr>
        <w:tc>
          <w:tcPr>
            <w:tcW w:w="2075" w:type="dxa"/>
            <w:shd w:val="clear" w:color="auto" w:fill="auto"/>
          </w:tcPr>
          <w:p w:rsidR="00965215" w:rsidRPr="007D6F85" w:rsidP="00965215" w14:paraId="1A37E187"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6CD3B34F"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1092D18B" w14:textId="77777777">
            <w:pPr>
              <w:rPr>
                <w:rFonts w:eastAsia="Calibri"/>
                <w:sz w:val="20"/>
              </w:rPr>
            </w:pPr>
            <w:r w:rsidRPr="007D6F85">
              <w:rPr>
                <w:rFonts w:eastAsia="Calibri"/>
                <w:sz w:val="20"/>
              </w:rPr>
              <w:t>2015</w:t>
            </w:r>
          </w:p>
        </w:tc>
        <w:tc>
          <w:tcPr>
            <w:tcW w:w="1695" w:type="dxa"/>
          </w:tcPr>
          <w:p w:rsidR="00965215" w:rsidRPr="007D6F85" w:rsidP="00965215" w14:paraId="6B7D6E13" w14:textId="77777777">
            <w:pPr>
              <w:rPr>
                <w:rFonts w:eastAsia="Calibri"/>
                <w:sz w:val="20"/>
              </w:rPr>
            </w:pPr>
            <w:r w:rsidRPr="007D6F85">
              <w:rPr>
                <w:rFonts w:eastAsia="Calibri"/>
                <w:sz w:val="20"/>
              </w:rPr>
              <w:t>43133868</w:t>
            </w:r>
          </w:p>
        </w:tc>
        <w:tc>
          <w:tcPr>
            <w:tcW w:w="1882" w:type="dxa"/>
            <w:shd w:val="clear" w:color="auto" w:fill="auto"/>
          </w:tcPr>
          <w:p w:rsidR="00965215" w:rsidRPr="007D6F85" w:rsidP="00965215" w14:paraId="45F4D207" w14:textId="77777777">
            <w:pPr>
              <w:rPr>
                <w:rFonts w:eastAsia="Calibri"/>
                <w:sz w:val="20"/>
              </w:rPr>
            </w:pPr>
            <w:r w:rsidRPr="007D6F85">
              <w:rPr>
                <w:rFonts w:eastAsia="Calibri"/>
                <w:sz w:val="20"/>
              </w:rPr>
              <w:t>1578413</w:t>
            </w:r>
          </w:p>
        </w:tc>
      </w:tr>
      <w:tr w14:paraId="68FB57EE" w14:textId="77777777" w:rsidTr="007D6F85">
        <w:tblPrEx>
          <w:tblW w:w="0" w:type="auto"/>
          <w:tblLook w:val="04A0"/>
        </w:tblPrEx>
        <w:trPr>
          <w:cantSplit/>
        </w:trPr>
        <w:tc>
          <w:tcPr>
            <w:tcW w:w="2075" w:type="dxa"/>
            <w:shd w:val="clear" w:color="auto" w:fill="auto"/>
          </w:tcPr>
          <w:p w:rsidR="00965215" w:rsidRPr="007D6F85" w:rsidP="00965215" w14:paraId="58D6F98D"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4A306AD1"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3E7EB08A" w14:textId="77777777">
            <w:pPr>
              <w:rPr>
                <w:rFonts w:eastAsia="Calibri"/>
                <w:sz w:val="20"/>
              </w:rPr>
            </w:pPr>
            <w:r w:rsidRPr="007D6F85">
              <w:rPr>
                <w:rFonts w:eastAsia="Calibri"/>
                <w:sz w:val="20"/>
              </w:rPr>
              <w:t>2015</w:t>
            </w:r>
          </w:p>
        </w:tc>
        <w:tc>
          <w:tcPr>
            <w:tcW w:w="1695" w:type="dxa"/>
          </w:tcPr>
          <w:p w:rsidR="00965215" w:rsidRPr="007D6F85" w:rsidP="00965215" w14:paraId="1D476518" w14:textId="77777777">
            <w:pPr>
              <w:rPr>
                <w:rFonts w:eastAsia="Calibri"/>
                <w:sz w:val="20"/>
              </w:rPr>
            </w:pPr>
            <w:r w:rsidRPr="007D6F85">
              <w:rPr>
                <w:rFonts w:eastAsia="Calibri"/>
                <w:sz w:val="20"/>
              </w:rPr>
              <w:t>43133868</w:t>
            </w:r>
          </w:p>
        </w:tc>
        <w:tc>
          <w:tcPr>
            <w:tcW w:w="1882" w:type="dxa"/>
            <w:shd w:val="clear" w:color="auto" w:fill="auto"/>
          </w:tcPr>
          <w:p w:rsidR="00965215" w:rsidRPr="007D6F85" w:rsidP="00965215" w14:paraId="56FDFDB8" w14:textId="77777777">
            <w:pPr>
              <w:rPr>
                <w:rFonts w:eastAsia="Calibri"/>
                <w:sz w:val="20"/>
              </w:rPr>
            </w:pPr>
            <w:r w:rsidRPr="007D6F85">
              <w:rPr>
                <w:rFonts w:eastAsia="Calibri"/>
                <w:sz w:val="20"/>
              </w:rPr>
              <w:t>1578414</w:t>
            </w:r>
          </w:p>
        </w:tc>
      </w:tr>
      <w:tr w14:paraId="0658FAD8" w14:textId="77777777" w:rsidTr="007D6F85">
        <w:tblPrEx>
          <w:tblW w:w="0" w:type="auto"/>
          <w:tblLook w:val="04A0"/>
        </w:tblPrEx>
        <w:trPr>
          <w:cantSplit/>
        </w:trPr>
        <w:tc>
          <w:tcPr>
            <w:tcW w:w="2075" w:type="dxa"/>
            <w:shd w:val="clear" w:color="auto" w:fill="auto"/>
          </w:tcPr>
          <w:p w:rsidR="00965215" w:rsidRPr="007D6F85" w:rsidP="00965215" w14:paraId="0D69285F"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163E6F00"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74350619" w14:textId="77777777">
            <w:pPr>
              <w:rPr>
                <w:rFonts w:eastAsia="Calibri"/>
                <w:sz w:val="20"/>
              </w:rPr>
            </w:pPr>
            <w:r w:rsidRPr="007D6F85">
              <w:rPr>
                <w:rFonts w:eastAsia="Calibri"/>
                <w:sz w:val="20"/>
              </w:rPr>
              <w:t>2015</w:t>
            </w:r>
          </w:p>
        </w:tc>
        <w:tc>
          <w:tcPr>
            <w:tcW w:w="1695" w:type="dxa"/>
          </w:tcPr>
          <w:p w:rsidR="00965215" w:rsidRPr="007D6F85" w:rsidP="00965215" w14:paraId="3137E8A4" w14:textId="77777777">
            <w:pPr>
              <w:rPr>
                <w:rFonts w:eastAsia="Calibri"/>
                <w:sz w:val="20"/>
              </w:rPr>
            </w:pPr>
            <w:r w:rsidRPr="007D6F85">
              <w:rPr>
                <w:rFonts w:eastAsia="Calibri"/>
                <w:sz w:val="20"/>
              </w:rPr>
              <w:t>43133868</w:t>
            </w:r>
          </w:p>
        </w:tc>
        <w:tc>
          <w:tcPr>
            <w:tcW w:w="1882" w:type="dxa"/>
            <w:shd w:val="clear" w:color="auto" w:fill="auto"/>
          </w:tcPr>
          <w:p w:rsidR="00965215" w:rsidRPr="007D6F85" w:rsidP="00965215" w14:paraId="48E4A349" w14:textId="77777777">
            <w:pPr>
              <w:rPr>
                <w:rFonts w:eastAsia="Calibri"/>
                <w:sz w:val="20"/>
              </w:rPr>
            </w:pPr>
            <w:r w:rsidRPr="007D6F85">
              <w:rPr>
                <w:rFonts w:eastAsia="Calibri"/>
                <w:sz w:val="20"/>
              </w:rPr>
              <w:t>1578415</w:t>
            </w:r>
          </w:p>
        </w:tc>
      </w:tr>
      <w:tr w14:paraId="4C5D9CCB" w14:textId="77777777" w:rsidTr="007D6F85">
        <w:tblPrEx>
          <w:tblW w:w="0" w:type="auto"/>
          <w:tblLook w:val="04A0"/>
        </w:tblPrEx>
        <w:trPr>
          <w:cantSplit/>
        </w:trPr>
        <w:tc>
          <w:tcPr>
            <w:tcW w:w="2075" w:type="dxa"/>
            <w:shd w:val="clear" w:color="auto" w:fill="auto"/>
          </w:tcPr>
          <w:p w:rsidR="00965215" w:rsidRPr="007D6F85" w:rsidP="00965215" w14:paraId="1E9BE359"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5D6D8D9E"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4EDEE0C1" w14:textId="77777777">
            <w:pPr>
              <w:rPr>
                <w:rFonts w:eastAsia="Calibri"/>
                <w:sz w:val="20"/>
              </w:rPr>
            </w:pPr>
            <w:r w:rsidRPr="007D6F85">
              <w:rPr>
                <w:rFonts w:eastAsia="Calibri"/>
                <w:sz w:val="20"/>
              </w:rPr>
              <w:t>2015</w:t>
            </w:r>
          </w:p>
        </w:tc>
        <w:tc>
          <w:tcPr>
            <w:tcW w:w="1695" w:type="dxa"/>
          </w:tcPr>
          <w:p w:rsidR="00965215" w:rsidRPr="007D6F85" w:rsidP="00965215" w14:paraId="57613DB4" w14:textId="77777777">
            <w:pPr>
              <w:rPr>
                <w:rFonts w:eastAsia="Calibri"/>
                <w:sz w:val="20"/>
              </w:rPr>
            </w:pPr>
            <w:r w:rsidRPr="007D6F85">
              <w:rPr>
                <w:rFonts w:eastAsia="Calibri"/>
                <w:sz w:val="20"/>
              </w:rPr>
              <w:t>43144511</w:t>
            </w:r>
          </w:p>
        </w:tc>
        <w:tc>
          <w:tcPr>
            <w:tcW w:w="1882" w:type="dxa"/>
            <w:shd w:val="clear" w:color="auto" w:fill="auto"/>
          </w:tcPr>
          <w:p w:rsidR="00965215" w:rsidRPr="007D6F85" w:rsidP="00965215" w14:paraId="48890A51" w14:textId="77777777">
            <w:pPr>
              <w:rPr>
                <w:rFonts w:eastAsia="Calibri"/>
                <w:sz w:val="20"/>
              </w:rPr>
            </w:pPr>
            <w:r w:rsidRPr="007D6F85">
              <w:rPr>
                <w:rFonts w:eastAsia="Calibri"/>
                <w:sz w:val="20"/>
              </w:rPr>
              <w:t>1578416</w:t>
            </w:r>
          </w:p>
        </w:tc>
      </w:tr>
      <w:tr w14:paraId="43061C4A" w14:textId="77777777" w:rsidTr="007D6F85">
        <w:tblPrEx>
          <w:tblW w:w="0" w:type="auto"/>
          <w:tblLook w:val="04A0"/>
        </w:tblPrEx>
        <w:trPr>
          <w:cantSplit/>
        </w:trPr>
        <w:tc>
          <w:tcPr>
            <w:tcW w:w="2075" w:type="dxa"/>
            <w:shd w:val="clear" w:color="auto" w:fill="auto"/>
          </w:tcPr>
          <w:p w:rsidR="00965215" w:rsidRPr="007D6F85" w:rsidP="00965215" w14:paraId="3E54E9A5"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5A9426DF"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00A4213E" w14:textId="77777777">
            <w:pPr>
              <w:rPr>
                <w:rFonts w:eastAsia="Calibri"/>
                <w:sz w:val="20"/>
              </w:rPr>
            </w:pPr>
            <w:r w:rsidRPr="007D6F85">
              <w:rPr>
                <w:rFonts w:eastAsia="Calibri"/>
                <w:sz w:val="20"/>
              </w:rPr>
              <w:t>2015</w:t>
            </w:r>
          </w:p>
        </w:tc>
        <w:tc>
          <w:tcPr>
            <w:tcW w:w="1695" w:type="dxa"/>
          </w:tcPr>
          <w:p w:rsidR="00965215" w:rsidRPr="007D6F85" w:rsidP="00965215" w14:paraId="339BEE0A" w14:textId="77777777">
            <w:pPr>
              <w:rPr>
                <w:rFonts w:eastAsia="Calibri"/>
                <w:sz w:val="20"/>
              </w:rPr>
            </w:pPr>
            <w:r w:rsidRPr="007D6F85">
              <w:rPr>
                <w:rFonts w:eastAsia="Calibri"/>
                <w:sz w:val="20"/>
              </w:rPr>
              <w:t>43144511</w:t>
            </w:r>
          </w:p>
        </w:tc>
        <w:tc>
          <w:tcPr>
            <w:tcW w:w="1882" w:type="dxa"/>
            <w:shd w:val="clear" w:color="auto" w:fill="auto"/>
          </w:tcPr>
          <w:p w:rsidR="00965215" w:rsidRPr="007D6F85" w:rsidP="00965215" w14:paraId="0007B70D" w14:textId="77777777">
            <w:pPr>
              <w:rPr>
                <w:rFonts w:eastAsia="Calibri"/>
                <w:sz w:val="20"/>
              </w:rPr>
            </w:pPr>
            <w:r w:rsidRPr="007D6F85">
              <w:rPr>
                <w:rFonts w:eastAsia="Calibri"/>
                <w:sz w:val="20"/>
              </w:rPr>
              <w:t>1578417</w:t>
            </w:r>
          </w:p>
        </w:tc>
      </w:tr>
      <w:tr w14:paraId="51BF14F3" w14:textId="77777777" w:rsidTr="007D6F85">
        <w:tblPrEx>
          <w:tblW w:w="0" w:type="auto"/>
          <w:tblLook w:val="04A0"/>
        </w:tblPrEx>
        <w:trPr>
          <w:cantSplit/>
        </w:trPr>
        <w:tc>
          <w:tcPr>
            <w:tcW w:w="2075" w:type="dxa"/>
            <w:shd w:val="clear" w:color="auto" w:fill="auto"/>
          </w:tcPr>
          <w:p w:rsidR="00965215" w:rsidRPr="007D6F85" w:rsidP="00965215" w14:paraId="5C782BAC"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09303AC2"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1A4ACCB7" w14:textId="77777777">
            <w:pPr>
              <w:rPr>
                <w:rFonts w:eastAsia="Calibri"/>
                <w:sz w:val="20"/>
              </w:rPr>
            </w:pPr>
            <w:r w:rsidRPr="007D6F85">
              <w:rPr>
                <w:rFonts w:eastAsia="Calibri"/>
                <w:sz w:val="20"/>
              </w:rPr>
              <w:t>2015</w:t>
            </w:r>
          </w:p>
        </w:tc>
        <w:tc>
          <w:tcPr>
            <w:tcW w:w="1695" w:type="dxa"/>
          </w:tcPr>
          <w:p w:rsidR="00965215" w:rsidRPr="007D6F85" w:rsidP="00965215" w14:paraId="429C50B6" w14:textId="77777777">
            <w:pPr>
              <w:rPr>
                <w:rFonts w:eastAsia="Calibri"/>
                <w:sz w:val="20"/>
              </w:rPr>
            </w:pPr>
            <w:r w:rsidRPr="007D6F85">
              <w:rPr>
                <w:rFonts w:eastAsia="Calibri"/>
                <w:sz w:val="20"/>
              </w:rPr>
              <w:t>43144511</w:t>
            </w:r>
          </w:p>
        </w:tc>
        <w:tc>
          <w:tcPr>
            <w:tcW w:w="1882" w:type="dxa"/>
            <w:shd w:val="clear" w:color="auto" w:fill="auto"/>
          </w:tcPr>
          <w:p w:rsidR="00965215" w:rsidRPr="007D6F85" w:rsidP="00965215" w14:paraId="01D133DB" w14:textId="77777777">
            <w:pPr>
              <w:rPr>
                <w:rFonts w:eastAsia="Calibri"/>
                <w:sz w:val="20"/>
              </w:rPr>
            </w:pPr>
            <w:r w:rsidRPr="007D6F85">
              <w:rPr>
                <w:rFonts w:eastAsia="Calibri"/>
                <w:sz w:val="20"/>
              </w:rPr>
              <w:t>1578418</w:t>
            </w:r>
          </w:p>
        </w:tc>
      </w:tr>
      <w:tr w14:paraId="5403F1B8" w14:textId="77777777" w:rsidTr="007D6F85">
        <w:tblPrEx>
          <w:tblW w:w="0" w:type="auto"/>
          <w:tblLook w:val="04A0"/>
        </w:tblPrEx>
        <w:trPr>
          <w:cantSplit/>
        </w:trPr>
        <w:tc>
          <w:tcPr>
            <w:tcW w:w="2075" w:type="dxa"/>
            <w:shd w:val="clear" w:color="auto" w:fill="auto"/>
          </w:tcPr>
          <w:p w:rsidR="00965215" w:rsidRPr="007D6F85" w:rsidP="00965215" w14:paraId="2A93978E"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7B29F4EE"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13A64035" w14:textId="77777777">
            <w:pPr>
              <w:rPr>
                <w:rFonts w:eastAsia="Calibri"/>
                <w:sz w:val="20"/>
              </w:rPr>
            </w:pPr>
            <w:r w:rsidRPr="007D6F85">
              <w:rPr>
                <w:rFonts w:eastAsia="Calibri"/>
                <w:sz w:val="20"/>
              </w:rPr>
              <w:t>2015</w:t>
            </w:r>
          </w:p>
        </w:tc>
        <w:tc>
          <w:tcPr>
            <w:tcW w:w="1695" w:type="dxa"/>
          </w:tcPr>
          <w:p w:rsidR="00965215" w:rsidRPr="007D6F85" w:rsidP="00965215" w14:paraId="6BF9DA89" w14:textId="77777777">
            <w:pPr>
              <w:rPr>
                <w:rFonts w:eastAsia="Calibri"/>
                <w:sz w:val="20"/>
              </w:rPr>
            </w:pPr>
            <w:r w:rsidRPr="007D6F85">
              <w:rPr>
                <w:rFonts w:eastAsia="Calibri"/>
                <w:sz w:val="20"/>
              </w:rPr>
              <w:t>43123237</w:t>
            </w:r>
          </w:p>
        </w:tc>
        <w:tc>
          <w:tcPr>
            <w:tcW w:w="1882" w:type="dxa"/>
            <w:shd w:val="clear" w:color="auto" w:fill="auto"/>
          </w:tcPr>
          <w:p w:rsidR="00965215" w:rsidRPr="007D6F85" w:rsidP="00965215" w14:paraId="6B41BD31" w14:textId="77777777">
            <w:pPr>
              <w:rPr>
                <w:rFonts w:eastAsia="Calibri"/>
                <w:sz w:val="20"/>
              </w:rPr>
            </w:pPr>
            <w:r w:rsidRPr="007D6F85">
              <w:rPr>
                <w:rFonts w:eastAsia="Calibri"/>
                <w:sz w:val="20"/>
              </w:rPr>
              <w:t>1578419</w:t>
            </w:r>
          </w:p>
        </w:tc>
      </w:tr>
      <w:tr w14:paraId="266A14BE" w14:textId="77777777" w:rsidTr="007D6F85">
        <w:tblPrEx>
          <w:tblW w:w="0" w:type="auto"/>
          <w:tblLook w:val="04A0"/>
        </w:tblPrEx>
        <w:trPr>
          <w:cantSplit/>
        </w:trPr>
        <w:tc>
          <w:tcPr>
            <w:tcW w:w="2075" w:type="dxa"/>
            <w:shd w:val="clear" w:color="auto" w:fill="auto"/>
          </w:tcPr>
          <w:p w:rsidR="00965215" w:rsidRPr="007D6F85" w:rsidP="00965215" w14:paraId="365CEF7E"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265C91D6"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48538925" w14:textId="77777777">
            <w:pPr>
              <w:rPr>
                <w:rFonts w:eastAsia="Calibri"/>
                <w:sz w:val="20"/>
              </w:rPr>
            </w:pPr>
            <w:r w:rsidRPr="007D6F85">
              <w:rPr>
                <w:rFonts w:eastAsia="Calibri"/>
                <w:sz w:val="20"/>
              </w:rPr>
              <w:t>2015</w:t>
            </w:r>
          </w:p>
        </w:tc>
        <w:tc>
          <w:tcPr>
            <w:tcW w:w="1695" w:type="dxa"/>
          </w:tcPr>
          <w:p w:rsidR="00965215" w:rsidRPr="007D6F85" w:rsidP="00965215" w14:paraId="47C13871" w14:textId="77777777">
            <w:pPr>
              <w:rPr>
                <w:rFonts w:eastAsia="Calibri"/>
                <w:sz w:val="20"/>
              </w:rPr>
            </w:pPr>
            <w:r w:rsidRPr="007D6F85">
              <w:rPr>
                <w:rFonts w:eastAsia="Calibri"/>
                <w:sz w:val="20"/>
              </w:rPr>
              <w:t>43123240</w:t>
            </w:r>
          </w:p>
        </w:tc>
        <w:tc>
          <w:tcPr>
            <w:tcW w:w="1882" w:type="dxa"/>
            <w:shd w:val="clear" w:color="auto" w:fill="auto"/>
          </w:tcPr>
          <w:p w:rsidR="00965215" w:rsidRPr="007D6F85" w:rsidP="00965215" w14:paraId="5A9F2562" w14:textId="77777777">
            <w:pPr>
              <w:rPr>
                <w:rFonts w:eastAsia="Calibri"/>
                <w:sz w:val="20"/>
              </w:rPr>
            </w:pPr>
            <w:r w:rsidRPr="007D6F85">
              <w:rPr>
                <w:rFonts w:eastAsia="Calibri"/>
                <w:sz w:val="20"/>
              </w:rPr>
              <w:t>1578420</w:t>
            </w:r>
          </w:p>
        </w:tc>
      </w:tr>
      <w:tr w14:paraId="60172D62" w14:textId="77777777" w:rsidTr="007D6F85">
        <w:tblPrEx>
          <w:tblW w:w="0" w:type="auto"/>
          <w:tblLook w:val="04A0"/>
        </w:tblPrEx>
        <w:trPr>
          <w:cantSplit/>
        </w:trPr>
        <w:tc>
          <w:tcPr>
            <w:tcW w:w="2075" w:type="dxa"/>
            <w:shd w:val="clear" w:color="auto" w:fill="auto"/>
          </w:tcPr>
          <w:p w:rsidR="00965215" w:rsidRPr="007D6F85" w:rsidP="00965215" w14:paraId="4EAA8554" w14:textId="77777777">
            <w:pPr>
              <w:rPr>
                <w:rFonts w:eastAsia="Calibri"/>
                <w:sz w:val="20"/>
              </w:rPr>
            </w:pPr>
            <w:r w:rsidRPr="007D6F85">
              <w:rPr>
                <w:rFonts w:eastAsia="Calibri"/>
                <w:sz w:val="20"/>
              </w:rPr>
              <w:t>26649</w:t>
            </w:r>
          </w:p>
        </w:tc>
        <w:tc>
          <w:tcPr>
            <w:tcW w:w="2690" w:type="dxa"/>
            <w:shd w:val="clear" w:color="auto" w:fill="auto"/>
          </w:tcPr>
          <w:p w:rsidR="00965215" w:rsidRPr="007D6F85" w:rsidP="00965215" w14:paraId="7EC9CC37" w14:textId="77777777">
            <w:pPr>
              <w:rPr>
                <w:rFonts w:eastAsia="Calibri"/>
                <w:sz w:val="20"/>
              </w:rPr>
            </w:pPr>
            <w:r w:rsidRPr="007D6F85">
              <w:rPr>
                <w:rFonts w:eastAsia="Calibri"/>
                <w:sz w:val="20"/>
              </w:rPr>
              <w:t>Trinity Valley Community College</w:t>
            </w:r>
          </w:p>
        </w:tc>
        <w:tc>
          <w:tcPr>
            <w:tcW w:w="1011" w:type="dxa"/>
            <w:shd w:val="clear" w:color="auto" w:fill="auto"/>
          </w:tcPr>
          <w:p w:rsidR="00965215" w:rsidRPr="007D6F85" w:rsidP="00965215" w14:paraId="1EAC5EFB" w14:textId="77777777">
            <w:pPr>
              <w:rPr>
                <w:rFonts w:eastAsia="Calibri"/>
                <w:sz w:val="20"/>
              </w:rPr>
            </w:pPr>
            <w:r w:rsidRPr="007D6F85">
              <w:rPr>
                <w:rFonts w:eastAsia="Calibri"/>
                <w:sz w:val="20"/>
              </w:rPr>
              <w:t>2015</w:t>
            </w:r>
          </w:p>
        </w:tc>
        <w:tc>
          <w:tcPr>
            <w:tcW w:w="1695" w:type="dxa"/>
          </w:tcPr>
          <w:p w:rsidR="00965215" w:rsidRPr="007D6F85" w:rsidP="00965215" w14:paraId="55C4868B" w14:textId="77777777">
            <w:pPr>
              <w:rPr>
                <w:rFonts w:eastAsia="Calibri"/>
                <w:sz w:val="20"/>
              </w:rPr>
            </w:pPr>
            <w:r w:rsidRPr="007D6F85">
              <w:rPr>
                <w:rFonts w:eastAsia="Calibri"/>
                <w:sz w:val="20"/>
              </w:rPr>
              <w:t>43155659</w:t>
            </w:r>
          </w:p>
        </w:tc>
        <w:tc>
          <w:tcPr>
            <w:tcW w:w="1882" w:type="dxa"/>
            <w:shd w:val="clear" w:color="auto" w:fill="auto"/>
          </w:tcPr>
          <w:p w:rsidR="00965215" w:rsidRPr="007D6F85" w:rsidP="00965215" w14:paraId="6F6A67A6" w14:textId="77777777">
            <w:pPr>
              <w:rPr>
                <w:rFonts w:eastAsia="Calibri"/>
                <w:sz w:val="20"/>
              </w:rPr>
            </w:pPr>
            <w:r w:rsidRPr="007D6F85">
              <w:rPr>
                <w:rFonts w:eastAsia="Calibri"/>
                <w:sz w:val="20"/>
              </w:rPr>
              <w:t>1578421</w:t>
            </w:r>
          </w:p>
        </w:tc>
      </w:tr>
    </w:tbl>
    <w:p w:rsidR="00965215" w:rsidRPr="00965215" w:rsidP="00965215" w14:paraId="7434FFF6" w14:textId="77777777">
      <w:pPr>
        <w:rPr>
          <w:szCs w:val="22"/>
        </w:rPr>
      </w:pPr>
    </w:p>
    <w:p w:rsidR="00412FC5" w:rsidRPr="00965215" w:rsidP="00965215" w14:paraId="331530C0" w14:textId="77777777">
      <w:pPr>
        <w:pStyle w:val="Heading1"/>
        <w:numPr>
          <w:ilvl w:val="0"/>
          <w:numId w:val="0"/>
        </w:numPr>
        <w:rPr>
          <w:rFonts w:ascii="Times New Roman" w:hAnsi="Times New Roman"/>
          <w:szCs w:val="22"/>
        </w:rPr>
      </w:pPr>
    </w:p>
    <w:sectPr w:rsidSect="00AB3B6C">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215" w:rsidP="0055614C" w14:paraId="72DDCB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65215" w14:paraId="41D1D6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215" w:rsidP="00965215" w14:paraId="21BAA67C" w14:textId="23BE66E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215" w14:paraId="083EF8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5215" w14:paraId="4EFBF776" w14:textId="77777777">
      <w:r>
        <w:separator/>
      </w:r>
    </w:p>
  </w:footnote>
  <w:footnote w:type="continuationSeparator" w:id="1">
    <w:p w:rsidR="00965215" w:rsidP="00C721AC" w14:paraId="515714A3" w14:textId="77777777">
      <w:pPr>
        <w:spacing w:before="120"/>
        <w:rPr>
          <w:sz w:val="20"/>
        </w:rPr>
      </w:pPr>
      <w:r>
        <w:rPr>
          <w:sz w:val="20"/>
        </w:rPr>
        <w:t xml:space="preserve">(Continued from previous page)  </w:t>
      </w:r>
      <w:r>
        <w:rPr>
          <w:sz w:val="20"/>
        </w:rPr>
        <w:separator/>
      </w:r>
    </w:p>
  </w:footnote>
  <w:footnote w:type="continuationNotice" w:id="2">
    <w:p w:rsidR="00965215" w:rsidP="00C721AC" w14:paraId="1673E529" w14:textId="77777777">
      <w:pPr>
        <w:jc w:val="right"/>
        <w:rPr>
          <w:sz w:val="20"/>
        </w:rPr>
      </w:pPr>
      <w:r>
        <w:rPr>
          <w:sz w:val="20"/>
        </w:rPr>
        <w:t>(continued….)</w:t>
      </w:r>
    </w:p>
  </w:footnote>
  <w:footnote w:id="3">
    <w:p w:rsidR="00965215" w:rsidRPr="00C2355C" w:rsidP="00965215" w14:paraId="4FD34C92" w14:textId="77777777">
      <w:pPr>
        <w:pStyle w:val="FootnoteText"/>
      </w:pPr>
      <w:r w:rsidRPr="00C2355C">
        <w:rPr>
          <w:rStyle w:val="FootnoteReference"/>
        </w:rPr>
        <w:footnoteRef/>
      </w:r>
      <w:r>
        <w:t xml:space="preserve"> Request for Review</w:t>
      </w:r>
      <w:r w:rsidRPr="00C2355C">
        <w:t xml:space="preserve">, WC Docket No. 02-60 (filed </w:t>
      </w:r>
      <w:r>
        <w:t>Aug. 23, 2018) (Windstream Request for Review); Request for Review</w:t>
      </w:r>
      <w:r w:rsidRPr="00C2355C">
        <w:t>, WC Docket No. 02-60 (filed A</w:t>
      </w:r>
      <w:r>
        <w:t>ug. 29</w:t>
      </w:r>
      <w:r w:rsidRPr="00C2355C">
        <w:t>, 20</w:t>
      </w:r>
      <w:r>
        <w:t>18</w:t>
      </w:r>
      <w:r w:rsidRPr="00C2355C">
        <w:t>) (</w:t>
      </w:r>
      <w:r>
        <w:t>ABS Request for Review</w:t>
      </w:r>
      <w:r w:rsidRPr="00C2355C">
        <w:t>)</w:t>
      </w:r>
      <w:r>
        <w:t>; Opposition in Part to Request for Review, WC Docket No. 02-60 (filed Sept. 4, 2018</w:t>
      </w:r>
      <w:r w:rsidRPr="00D74B54">
        <w:t xml:space="preserve">) (ABS Opposition); Reply in Support of Request for Review, WC Docket No. 02-60 (filed Sept. 11, 2018) (Windstream Reply).  Per </w:t>
      </w:r>
      <w:r w:rsidRPr="00D74B54">
        <w:t>ABS’s</w:t>
      </w:r>
      <w:r w:rsidRPr="00D74B54">
        <w:t xml:space="preserve"> request, we waive the appeal filing deadline for ABS, which submitted its request for review of USAC’s decisions</w:t>
      </w:r>
      <w:r>
        <w:t xml:space="preserve"> to the Commission less than two minutes late.  </w:t>
      </w:r>
      <w:r w:rsidRPr="00D829E5">
        <w:rPr>
          <w:i/>
          <w:iCs/>
        </w:rPr>
        <w:t>See</w:t>
      </w:r>
      <w:r w:rsidRPr="00E93043">
        <w:t xml:space="preserve"> </w:t>
      </w:r>
      <w:r>
        <w:t xml:space="preserve">Request for Rule Waiver, WC Docket No. 02-60 (filed Sept. 11, 2018) (seeking a waiver of the appeal filing deadline set forth in section 54.720 of the Commission’s rules).  </w:t>
      </w:r>
      <w:r w:rsidRPr="00D829E5">
        <w:rPr>
          <w:i/>
          <w:iCs/>
        </w:rPr>
        <w:t xml:space="preserve">Requests for Review and/or Waiver of Decisions of the Universal Service Administrator by ABC Unified School District et al.; Schools and Libraries Universal Service Support Mechanism, </w:t>
      </w:r>
      <w:r w:rsidRPr="00D829E5">
        <w:t>CC Docket No. 02-6, Order, 26 FCC Rcd 11019, para. 2 (WCB 2011)</w:t>
      </w:r>
      <w:r>
        <w:t xml:space="preserve"> </w:t>
      </w:r>
      <w:r w:rsidRPr="00D829E5">
        <w:t>(waiving the filing deadline for petitioners that submitted their appeals to the Commission or USAC only a few days late).</w:t>
      </w:r>
      <w:r>
        <w:t xml:space="preserve">  </w:t>
      </w:r>
      <w:r w:rsidRPr="00C2355C">
        <w:t>The funding request numbers (</w:t>
      </w:r>
      <w:r w:rsidRPr="00C2355C">
        <w:t>FRNs</w:t>
      </w:r>
      <w:r w:rsidRPr="00C2355C">
        <w:t>) affected by</w:t>
      </w:r>
      <w:r>
        <w:t xml:space="preserve"> USAC’s decisions are listed in the Appendix.</w:t>
      </w:r>
      <w:r w:rsidRPr="00C2355C">
        <w:t xml:space="preserve"> </w:t>
      </w:r>
      <w:r>
        <w:t xml:space="preserve"> </w:t>
      </w:r>
      <w:r w:rsidRPr="00C2355C">
        <w:t>Section 54.719(</w:t>
      </w:r>
      <w:r>
        <w:t>b</w:t>
      </w:r>
      <w:r w:rsidRPr="00C2355C">
        <w:t xml:space="preserve">) of the Commission’s rules provides that any </w:t>
      </w:r>
      <w:r>
        <w:t xml:space="preserve">party </w:t>
      </w:r>
      <w:r w:rsidRPr="00C2355C">
        <w:t>aggrieved by an action taken by USAC may seek review from the Commission</w:t>
      </w:r>
      <w:r>
        <w:t xml:space="preserve"> after seeking review by USAC</w:t>
      </w:r>
      <w:r w:rsidRPr="00C2355C">
        <w:t>.  47 CFR § 54.719(</w:t>
      </w:r>
      <w:r>
        <w:t>b</w:t>
      </w:r>
      <w:r w:rsidRPr="00C2355C">
        <w:t>).</w:t>
      </w:r>
      <w:r>
        <w:t xml:space="preserve">  The parties timely sought review by USAC in this proceeding.  </w:t>
      </w:r>
      <w:r>
        <w:rPr>
          <w:i/>
        </w:rPr>
        <w:t>Se</w:t>
      </w:r>
      <w:r w:rsidRPr="00D74B54">
        <w:rPr>
          <w:i/>
        </w:rPr>
        <w:t>e infra</w:t>
      </w:r>
      <w:r>
        <w:t xml:space="preserve"> paras. 10, 11.     </w:t>
      </w:r>
    </w:p>
  </w:footnote>
  <w:footnote w:id="4">
    <w:p w:rsidR="00965215" w:rsidRPr="005B5791" w:rsidP="00965215" w14:paraId="782D65C9" w14:textId="77777777">
      <w:pPr>
        <w:pStyle w:val="FootnoteText"/>
      </w:pPr>
      <w:r w:rsidRPr="00C2355C">
        <w:rPr>
          <w:rStyle w:val="FootnoteReference"/>
        </w:rPr>
        <w:footnoteRef/>
      </w:r>
      <w:r w:rsidRPr="00C2355C">
        <w:t xml:space="preserve"> </w:t>
      </w:r>
      <w:r>
        <w:t>Request for Review, WC Docket No. 02-60 (filed May 12, 2017)</w:t>
      </w:r>
      <w:r w:rsidRPr="00C2355C">
        <w:t xml:space="preserve"> (</w:t>
      </w:r>
      <w:r>
        <w:t>UTHSCT</w:t>
      </w:r>
      <w:r>
        <w:t xml:space="preserve"> Request for Review)</w:t>
      </w:r>
      <w:r w:rsidRPr="00C2355C">
        <w:t xml:space="preserve">. </w:t>
      </w:r>
      <w:r>
        <w:t xml:space="preserve"> Section 54.719(c) of the Commission’s rules provides that a party seeking waiver of the Commission’s rules shall seek relief directly from the Commission.  47 CFR § 54.719(c).  We dismiss as moot </w:t>
      </w:r>
      <w:r>
        <w:t>UTHSCT’s</w:t>
      </w:r>
      <w:r>
        <w:t xml:space="preserve"> request for an extension of time in which to file its appeal of USAC’s March 13, 2017 decisions.  </w:t>
      </w:r>
      <w:r w:rsidRPr="002D5E6B">
        <w:rPr>
          <w:i/>
        </w:rPr>
        <w:t>See</w:t>
      </w:r>
      <w:r>
        <w:t xml:space="preserve"> Request for Extension of Time, WC Docket No. 02-60 (filed Apr. 18, 2017).  The record shows that </w:t>
      </w:r>
      <w:r>
        <w:t>UTHSCT</w:t>
      </w:r>
      <w:r>
        <w:t xml:space="preserve"> submitted a timely appeal of these decisions with the Commission.  </w:t>
      </w:r>
      <w:r>
        <w:rPr>
          <w:i/>
        </w:rPr>
        <w:t xml:space="preserve">See </w:t>
      </w:r>
      <w:r>
        <w:t xml:space="preserve">Motion to Withdraw Request for Extension of Time, WC Docket No. 02-60 (filed June 1, 2017) (withdrawing </w:t>
      </w:r>
      <w:r>
        <w:t>UTHSCT’s</w:t>
      </w:r>
      <w:r>
        <w:t xml:space="preserve"> request for an extension of time).</w:t>
      </w:r>
    </w:p>
  </w:footnote>
  <w:footnote w:id="5">
    <w:p w:rsidR="00965215" w:rsidRPr="00C2355C" w:rsidP="00965215" w14:paraId="00A6CDAE" w14:textId="77777777">
      <w:pPr>
        <w:pStyle w:val="FootnoteText"/>
      </w:pPr>
      <w:r w:rsidRPr="00C2355C">
        <w:rPr>
          <w:rStyle w:val="FootnoteReference"/>
        </w:rPr>
        <w:footnoteRef/>
      </w:r>
      <w:r w:rsidRPr="00C2355C">
        <w:t xml:space="preserve"> </w:t>
      </w:r>
      <w:r>
        <w:rPr>
          <w:i/>
        </w:rPr>
        <w:t xml:space="preserve">See </w:t>
      </w:r>
      <w:r>
        <w:t xml:space="preserve">Administrator’s Decision on Appeal </w:t>
      </w:r>
      <w:r w:rsidRPr="00C2355C">
        <w:t xml:space="preserve">Letter from USAC, Rural Health Care Division, to </w:t>
      </w:r>
      <w:r>
        <w:t xml:space="preserve">Matthew A. Brill and Elizabeth R. Park, Latham &amp; Watkins LLP </w:t>
      </w:r>
      <w:r w:rsidRPr="00C2355C">
        <w:t xml:space="preserve">(dated </w:t>
      </w:r>
      <w:r>
        <w:t>June 29, 2018)</w:t>
      </w:r>
      <w:r w:rsidRPr="00C2355C">
        <w:t xml:space="preserve"> (</w:t>
      </w:r>
      <w:r>
        <w:t xml:space="preserve">denying Windstream’s request that USAC reverse the March 13, 2017 denial for Telecom Program support submitted by </w:t>
      </w:r>
      <w:r>
        <w:t>UTHSCT</w:t>
      </w:r>
      <w:r>
        <w:t xml:space="preserve"> for FY </w:t>
      </w:r>
      <w:r w:rsidRPr="00164C39">
        <w:t>2012-2016) (</w:t>
      </w:r>
      <w:r>
        <w:t xml:space="preserve">Windstream </w:t>
      </w:r>
      <w:r w:rsidRPr="00164C39">
        <w:t>ADL</w:t>
      </w:r>
      <w:r>
        <w:t>)</w:t>
      </w:r>
      <w:r w:rsidRPr="00164C39">
        <w:t xml:space="preserve">; </w:t>
      </w:r>
      <w:r>
        <w:t xml:space="preserve">Administrator’s Decision on Appeal </w:t>
      </w:r>
      <w:r w:rsidRPr="00164C39">
        <w:t>Letter from USAC, Rural Health Care Division</w:t>
      </w:r>
      <w:r w:rsidRPr="00C2355C">
        <w:t xml:space="preserve">, to </w:t>
      </w:r>
      <w:r>
        <w:t xml:space="preserve">Russell D. Lukas and Jeffrey A. Mitchell, Lukas, </w:t>
      </w:r>
      <w:r>
        <w:t>LaFuria</w:t>
      </w:r>
      <w:r>
        <w:t xml:space="preserve">, Gutierrez &amp; Sachs, LLP </w:t>
      </w:r>
      <w:r w:rsidRPr="00C2355C">
        <w:t xml:space="preserve">(dated </w:t>
      </w:r>
      <w:r>
        <w:t>June 29, 2018)</w:t>
      </w:r>
      <w:r w:rsidRPr="00C2355C">
        <w:t xml:space="preserve"> (</w:t>
      </w:r>
      <w:r>
        <w:t xml:space="preserve">denying </w:t>
      </w:r>
      <w:r>
        <w:t>ABS’s</w:t>
      </w:r>
      <w:r>
        <w:t xml:space="preserve"> request that USAC reverse the March 13, 2017 denial for Telecom Program support submitted by </w:t>
      </w:r>
      <w:r>
        <w:t>UTHSCT</w:t>
      </w:r>
      <w:r>
        <w:t xml:space="preserve"> for FY </w:t>
      </w:r>
      <w:r w:rsidRPr="00C2355C">
        <w:t>20</w:t>
      </w:r>
      <w:r>
        <w:t>12-201</w:t>
      </w:r>
      <w:r w:rsidRPr="00C2355C">
        <w:t>6) (</w:t>
      </w:r>
      <w:r>
        <w:t xml:space="preserve">ABS ADL).  </w:t>
      </w:r>
      <w:r w:rsidRPr="008C4BD8">
        <w:rPr>
          <w:i/>
        </w:rPr>
        <w:t>See</w:t>
      </w:r>
      <w:r>
        <w:rPr>
          <w:i/>
        </w:rPr>
        <w:t xml:space="preserve"> also </w:t>
      </w:r>
      <w:r>
        <w:t xml:space="preserve">Appendix A for a list of </w:t>
      </w:r>
      <w:r>
        <w:t>FRNs</w:t>
      </w:r>
      <w:r>
        <w:t xml:space="preserve"> associated with </w:t>
      </w:r>
      <w:r>
        <w:t>UTHSCT’s</w:t>
      </w:r>
      <w:r>
        <w:t xml:space="preserve"> FY 2012-2016 applications. </w:t>
      </w:r>
    </w:p>
  </w:footnote>
  <w:footnote w:id="6">
    <w:p w:rsidR="00965215" w:rsidRPr="00C2355C" w:rsidP="00965215" w14:paraId="1A2D30DA" w14:textId="77777777">
      <w:pPr>
        <w:pStyle w:val="FootnoteText"/>
      </w:pPr>
      <w:r w:rsidRPr="00C2355C">
        <w:rPr>
          <w:rStyle w:val="FootnoteReference"/>
        </w:rPr>
        <w:footnoteRef/>
      </w:r>
      <w:r>
        <w:t xml:space="preserve"> </w:t>
      </w:r>
      <w:bookmarkStart w:id="0" w:name="_Hlk5278743"/>
      <w:r>
        <w:rPr>
          <w:i/>
        </w:rPr>
        <w:t xml:space="preserve">See </w:t>
      </w:r>
      <w:r>
        <w:t xml:space="preserve">Administrator’s Decision on Appeal </w:t>
      </w:r>
      <w:r w:rsidRPr="00C2355C">
        <w:t xml:space="preserve">Letter from USAC, Rural Health Care Division, to </w:t>
      </w:r>
      <w:r>
        <w:t xml:space="preserve">Matthew A. Brill and Elizabeth R. Park, Latham &amp; Watkins LLP </w:t>
      </w:r>
      <w:r w:rsidRPr="00C2355C">
        <w:t xml:space="preserve">(dated </w:t>
      </w:r>
      <w:r>
        <w:t>June 29, 2018)</w:t>
      </w:r>
      <w:r w:rsidRPr="00C2355C">
        <w:t xml:space="preserve"> (</w:t>
      </w:r>
      <w:r>
        <w:t>denying Windstream’s request that USAC reverse the decisions in the Commitment Adjustment Letters (</w:t>
      </w:r>
      <w:r>
        <w:t>COMADs</w:t>
      </w:r>
      <w:r>
        <w:t xml:space="preserve">) issued to Windstream adjusting </w:t>
      </w:r>
      <w:r>
        <w:t>UTHSCT</w:t>
      </w:r>
      <w:r>
        <w:t xml:space="preserve"> funding commitments for FY 2012-2016 and recovery of improperly disbursed funding for FY 2012-2015) (Windstream </w:t>
      </w:r>
      <w:r>
        <w:t>COMAD</w:t>
      </w:r>
      <w:r>
        <w:t xml:space="preserve"> ADL)</w:t>
      </w:r>
      <w:bookmarkEnd w:id="0"/>
      <w:r>
        <w:t xml:space="preserve">.  </w:t>
      </w:r>
      <w:r w:rsidRPr="00510CE4">
        <w:rPr>
          <w:i/>
        </w:rPr>
        <w:t>See</w:t>
      </w:r>
      <w:r>
        <w:rPr>
          <w:i/>
        </w:rPr>
        <w:t xml:space="preserve"> also</w:t>
      </w:r>
      <w:r w:rsidRPr="00510CE4">
        <w:rPr>
          <w:i/>
        </w:rPr>
        <w:t xml:space="preserve"> </w:t>
      </w:r>
      <w:r>
        <w:t xml:space="preserve">Appendix B for a list of </w:t>
      </w:r>
      <w:r>
        <w:t>FRNs</w:t>
      </w:r>
      <w:r>
        <w:t xml:space="preserve"> subject to USAC’s </w:t>
      </w:r>
      <w:r>
        <w:t>COMAD</w:t>
      </w:r>
      <w:r>
        <w:t xml:space="preserve"> proceedings.  Due to a clerical error, several FCC Form 465 application numbers in the Windstream </w:t>
      </w:r>
      <w:r>
        <w:t>COMAD</w:t>
      </w:r>
      <w:r>
        <w:t xml:space="preserve"> ADL’s Appendix A are incorrectly listed.  Appendix B includes the correct FCC Form 465 application numbers. </w:t>
      </w:r>
    </w:p>
  </w:footnote>
  <w:footnote w:id="7">
    <w:p w:rsidR="00965215" w:rsidRPr="00C2355C" w:rsidP="00965215" w14:paraId="52B7EE37" w14:textId="77777777">
      <w:pPr>
        <w:pStyle w:val="FootnoteText"/>
      </w:pPr>
      <w:r w:rsidRPr="00C2355C">
        <w:rPr>
          <w:rStyle w:val="FootnoteReference"/>
        </w:rPr>
        <w:footnoteRef/>
      </w:r>
      <w:r w:rsidRPr="00C2355C">
        <w:t xml:space="preserve"> </w:t>
      </w:r>
      <w:r>
        <w:t xml:space="preserve">Windstream </w:t>
      </w:r>
      <w:r>
        <w:t>COMAD</w:t>
      </w:r>
      <w:r>
        <w:t xml:space="preserve"> ADL at 7.  </w:t>
      </w:r>
      <w:bookmarkStart w:id="1" w:name="_GoBack"/>
      <w:bookmarkEnd w:id="1"/>
    </w:p>
  </w:footnote>
  <w:footnote w:id="8">
    <w:p w:rsidR="00965215" w:rsidRPr="00C2355C" w:rsidP="00965215" w14:paraId="753AA335" w14:textId="77777777">
      <w:pPr>
        <w:pStyle w:val="FootnoteText"/>
      </w:pPr>
      <w:r w:rsidRPr="00C2355C">
        <w:rPr>
          <w:rStyle w:val="FootnoteReference"/>
        </w:rPr>
        <w:footnoteRef/>
      </w:r>
      <w:r>
        <w:rPr>
          <w:szCs w:val="19"/>
        </w:rPr>
        <w:t xml:space="preserve"> </w:t>
      </w:r>
      <w:r w:rsidRPr="009F6CD2">
        <w:rPr>
          <w:szCs w:val="19"/>
        </w:rPr>
        <w:t>47 CFR §§ 54.601</w:t>
      </w:r>
      <w:r>
        <w:rPr>
          <w:szCs w:val="19"/>
        </w:rPr>
        <w:t>, 54.602, 54.604, and 54.615</w:t>
      </w:r>
      <w:r w:rsidRPr="001D13D5">
        <w:rPr>
          <w:rStyle w:val="documentbody1"/>
          <w:rFonts w:ascii="Times New Roman" w:hAnsi="Times New Roman"/>
          <w:sz w:val="20"/>
          <w:szCs w:val="20"/>
        </w:rPr>
        <w:t xml:space="preserve"> (2018).</w:t>
      </w:r>
      <w:r>
        <w:rPr>
          <w:rStyle w:val="documentbody1"/>
        </w:rPr>
        <w:t xml:space="preserve">  </w:t>
      </w:r>
      <w:r>
        <w:rPr>
          <w:snapToGrid w:val="0"/>
        </w:rPr>
        <w:t xml:space="preserve">The Telecom Program competitive bidding rules </w:t>
      </w:r>
      <w:r>
        <w:rPr>
          <w:snapToGrid w:val="0"/>
        </w:rPr>
        <w:t>cited herein reflect the rules in effect at all times</w:t>
      </w:r>
      <w:r>
        <w:rPr>
          <w:snapToGrid w:val="0"/>
        </w:rPr>
        <w:t xml:space="preserve"> relevant to this proceeding.</w:t>
      </w:r>
      <w:r>
        <w:rPr>
          <w:rStyle w:val="documentbody1"/>
        </w:rPr>
        <w:t xml:space="preserve">  </w:t>
      </w:r>
      <w:r w:rsidRPr="00C2355C">
        <w:rPr>
          <w:rStyle w:val="documentbody1"/>
        </w:rPr>
        <w:t xml:space="preserve">  </w:t>
      </w:r>
    </w:p>
  </w:footnote>
  <w:footnote w:id="9">
    <w:p w:rsidR="00965215" w:rsidRPr="00C2355C" w:rsidP="00965215" w14:paraId="65942E13" w14:textId="77777777">
      <w:pPr>
        <w:pStyle w:val="FootnoteText"/>
      </w:pPr>
      <w:r w:rsidRPr="00C2355C">
        <w:rPr>
          <w:rStyle w:val="FootnoteReference"/>
        </w:rPr>
        <w:footnoteRef/>
      </w:r>
      <w:r w:rsidRPr="00C2355C">
        <w:t xml:space="preserve"> </w:t>
      </w:r>
      <w:r w:rsidRPr="00965215">
        <w:rPr>
          <w:i/>
        </w:rPr>
        <w:t xml:space="preserve">Id. </w:t>
      </w:r>
      <w:r w:rsidRPr="00965215">
        <w:t>§ 54.603 (2018); Rural Health Care Telecommunications Program</w:t>
      </w:r>
      <w:r w:rsidRPr="00965215">
        <w:rPr>
          <w:rStyle w:val="documentbody1"/>
          <w:rFonts w:ascii="Times New Roman" w:hAnsi="Times New Roman"/>
          <w:color w:val="000000"/>
          <w:sz w:val="20"/>
          <w:szCs w:val="20"/>
        </w:rPr>
        <w:t xml:space="preserve">, Description of Eligibility and Request for Services FCC Form 465, OMB 3060-0804 (July 2019) (FCC Form 465).  The same application requirements were in force when </w:t>
      </w:r>
      <w:r w:rsidRPr="00965215">
        <w:rPr>
          <w:rStyle w:val="documentbody1"/>
          <w:rFonts w:ascii="Times New Roman" w:hAnsi="Times New Roman"/>
          <w:color w:val="000000"/>
          <w:sz w:val="20"/>
          <w:szCs w:val="20"/>
        </w:rPr>
        <w:t>UTHSCT</w:t>
      </w:r>
      <w:r w:rsidRPr="00965215">
        <w:rPr>
          <w:rStyle w:val="documentbody1"/>
          <w:rFonts w:ascii="Times New Roman" w:hAnsi="Times New Roman"/>
          <w:color w:val="000000"/>
          <w:sz w:val="20"/>
          <w:szCs w:val="20"/>
        </w:rPr>
        <w:t xml:space="preserve"> submitted its service requests.  </w:t>
      </w:r>
      <w:r w:rsidRPr="00965215">
        <w:rPr>
          <w:rStyle w:val="documentbody1"/>
          <w:rFonts w:ascii="Times New Roman" w:hAnsi="Times New Roman"/>
          <w:i/>
          <w:color w:val="000000"/>
          <w:sz w:val="20"/>
          <w:szCs w:val="20"/>
        </w:rPr>
        <w:t xml:space="preserve">See </w:t>
      </w:r>
      <w:r w:rsidRPr="00965215">
        <w:rPr>
          <w:rStyle w:val="documentbody1"/>
          <w:rFonts w:ascii="Times New Roman" w:hAnsi="Times New Roman"/>
          <w:color w:val="000000"/>
          <w:sz w:val="20"/>
          <w:szCs w:val="20"/>
        </w:rPr>
        <w:t>Health Care Providers Universal Service Description of Services Requested &amp; Certification Form, OMB 3060-0804 (November 2011); Health Care Providers Universal Service Description of Services Requested &amp; Certification Form, OMB 3060-0804 (August 2013); Health Care Providers Universal Service Description of Services Requested &amp; Certification Form, OMB 3060-0804 (September 2016) (collectively, Prior FCC Forms 465).</w:t>
      </w:r>
      <w:r>
        <w:rPr>
          <w:rStyle w:val="documentbody1"/>
          <w:color w:val="000000"/>
        </w:rPr>
        <w:t xml:space="preserve">  </w:t>
      </w:r>
      <w:r w:rsidRPr="00C2355C">
        <w:rPr>
          <w:color w:val="000000"/>
        </w:rPr>
        <w:t xml:space="preserve"> </w:t>
      </w:r>
    </w:p>
  </w:footnote>
  <w:footnote w:id="10">
    <w:p w:rsidR="00965215" w:rsidRPr="00C2355C" w:rsidP="00965215" w14:paraId="00B878A1" w14:textId="77777777">
      <w:pPr>
        <w:pStyle w:val="FootnoteText"/>
      </w:pPr>
      <w:r w:rsidRPr="00C2355C">
        <w:rPr>
          <w:rStyle w:val="FootnoteReference"/>
        </w:rPr>
        <w:footnoteRef/>
      </w:r>
      <w:r w:rsidRPr="00C2355C">
        <w:t xml:space="preserve"> 47 CFR § 54.603(b)(3)</w:t>
      </w:r>
      <w:r>
        <w:t xml:space="preserve"> (2018)</w:t>
      </w:r>
      <w:r w:rsidRPr="00C2355C">
        <w:t>.</w:t>
      </w:r>
      <w:r>
        <w:t xml:space="preserve">  </w:t>
      </w:r>
    </w:p>
  </w:footnote>
  <w:footnote w:id="11">
    <w:p w:rsidR="00965215" w:rsidRPr="00C2355C" w:rsidP="00965215" w14:paraId="3FF87747" w14:textId="77777777">
      <w:pPr>
        <w:pStyle w:val="FootnoteText"/>
      </w:pPr>
      <w:r w:rsidRPr="00C2355C">
        <w:rPr>
          <w:rStyle w:val="FootnoteReference"/>
        </w:rPr>
        <w:footnoteRef/>
      </w:r>
      <w:r w:rsidRPr="00C2355C">
        <w:rPr>
          <w:rStyle w:val="documentbody1"/>
          <w:color w:val="000000"/>
        </w:rPr>
        <w:t xml:space="preserve"> </w:t>
      </w:r>
      <w:r w:rsidRPr="00965215">
        <w:rPr>
          <w:rStyle w:val="documentbody1"/>
          <w:rFonts w:ascii="Times New Roman" w:hAnsi="Times New Roman"/>
          <w:color w:val="000000"/>
          <w:sz w:val="20"/>
          <w:szCs w:val="20"/>
        </w:rPr>
        <w:t xml:space="preserve">Rural Health Care Telecommunications Program, Description of Request for Funding FCC Form 466, OMB 3060-0804 (July 2019).  The same application requirements were in force when </w:t>
      </w:r>
      <w:r w:rsidRPr="00965215">
        <w:rPr>
          <w:rStyle w:val="documentbody1"/>
          <w:rFonts w:ascii="Times New Roman" w:hAnsi="Times New Roman"/>
          <w:color w:val="000000"/>
          <w:sz w:val="20"/>
          <w:szCs w:val="20"/>
        </w:rPr>
        <w:t>UTHSCT</w:t>
      </w:r>
      <w:r w:rsidRPr="00965215">
        <w:rPr>
          <w:rStyle w:val="documentbody1"/>
          <w:rFonts w:ascii="Times New Roman" w:hAnsi="Times New Roman"/>
          <w:color w:val="000000"/>
          <w:sz w:val="20"/>
          <w:szCs w:val="20"/>
        </w:rPr>
        <w:t xml:space="preserve"> submitted its funding requests.  </w:t>
      </w:r>
      <w:r w:rsidRPr="00965215">
        <w:rPr>
          <w:rStyle w:val="documentbody1"/>
          <w:rFonts w:ascii="Times New Roman" w:hAnsi="Times New Roman"/>
          <w:i/>
          <w:color w:val="000000"/>
          <w:sz w:val="20"/>
          <w:szCs w:val="20"/>
        </w:rPr>
        <w:t xml:space="preserve">See </w:t>
      </w:r>
      <w:r w:rsidRPr="00965215">
        <w:rPr>
          <w:rStyle w:val="documentbody1"/>
          <w:rFonts w:ascii="Times New Roman" w:hAnsi="Times New Roman"/>
          <w:color w:val="000000"/>
          <w:sz w:val="20"/>
          <w:szCs w:val="20"/>
        </w:rPr>
        <w:t>Health Care Providers Universal Service Funding Request and Certification Form, OMB 3060-0804 (November 2011); Health Care Providers Universal Service Funding Request and Certification Form, OMB 3060-0804 (August 2013); Health Care Providers Universal Service Funding Request and Certification Form, OMB 3060-0804 (September 2016).</w:t>
      </w:r>
      <w:r>
        <w:rPr>
          <w:rStyle w:val="documentbody1"/>
          <w:color w:val="000000"/>
        </w:rPr>
        <w:t xml:space="preserve"> </w:t>
      </w:r>
      <w:r w:rsidRPr="00C2355C">
        <w:rPr>
          <w:rStyle w:val="documentbody1"/>
          <w:color w:val="000000"/>
        </w:rPr>
        <w:t xml:space="preserve"> </w:t>
      </w:r>
    </w:p>
  </w:footnote>
  <w:footnote w:id="12">
    <w:p w:rsidR="00965215" w:rsidRPr="00C2355C" w:rsidP="00965215" w14:paraId="3A04C0E0" w14:textId="77777777">
      <w:pPr>
        <w:pStyle w:val="FootnoteText"/>
      </w:pPr>
      <w:r w:rsidRPr="00C2355C">
        <w:rPr>
          <w:rStyle w:val="FootnoteReference"/>
        </w:rPr>
        <w:footnoteRef/>
      </w:r>
      <w:r>
        <w:rPr>
          <w:i/>
        </w:rPr>
        <w:t xml:space="preserve"> Id</w:t>
      </w:r>
      <w:r w:rsidRPr="00C2355C">
        <w:t>.</w:t>
      </w:r>
      <w:r>
        <w:t xml:space="preserve">  </w:t>
      </w:r>
      <w:r>
        <w:t>HCPs</w:t>
      </w:r>
      <w:r>
        <w:t xml:space="preserve"> must submit an FCC Form 466 every funding year for each service for which they are seeking Telecom Program support.  Each funding year begins on July 1 and ends June 30 of the next calendar year.  For example, FY 2020 runs from July 1, 2020 through June 30, 2021. </w:t>
      </w:r>
    </w:p>
  </w:footnote>
  <w:footnote w:id="13">
    <w:p w:rsidR="00965215" w:rsidRPr="003760D0" w:rsidP="00965215" w14:paraId="63682DC2" w14:textId="77777777">
      <w:pPr>
        <w:pStyle w:val="FootnoteText"/>
        <w:rPr>
          <w:i/>
        </w:rPr>
      </w:pPr>
      <w:r>
        <w:rPr>
          <w:rStyle w:val="FootnoteReference"/>
        </w:rPr>
        <w:footnoteRef/>
      </w:r>
      <w:r>
        <w:t xml:space="preserve"> </w:t>
      </w:r>
      <w:r w:rsidRPr="008F44E4">
        <w:rPr>
          <w:i/>
        </w:rPr>
        <w:t>See Federal-State Joint Board on Universal Service</w:t>
      </w:r>
      <w:r w:rsidRPr="00721AB2">
        <w:t xml:space="preserve">, </w:t>
      </w:r>
      <w:r>
        <w:t xml:space="preserve">CC Docket No. 96-45, </w:t>
      </w:r>
      <w:r w:rsidRPr="00721AB2">
        <w:t>Report and Order, 12 FCC Rcd 8776, 9133-34, para</w:t>
      </w:r>
      <w:r w:rsidRPr="00D21C38">
        <w:t>. 686</w:t>
      </w:r>
      <w:r>
        <w:t xml:space="preserve"> </w:t>
      </w:r>
      <w:r w:rsidRPr="00D21C38">
        <w:t>(</w:t>
      </w:r>
      <w:r w:rsidRPr="00721AB2">
        <w:t>1997)</w:t>
      </w:r>
      <w:r>
        <w:t xml:space="preserve"> (</w:t>
      </w:r>
      <w:bookmarkStart w:id="2" w:name="_Hlk23339693"/>
      <w:r>
        <w:rPr>
          <w:i/>
        </w:rPr>
        <w:t>Universal Service First Report and Order</w:t>
      </w:r>
      <w:bookmarkEnd w:id="2"/>
      <w:r>
        <w:t xml:space="preserve">) </w:t>
      </w:r>
      <w:r w:rsidRPr="00721AB2">
        <w:t xml:space="preserve">(“Consistent with the Joint Board’s recommendation for eligible schools and libraries, we conclude that eligible health care providers shall be required to seek competitive bids for all services eligible for support pursuant to section 254(h) by submitting their bona fide requests for services to the Administrator [for posting]”); </w:t>
      </w:r>
      <w:r w:rsidRPr="008F44E4">
        <w:rPr>
          <w:i/>
        </w:rPr>
        <w:t>Rural Health Care Support Mechanism</w:t>
      </w:r>
      <w:r w:rsidRPr="00721AB2">
        <w:t xml:space="preserve">, </w:t>
      </w:r>
      <w:r>
        <w:t xml:space="preserve">WC Docket No. 02-60, </w:t>
      </w:r>
      <w:r w:rsidRPr="00721AB2">
        <w:t xml:space="preserve">Report and </w:t>
      </w:r>
      <w:r w:rsidRPr="008B0483">
        <w:t>Order</w:t>
      </w:r>
      <w:r w:rsidRPr="00721AB2">
        <w:t>, 27 FCC Rcd 16678, 16</w:t>
      </w:r>
      <w:r>
        <w:t>778, para. 229 (2012) (</w:t>
      </w:r>
      <w:r>
        <w:rPr>
          <w:i/>
        </w:rPr>
        <w:t xml:space="preserve">2012 </w:t>
      </w:r>
      <w:r w:rsidRPr="008F44E4">
        <w:rPr>
          <w:i/>
        </w:rPr>
        <w:t xml:space="preserve">Rural Health Care </w:t>
      </w:r>
      <w:r>
        <w:rPr>
          <w:i/>
        </w:rPr>
        <w:t>Order</w:t>
      </w:r>
      <w:r>
        <w:t>)</w:t>
      </w:r>
      <w:r w:rsidRPr="00721AB2">
        <w:t>, (“[C]</w:t>
      </w:r>
      <w:r w:rsidRPr="00721AB2">
        <w:t>ompetitive</w:t>
      </w:r>
      <w:r w:rsidRPr="00721AB2">
        <w:t xml:space="preserve"> bidding furthers the competitive neutrality requirement</w:t>
      </w:r>
      <w:r>
        <w:t xml:space="preserve"> in section 254(h)(2)(A) </w:t>
      </w:r>
      <w:r w:rsidRPr="00721AB2">
        <w:t>of the Act by ensuring that universal service support does not disadvantage one provider over another . . .</w:t>
      </w:r>
      <w:r>
        <w:t xml:space="preserve"> .”); </w:t>
      </w:r>
      <w:r w:rsidRPr="008F44E4">
        <w:rPr>
          <w:i/>
        </w:rPr>
        <w:t>Hospital Networks</w:t>
      </w:r>
      <w:r>
        <w:rPr>
          <w:i/>
        </w:rPr>
        <w:t xml:space="preserve"> Management, Inc., Manchaca, Texas, Verizon Business Services, Arlington, Virginia, Rural Health Care Universal Service Support</w:t>
      </w:r>
      <w:r w:rsidRPr="00BD491A">
        <w:rPr>
          <w:i/>
        </w:rPr>
        <w:t xml:space="preserve"> Mechanism</w:t>
      </w:r>
      <w:r>
        <w:t xml:space="preserve">, </w:t>
      </w:r>
      <w:r w:rsidRPr="00BD491A">
        <w:t>WC</w:t>
      </w:r>
      <w:r>
        <w:t xml:space="preserve"> Docket No. 02-60, Order, </w:t>
      </w:r>
      <w:r w:rsidRPr="00721AB2">
        <w:t>31 FCC Rcd</w:t>
      </w:r>
      <w:r>
        <w:t xml:space="preserve"> 5731, 5741,</w:t>
      </w:r>
      <w:r w:rsidRPr="00721AB2">
        <w:t xml:space="preserve"> para. 20</w:t>
      </w:r>
      <w:r>
        <w:t xml:space="preserve"> (WCB 2016) (</w:t>
      </w:r>
      <w:r>
        <w:rPr>
          <w:i/>
        </w:rPr>
        <w:t xml:space="preserve">Hospital Networks Order) </w:t>
      </w:r>
      <w:r w:rsidRPr="00721AB2">
        <w:t xml:space="preserve">(“The principles underlying </w:t>
      </w:r>
      <w:r>
        <w:t xml:space="preserve">. . . </w:t>
      </w:r>
      <w:r w:rsidRPr="00721AB2">
        <w:t>orders addressing fair and open competitive bidding not only apply to the E-rate program . . ., but also to participants in the rural health care program.  Indeed, the mechanics of the bidding processes in the rural health care and E-rate programs are effectively the same.”) (internal citation omitted)</w:t>
      </w:r>
      <w:r>
        <w:t>.</w:t>
      </w:r>
    </w:p>
  </w:footnote>
  <w:footnote w:id="14">
    <w:p w:rsidR="00965215" w:rsidP="00965215" w14:paraId="2EB06A42" w14:textId="734A6660">
      <w:pPr>
        <w:pStyle w:val="FootnoteText"/>
      </w:pPr>
      <w:r>
        <w:rPr>
          <w:rStyle w:val="FootnoteReference"/>
        </w:rPr>
        <w:footnoteRef/>
      </w:r>
      <w:r>
        <w:t xml:space="preserve"> </w:t>
      </w:r>
      <w:r w:rsidRPr="00BD5E96">
        <w:rPr>
          <w:i/>
        </w:rPr>
        <w:t>See, e.g.</w:t>
      </w:r>
      <w:r>
        <w:rPr>
          <w:iCs/>
        </w:rPr>
        <w:t>,</w:t>
      </w:r>
      <w:r w:rsidRPr="00BD5E96">
        <w:rPr>
          <w:i/>
        </w:rPr>
        <w:t xml:space="preserve"> Hospital Networks </w:t>
      </w:r>
      <w:r>
        <w:rPr>
          <w:i/>
        </w:rPr>
        <w:t>Order</w:t>
      </w:r>
      <w:r w:rsidRPr="008F44E4">
        <w:t xml:space="preserve">, 31 FCC Rcd </w:t>
      </w:r>
      <w:r>
        <w:t xml:space="preserve">at </w:t>
      </w:r>
      <w:r w:rsidRPr="008F44E4">
        <w:t xml:space="preserve">5740, para. 18 (finding a conflict of interest where “Mr. </w:t>
      </w:r>
      <w:r w:rsidRPr="008F44E4">
        <w:t>Zunke</w:t>
      </w:r>
      <w:r w:rsidRPr="008F44E4">
        <w:t xml:space="preserve">, in the role of consultant to the consortium members, was ostensibly acting on their behalf alone.  Yet, simultaneously, [he] was acting on behalf of the apparent service provider, with whom the consortium was considering contracting </w:t>
      </w:r>
      <w:r w:rsidRPr="008F44E4">
        <w:t>. . .</w:t>
      </w:r>
      <w:r>
        <w:t xml:space="preserve"> .</w:t>
      </w:r>
      <w:r w:rsidRPr="008F44E4">
        <w:t>”</w:t>
      </w:r>
      <w:r>
        <w:t>).</w:t>
      </w:r>
    </w:p>
  </w:footnote>
  <w:footnote w:id="15">
    <w:p w:rsidR="00965215" w:rsidP="00965215" w14:paraId="40E92657" w14:textId="0EA3FE17">
      <w:pPr>
        <w:pStyle w:val="FootnoteText"/>
      </w:pPr>
      <w:r>
        <w:rPr>
          <w:rStyle w:val="FootnoteReference"/>
        </w:rPr>
        <w:footnoteRef/>
      </w:r>
      <w:r>
        <w:t xml:space="preserve"> </w:t>
      </w:r>
      <w:r w:rsidRPr="00BD5E96">
        <w:rPr>
          <w:i/>
        </w:rPr>
        <w:t>See</w:t>
      </w:r>
      <w:r>
        <w:rPr>
          <w:i/>
        </w:rPr>
        <w:t>, e.g.</w:t>
      </w:r>
      <w:r>
        <w:rPr>
          <w:iCs/>
        </w:rPr>
        <w:t>,</w:t>
      </w:r>
      <w:r w:rsidRPr="00BD5E96">
        <w:rPr>
          <w:i/>
        </w:rPr>
        <w:t xml:space="preserve"> Request for Review </w:t>
      </w:r>
      <w:r>
        <w:rPr>
          <w:i/>
        </w:rPr>
        <w:t xml:space="preserve">of Decisions of the Universal Service Administrator </w:t>
      </w:r>
      <w:r w:rsidRPr="00BD5E96">
        <w:rPr>
          <w:i/>
        </w:rPr>
        <w:t>by Mastermind Internet Services, Inc</w:t>
      </w:r>
      <w:r>
        <w:rPr>
          <w:i/>
        </w:rPr>
        <w:t xml:space="preserve">.; Federal-State Joint Board on Universal Service, </w:t>
      </w:r>
      <w:r w:rsidRPr="00BD5E96">
        <w:t>CC Docket No. 96-45, Order, 16 FCC Rcd 4028</w:t>
      </w:r>
      <w:r>
        <w:t>, 4033, para. 10</w:t>
      </w:r>
      <w:r w:rsidRPr="00BD5E96">
        <w:t xml:space="preserve"> (2000) (</w:t>
      </w:r>
      <w:r w:rsidRPr="00BD5E96">
        <w:rPr>
          <w:i/>
        </w:rPr>
        <w:t>Mastermind Order</w:t>
      </w:r>
      <w:r w:rsidRPr="00BD5E96">
        <w:t xml:space="preserve">) (finding that the contact person influences an applicant’s competitive bidding process by controlling the dissemination of information regarding the services requested and, when an applicant delegates that power to an entity that also participates in the bidding process as a prospective service provider, the applicant impairs its ability to hold a fair competitive bidding process); </w:t>
      </w:r>
      <w:r w:rsidRPr="00BD5E96">
        <w:rPr>
          <w:i/>
        </w:rPr>
        <w:t>Hospital Networks Order</w:t>
      </w:r>
      <w:r w:rsidRPr="00BD5E96">
        <w:t>, 31 FCC Rcd</w:t>
      </w:r>
      <w:r>
        <w:t xml:space="preserve"> at </w:t>
      </w:r>
      <w:r w:rsidRPr="00BD5E96">
        <w:t xml:space="preserve">5742, para. 20 (applying holdings in </w:t>
      </w:r>
      <w:r>
        <w:t xml:space="preserve">the </w:t>
      </w:r>
      <w:r>
        <w:rPr>
          <w:i/>
        </w:rPr>
        <w:t xml:space="preserve">Mastermind Order </w:t>
      </w:r>
      <w:r w:rsidRPr="00BD5E96">
        <w:t xml:space="preserve">to the </w:t>
      </w:r>
      <w:r w:rsidRPr="00BD5E96">
        <w:t>RHC</w:t>
      </w:r>
      <w:r w:rsidRPr="00BD5E96">
        <w:t xml:space="preserve"> Program); </w:t>
      </w:r>
      <w:r w:rsidRPr="00BD5E96">
        <w:rPr>
          <w:i/>
        </w:rPr>
        <w:t>Schools and Libraries Universal Service Support Mechanism</w:t>
      </w:r>
      <w:r>
        <w:rPr>
          <w:i/>
        </w:rPr>
        <w:t>;</w:t>
      </w:r>
      <w:r w:rsidRPr="00BD5E96">
        <w:rPr>
          <w:i/>
        </w:rPr>
        <w:t xml:space="preserve"> A National Broadband Plan for Our Future</w:t>
      </w:r>
      <w:r w:rsidRPr="00BD5E96">
        <w:t>, Sixth Report and Order, CC Docket 02-6, 25 FCC Rcd 18762, 18800, para. 86 (2010) (</w:t>
      </w:r>
      <w:r w:rsidRPr="00BD5E96">
        <w:rPr>
          <w:i/>
        </w:rPr>
        <w:t>Schools and Libraries Sixth Report and Order</w:t>
      </w:r>
      <w:r w:rsidRPr="00BD5E96">
        <w:t>) (</w:t>
      </w:r>
      <w:r>
        <w:t xml:space="preserve">explaining that it is a violation of the Commission’s competitive bidding rules if a service provider representative is listed as the FCC form’s contact person and that service provider is also allowed to participate in the competitive bidding process); </w:t>
      </w:r>
      <w:r w:rsidRPr="00BD5E96">
        <w:rPr>
          <w:i/>
        </w:rPr>
        <w:t>Requests for Review of the Decision of the Universal Service Administrator by SEND Technologies, L.L.C</w:t>
      </w:r>
      <w:r w:rsidRPr="00BD5E96">
        <w:t>.</w:t>
      </w:r>
      <w:r w:rsidRPr="00BD491A">
        <w:rPr>
          <w:i/>
        </w:rPr>
        <w:t>,</w:t>
      </w:r>
      <w:r>
        <w:rPr>
          <w:i/>
        </w:rPr>
        <w:t xml:space="preserve"> Schools and Libraries Universal Service Support Mechanism</w:t>
      </w:r>
      <w:r>
        <w:t>,</w:t>
      </w:r>
      <w:r>
        <w:rPr>
          <w:i/>
        </w:rPr>
        <w:t xml:space="preserve"> </w:t>
      </w:r>
      <w:r w:rsidRPr="00BD5E96">
        <w:t>CC Docket No. 02-6, Order, 22 FCC Rcd 4950 (W</w:t>
      </w:r>
      <w:r>
        <w:t>CB</w:t>
      </w:r>
      <w:r w:rsidRPr="00BD5E96">
        <w:t xml:space="preserve"> 2007) (</w:t>
      </w:r>
      <w:r w:rsidRPr="00BD5E96">
        <w:rPr>
          <w:i/>
        </w:rPr>
        <w:t>SEND Order</w:t>
      </w:r>
      <w:r w:rsidRPr="00BD5E96">
        <w:t>) (finding that where the applicant's contact person is also a partial owner of the selected service provider, the relationship between the applicant and the service provider creates a conflict of interest and impedes fair and open competition).</w:t>
      </w:r>
    </w:p>
  </w:footnote>
  <w:footnote w:id="16">
    <w:p w:rsidR="00965215" w:rsidP="00965215" w14:paraId="4B70B291" w14:textId="77777777">
      <w:pPr>
        <w:pStyle w:val="FootnoteText"/>
      </w:pPr>
      <w:r>
        <w:rPr>
          <w:rStyle w:val="FootnoteReference"/>
        </w:rPr>
        <w:footnoteRef/>
      </w:r>
      <w:r>
        <w:t xml:space="preserve"> Declaration of Tim </w:t>
      </w:r>
      <w:r>
        <w:t>Loken</w:t>
      </w:r>
      <w:r>
        <w:t>, Attach. to Windstream Request for Review, ¶ 1 (</w:t>
      </w:r>
      <w:r>
        <w:t>Loken</w:t>
      </w:r>
      <w:r>
        <w:t xml:space="preserve"> Decl.)</w:t>
      </w:r>
      <w:r w:rsidRPr="0038633D">
        <w:t>.</w:t>
      </w:r>
      <w:r>
        <w:t xml:space="preserve">  </w:t>
      </w:r>
      <w:r w:rsidRPr="00C2355C">
        <w:t xml:space="preserve">    </w:t>
      </w:r>
    </w:p>
  </w:footnote>
  <w:footnote w:id="17">
    <w:p w:rsidR="00965215" w:rsidP="00965215" w14:paraId="3D7F5226" w14:textId="77777777">
      <w:pPr>
        <w:pStyle w:val="FootnoteText"/>
      </w:pPr>
      <w:r>
        <w:rPr>
          <w:rStyle w:val="FootnoteReference"/>
        </w:rPr>
        <w:footnoteRef/>
      </w:r>
      <w:r>
        <w:t xml:space="preserve"> Declaration (of Gary H. Speck), Attach. to ABS Request for Review, ¶ 4 (Speck Decl.).</w:t>
      </w:r>
    </w:p>
  </w:footnote>
  <w:footnote w:id="18">
    <w:p w:rsidR="00965215" w:rsidRPr="004473F3" w:rsidP="00965215" w14:paraId="587F3DBE" w14:textId="77777777">
      <w:pPr>
        <w:pStyle w:val="FootnoteText"/>
      </w:pPr>
      <w:r>
        <w:rPr>
          <w:rStyle w:val="FootnoteReference"/>
        </w:rPr>
        <w:footnoteRef/>
      </w:r>
      <w:r>
        <w:t xml:space="preserve"> </w:t>
      </w:r>
      <w:r>
        <w:rPr>
          <w:i/>
        </w:rPr>
        <w:t>Id</w:t>
      </w:r>
      <w:r>
        <w:t>. at ¶ 1.</w:t>
      </w:r>
    </w:p>
  </w:footnote>
  <w:footnote w:id="19">
    <w:p w:rsidR="00965215" w:rsidP="00965215" w14:paraId="247075DF" w14:textId="77777777">
      <w:pPr>
        <w:pStyle w:val="FootnoteText"/>
      </w:pPr>
      <w:r>
        <w:rPr>
          <w:rStyle w:val="FootnoteReference"/>
        </w:rPr>
        <w:footnoteRef/>
      </w:r>
      <w:r>
        <w:t xml:space="preserve"> </w:t>
      </w:r>
      <w:r>
        <w:t>UTHSCT</w:t>
      </w:r>
      <w:r>
        <w:t xml:space="preserve"> Request for Review at 3.</w:t>
      </w:r>
    </w:p>
  </w:footnote>
  <w:footnote w:id="20">
    <w:p w:rsidR="00965215" w:rsidRPr="008272D5" w:rsidP="00965215" w14:paraId="0966A94F" w14:textId="77777777">
      <w:pPr>
        <w:pStyle w:val="FootnoteText"/>
      </w:pPr>
      <w:r>
        <w:rPr>
          <w:rStyle w:val="FootnoteReference"/>
        </w:rPr>
        <w:footnoteRef/>
      </w:r>
      <w:r>
        <w:t xml:space="preserve"> </w:t>
      </w:r>
      <w:r>
        <w:rPr>
          <w:i/>
        </w:rPr>
        <w:t xml:space="preserve">Id. </w:t>
      </w:r>
      <w:r>
        <w:t>at 3.</w:t>
      </w:r>
    </w:p>
  </w:footnote>
  <w:footnote w:id="21">
    <w:p w:rsidR="00965215" w:rsidP="00965215" w14:paraId="4279DF24" w14:textId="77777777">
      <w:pPr>
        <w:pStyle w:val="FootnoteText"/>
      </w:pPr>
      <w:r>
        <w:rPr>
          <w:rStyle w:val="FootnoteReference"/>
        </w:rPr>
        <w:footnoteRef/>
      </w:r>
      <w:r>
        <w:t xml:space="preserve"> </w:t>
      </w:r>
      <w:r>
        <w:rPr>
          <w:i/>
        </w:rPr>
        <w:t xml:space="preserve">Id. </w:t>
      </w:r>
      <w:r>
        <w:t>at 4.</w:t>
      </w:r>
    </w:p>
  </w:footnote>
  <w:footnote w:id="22">
    <w:p w:rsidR="00965215" w:rsidP="00965215" w14:paraId="58723EB2" w14:textId="77777777">
      <w:pPr>
        <w:pStyle w:val="FootnoteText"/>
      </w:pPr>
      <w:r>
        <w:rPr>
          <w:rStyle w:val="FootnoteReference"/>
        </w:rPr>
        <w:footnoteRef/>
      </w:r>
      <w:r>
        <w:t xml:space="preserve"> </w:t>
      </w:r>
      <w:r>
        <w:rPr>
          <w:i/>
        </w:rPr>
        <w:t>Id</w:t>
      </w:r>
      <w:r>
        <w:t>.</w:t>
      </w:r>
    </w:p>
  </w:footnote>
  <w:footnote w:id="23">
    <w:p w:rsidR="00965215" w:rsidRPr="001476E9" w:rsidP="00965215" w14:paraId="31DC0B9B" w14:textId="77777777">
      <w:pPr>
        <w:pStyle w:val="FootnoteText"/>
      </w:pPr>
      <w:r>
        <w:rPr>
          <w:rStyle w:val="FootnoteReference"/>
        </w:rPr>
        <w:footnoteRef/>
      </w:r>
      <w:r>
        <w:t xml:space="preserve"> </w:t>
      </w:r>
      <w:r>
        <w:t>UTHSCT</w:t>
      </w:r>
      <w:r>
        <w:t xml:space="preserve"> Request for Review at 4; ABS Request for Review at 10.</w:t>
      </w:r>
    </w:p>
  </w:footnote>
  <w:footnote w:id="24">
    <w:p w:rsidR="00965215" w:rsidRPr="00C2355C" w:rsidP="00965215" w14:paraId="61B60416" w14:textId="77777777">
      <w:pPr>
        <w:pStyle w:val="FootnoteText"/>
      </w:pPr>
      <w:r w:rsidRPr="00C2355C">
        <w:rPr>
          <w:rStyle w:val="FootnoteReference"/>
        </w:rPr>
        <w:footnoteRef/>
      </w:r>
      <w:r w:rsidRPr="00C2355C">
        <w:t xml:space="preserve"> </w:t>
      </w:r>
      <w:r>
        <w:rPr>
          <w:i/>
        </w:rPr>
        <w:t xml:space="preserve">See </w:t>
      </w:r>
      <w:r>
        <w:t xml:space="preserve">Windstream ADL at 4.     </w:t>
      </w:r>
    </w:p>
  </w:footnote>
  <w:footnote w:id="25">
    <w:p w:rsidR="00965215" w:rsidP="00965215" w14:paraId="1EC7A479" w14:textId="77777777">
      <w:pPr>
        <w:pStyle w:val="FootnoteText"/>
      </w:pPr>
      <w:r>
        <w:rPr>
          <w:rStyle w:val="FootnoteReference"/>
        </w:rPr>
        <w:footnoteRef/>
      </w:r>
      <w:r>
        <w:t xml:space="preserve"> Speck Decl. ¶ 12; Windstream Request for Review at 4.</w:t>
      </w:r>
    </w:p>
  </w:footnote>
  <w:footnote w:id="26">
    <w:p w:rsidR="00965215" w:rsidP="00965215" w14:paraId="6BFD7FAF" w14:textId="77777777">
      <w:pPr>
        <w:pStyle w:val="FootnoteText"/>
      </w:pPr>
      <w:r>
        <w:rPr>
          <w:rStyle w:val="FootnoteReference"/>
        </w:rPr>
        <w:footnoteRef/>
      </w:r>
      <w:r>
        <w:t xml:space="preserve"> Speck Decl. ¶ 12.</w:t>
      </w:r>
    </w:p>
  </w:footnote>
  <w:footnote w:id="27">
    <w:p w:rsidR="00965215" w:rsidP="00965215" w14:paraId="77185295" w14:textId="77777777">
      <w:pPr>
        <w:pStyle w:val="FootnoteText"/>
      </w:pPr>
      <w:r>
        <w:rPr>
          <w:rStyle w:val="FootnoteReference"/>
        </w:rPr>
        <w:footnoteRef/>
      </w:r>
      <w:r>
        <w:t xml:space="preserve"> Letter from Matthew A. Brill and Elizabeth R. Park, Latham &amp; Watkins LLP to USAC, Rural Health Care Division at 11 (filed May 11, 2017) (Windstream USAC Appeal) (appealing USAC’s decision to deny </w:t>
      </w:r>
      <w:r>
        <w:t>UTHSCT’s</w:t>
      </w:r>
      <w:r>
        <w:t xml:space="preserve"> FY 2012-2016 applications).</w:t>
      </w:r>
    </w:p>
  </w:footnote>
  <w:footnote w:id="28">
    <w:p w:rsidR="00965215" w:rsidP="00965215" w14:paraId="7B2521A0" w14:textId="77777777">
      <w:pPr>
        <w:pStyle w:val="FootnoteText"/>
      </w:pPr>
      <w:r>
        <w:rPr>
          <w:rStyle w:val="FootnoteReference"/>
        </w:rPr>
        <w:footnoteRef/>
      </w:r>
      <w:r>
        <w:t xml:space="preserve"> Windstream Request for Review at 5.  Windstream asserts that it first learned of the dual role on or about February 12, 2016.  Speck Decl. ¶ 7.  </w:t>
      </w:r>
      <w:r>
        <w:rPr>
          <w:i/>
        </w:rPr>
        <w:t xml:space="preserve">But see </w:t>
      </w:r>
      <w:r>
        <w:t xml:space="preserve">ABS Opposition at 14 (Windstream had no “reasonable basis” for representing that it was unaware of Mr. Speck’s dual role).  </w:t>
      </w:r>
      <w:r w:rsidRPr="00CD18FA">
        <w:t>On</w:t>
      </w:r>
      <w:r>
        <w:t xml:space="preserve"> or about February 24, 2016</w:t>
      </w:r>
      <w:r w:rsidRPr="009B6B14">
        <w:t xml:space="preserve">, the wife of </w:t>
      </w:r>
      <w:r>
        <w:rPr>
          <w:szCs w:val="22"/>
        </w:rPr>
        <w:t xml:space="preserve">Mr. Speck formed </w:t>
      </w:r>
      <w:r>
        <w:rPr>
          <w:szCs w:val="22"/>
        </w:rPr>
        <w:t>CFT</w:t>
      </w:r>
      <w:r>
        <w:rPr>
          <w:szCs w:val="22"/>
        </w:rPr>
        <w:t xml:space="preserve"> Filings, LLC (</w:t>
      </w:r>
      <w:r>
        <w:rPr>
          <w:szCs w:val="22"/>
        </w:rPr>
        <w:t>CFT</w:t>
      </w:r>
      <w:r>
        <w:rPr>
          <w:szCs w:val="22"/>
        </w:rPr>
        <w:t>) presumably to address the perceived conflict of interest.  Windstream Request for Review at 5; Speck Decl. ¶ 9</w:t>
      </w:r>
      <w:r w:rsidRPr="00CD18FA">
        <w:t>.</w:t>
      </w:r>
      <w:r>
        <w:rPr>
          <w:szCs w:val="22"/>
        </w:rPr>
        <w:t xml:space="preserve">  </w:t>
      </w:r>
      <w:r>
        <w:rPr>
          <w:szCs w:val="22"/>
        </w:rPr>
        <w:t>CFT</w:t>
      </w:r>
      <w:r>
        <w:rPr>
          <w:szCs w:val="22"/>
        </w:rPr>
        <w:t xml:space="preserve"> was to assume the consulting role for </w:t>
      </w:r>
      <w:r>
        <w:rPr>
          <w:szCs w:val="22"/>
        </w:rPr>
        <w:t>HCPs</w:t>
      </w:r>
      <w:r>
        <w:rPr>
          <w:szCs w:val="22"/>
        </w:rPr>
        <w:t xml:space="preserve"> participating in the Telecom Program and was authorized by </w:t>
      </w:r>
      <w:r>
        <w:rPr>
          <w:szCs w:val="22"/>
        </w:rPr>
        <w:t>UTHSCT</w:t>
      </w:r>
      <w:r>
        <w:rPr>
          <w:szCs w:val="22"/>
        </w:rPr>
        <w:t xml:space="preserve"> to act on its behalf before USAC in matters relating to the Telecom Program for FYs 2015-2018.</w:t>
      </w:r>
      <w:r w:rsidRPr="00FD2F04">
        <w:t xml:space="preserve"> </w:t>
      </w:r>
      <w:r>
        <w:t xml:space="preserve"> Windstream Request for Review at 5-6.</w:t>
      </w:r>
    </w:p>
  </w:footnote>
  <w:footnote w:id="29">
    <w:p w:rsidR="00965215" w:rsidP="00965215" w14:paraId="5A87EEEF" w14:textId="77777777">
      <w:pPr>
        <w:pStyle w:val="FootnoteText"/>
      </w:pPr>
      <w:r>
        <w:rPr>
          <w:rStyle w:val="FootnoteReference"/>
        </w:rPr>
        <w:footnoteRef/>
      </w:r>
      <w:r>
        <w:t xml:space="preserve"> </w:t>
      </w:r>
      <w:r>
        <w:t>UTHSCT</w:t>
      </w:r>
      <w:r>
        <w:t xml:space="preserve"> Request for Review at 6.</w:t>
      </w:r>
    </w:p>
  </w:footnote>
  <w:footnote w:id="30">
    <w:p w:rsidR="00965215" w:rsidP="00965215" w14:paraId="2BE631C0" w14:textId="77777777">
      <w:pPr>
        <w:pStyle w:val="FootnoteText"/>
      </w:pPr>
      <w:r>
        <w:rPr>
          <w:rStyle w:val="FootnoteReference"/>
        </w:rPr>
        <w:footnoteRef/>
      </w:r>
      <w:r>
        <w:t xml:space="preserve"> </w:t>
      </w:r>
      <w:r>
        <w:t>UTHSCT</w:t>
      </w:r>
      <w:r>
        <w:t xml:space="preserve"> Request for Review at 4; Windstream ADL at 3.</w:t>
      </w:r>
    </w:p>
  </w:footnote>
  <w:footnote w:id="31">
    <w:p w:rsidR="00965215" w:rsidP="00965215" w14:paraId="390F4DF2" w14:textId="77777777">
      <w:pPr>
        <w:pStyle w:val="FootnoteText"/>
      </w:pPr>
      <w:r>
        <w:rPr>
          <w:rStyle w:val="FootnoteReference"/>
        </w:rPr>
        <w:footnoteRef/>
      </w:r>
      <w:r>
        <w:t xml:space="preserve"> Windstream ADL at 4.</w:t>
      </w:r>
    </w:p>
  </w:footnote>
  <w:footnote w:id="32">
    <w:p w:rsidR="00965215" w:rsidP="00965215" w14:paraId="1B2E036D" w14:textId="77777777">
      <w:pPr>
        <w:pStyle w:val="FootnoteText"/>
      </w:pPr>
      <w:r>
        <w:rPr>
          <w:rStyle w:val="FootnoteReference"/>
        </w:rPr>
        <w:footnoteRef/>
      </w:r>
      <w:r>
        <w:t xml:space="preserve"> </w:t>
      </w:r>
      <w:r>
        <w:t>UTHSCT</w:t>
      </w:r>
      <w:r>
        <w:t xml:space="preserve"> Request for Review at 4-5.</w:t>
      </w:r>
    </w:p>
  </w:footnote>
  <w:footnote w:id="33">
    <w:p w:rsidR="00965215" w:rsidRPr="008272D5" w:rsidP="00965215" w14:paraId="4F461D27" w14:textId="77777777">
      <w:pPr>
        <w:pStyle w:val="FootnoteText"/>
      </w:pPr>
      <w:r>
        <w:rPr>
          <w:rStyle w:val="FootnoteReference"/>
        </w:rPr>
        <w:footnoteRef/>
      </w:r>
      <w:r>
        <w:t xml:space="preserve"> </w:t>
      </w:r>
      <w:r w:rsidRPr="00E20134">
        <w:rPr>
          <w:i/>
          <w:iCs/>
        </w:rPr>
        <w:t>Id</w:t>
      </w:r>
      <w:r>
        <w:t xml:space="preserve">. </w:t>
      </w:r>
      <w:r w:rsidRPr="00E20134">
        <w:t>at</w:t>
      </w:r>
      <w:r>
        <w:t xml:space="preserve"> 5.</w:t>
      </w:r>
    </w:p>
  </w:footnote>
  <w:footnote w:id="34">
    <w:p w:rsidR="00965215" w:rsidP="00965215" w14:paraId="4FD92F9E" w14:textId="77777777">
      <w:pPr>
        <w:pStyle w:val="FootnoteText"/>
      </w:pPr>
      <w:r>
        <w:rPr>
          <w:rStyle w:val="FootnoteReference"/>
        </w:rPr>
        <w:footnoteRef/>
      </w:r>
      <w:r>
        <w:t xml:space="preserve"> </w:t>
      </w:r>
      <w:r>
        <w:rPr>
          <w:i/>
          <w:iCs/>
        </w:rPr>
        <w:t xml:space="preserve">Id. </w:t>
      </w:r>
      <w:r>
        <w:t>at 2.</w:t>
      </w:r>
    </w:p>
  </w:footnote>
  <w:footnote w:id="35">
    <w:p w:rsidR="00965215" w:rsidP="00965215" w14:paraId="5A04A10E" w14:textId="77777777">
      <w:pPr>
        <w:pStyle w:val="FootnoteText"/>
      </w:pPr>
      <w:r>
        <w:rPr>
          <w:rStyle w:val="FootnoteReference"/>
        </w:rPr>
        <w:footnoteRef/>
      </w:r>
      <w:r>
        <w:t xml:space="preserve"> </w:t>
      </w:r>
      <w:r w:rsidRPr="00133B9F">
        <w:rPr>
          <w:i/>
        </w:rPr>
        <w:t>See</w:t>
      </w:r>
      <w:r>
        <w:rPr>
          <w:i/>
        </w:rPr>
        <w:t xml:space="preserve"> </w:t>
      </w:r>
      <w:r>
        <w:t xml:space="preserve">Letter from Craig Davis, Vice President, Rural Health Care Division, USAC to Ms. Darlene Flournoy, The Burke Center-West Austin Street, Trinity Valley Community College, </w:t>
      </w:r>
      <w:r>
        <w:t>UTHSCT</w:t>
      </w:r>
      <w:r>
        <w:t xml:space="preserve"> on behalf of </w:t>
      </w:r>
      <w:r>
        <w:t>ETIHN</w:t>
      </w:r>
      <w:r>
        <w:t xml:space="preserve">-Andrews Center, and Mr. Zachery </w:t>
      </w:r>
      <w:r>
        <w:t>Mungeer</w:t>
      </w:r>
      <w:r>
        <w:t xml:space="preserve">, Windstream Communications, LLC at 1-2 (Mar. 13, 2017). </w:t>
      </w:r>
    </w:p>
  </w:footnote>
  <w:footnote w:id="36">
    <w:p w:rsidR="00965215" w:rsidP="00965215" w14:paraId="7EA37C0F" w14:textId="77777777">
      <w:pPr>
        <w:pStyle w:val="FootnoteText"/>
      </w:pPr>
      <w:r>
        <w:rPr>
          <w:rStyle w:val="FootnoteReference"/>
        </w:rPr>
        <w:footnoteRef/>
      </w:r>
      <w:r>
        <w:t xml:space="preserve"> </w:t>
      </w:r>
      <w:r>
        <w:rPr>
          <w:i/>
        </w:rPr>
        <w:t xml:space="preserve">Id. </w:t>
      </w:r>
      <w:r>
        <w:t>at 6.</w:t>
      </w:r>
    </w:p>
  </w:footnote>
  <w:footnote w:id="37">
    <w:p w:rsidR="00965215" w:rsidP="00965215" w14:paraId="60DB53D1" w14:textId="77777777">
      <w:pPr>
        <w:pStyle w:val="FootnoteText"/>
      </w:pPr>
      <w:r>
        <w:rPr>
          <w:rStyle w:val="FootnoteReference"/>
        </w:rPr>
        <w:footnoteRef/>
      </w:r>
      <w:r>
        <w:t xml:space="preserve"> </w:t>
      </w:r>
      <w:r>
        <w:rPr>
          <w:i/>
        </w:rPr>
        <w:t>Id.</w:t>
      </w:r>
    </w:p>
  </w:footnote>
  <w:footnote w:id="38">
    <w:p w:rsidR="00965215" w:rsidP="00965215" w14:paraId="592B693E" w14:textId="77777777">
      <w:pPr>
        <w:pStyle w:val="FootnoteText"/>
      </w:pPr>
      <w:r>
        <w:rPr>
          <w:rStyle w:val="FootnoteReference"/>
        </w:rPr>
        <w:footnoteRef/>
      </w:r>
      <w:r>
        <w:t xml:space="preserve"> </w:t>
      </w:r>
      <w:r>
        <w:rPr>
          <w:i/>
        </w:rPr>
        <w:t>Id</w:t>
      </w:r>
      <w:r>
        <w:t xml:space="preserve">. at 2.  </w:t>
      </w:r>
      <w:r>
        <w:rPr>
          <w:i/>
        </w:rPr>
        <w:t>See also</w:t>
      </w:r>
      <w:r>
        <w:t xml:space="preserve"> </w:t>
      </w:r>
      <w:r w:rsidRPr="00370512">
        <w:rPr>
          <w:i/>
        </w:rPr>
        <w:t>infra</w:t>
      </w:r>
      <w:r>
        <w:t xml:space="preserve"> at Appendix A (listing the denied </w:t>
      </w:r>
      <w:r>
        <w:t>FRNs</w:t>
      </w:r>
      <w:r>
        <w:t>).</w:t>
      </w:r>
    </w:p>
  </w:footnote>
  <w:footnote w:id="39">
    <w:p w:rsidR="00965215" w:rsidP="00965215" w14:paraId="71715413" w14:textId="77777777">
      <w:pPr>
        <w:pStyle w:val="FootnoteText"/>
      </w:pPr>
      <w:r>
        <w:rPr>
          <w:rStyle w:val="FootnoteReference"/>
        </w:rPr>
        <w:footnoteRef/>
      </w:r>
      <w:r>
        <w:t xml:space="preserve"> </w:t>
      </w:r>
      <w:r>
        <w:rPr>
          <w:i/>
        </w:rPr>
        <w:t>See</w:t>
      </w:r>
      <w:r>
        <w:t xml:space="preserve"> Notification of Commitment Adjustment Letters from Rural Health Care Division, USAC to Maribeth </w:t>
      </w:r>
      <w:r>
        <w:t>Everley</w:t>
      </w:r>
      <w:r>
        <w:t>, Windstream Communications, LLC (Oct. 23, 2017)</w:t>
      </w:r>
      <w:r w:rsidRPr="002718BF">
        <w:t>.</w:t>
      </w:r>
      <w:r>
        <w:t xml:space="preserve">  </w:t>
      </w:r>
      <w:r w:rsidRPr="008B44C0">
        <w:rPr>
          <w:i/>
        </w:rPr>
        <w:t>See also infra</w:t>
      </w:r>
      <w:r>
        <w:t xml:space="preserve"> at Appendix B (listing the </w:t>
      </w:r>
      <w:r>
        <w:t>FRNs</w:t>
      </w:r>
      <w:r>
        <w:t xml:space="preserve"> subject to commitment adjustments).</w:t>
      </w:r>
    </w:p>
  </w:footnote>
  <w:footnote w:id="40">
    <w:p w:rsidR="00965215" w:rsidRPr="00221EEA" w:rsidP="00965215" w14:paraId="23B353F7" w14:textId="77777777">
      <w:pPr>
        <w:pStyle w:val="FootnoteText"/>
        <w:rPr>
          <w:u w:val="single"/>
        </w:rPr>
      </w:pPr>
      <w:r>
        <w:rPr>
          <w:rStyle w:val="FootnoteReference"/>
        </w:rPr>
        <w:footnoteRef/>
      </w:r>
      <w:r>
        <w:t xml:space="preserve"> Windstream USAC Appeal at 3; Letter from Matthew A. Brill and Elizabeth R. Park, Latham &amp; Watkins, LLP, to USAC, Rural Health Care </w:t>
      </w:r>
      <w:r w:rsidRPr="00EF3946">
        <w:t>Division at 3-4 (</w:t>
      </w:r>
      <w:r>
        <w:t xml:space="preserve">Dec. 19, 2017) (Windstream </w:t>
      </w:r>
      <w:r>
        <w:t>COMAD</w:t>
      </w:r>
      <w:r>
        <w:t xml:space="preserve"> Appeal) (appealing USAC’s decision to adjust funding committed to </w:t>
      </w:r>
      <w:r>
        <w:t>UTHSCT</w:t>
      </w:r>
      <w:r>
        <w:t xml:space="preserve"> for FYs 2012-2015).  </w:t>
      </w:r>
    </w:p>
  </w:footnote>
  <w:footnote w:id="41">
    <w:p w:rsidR="00965215" w:rsidP="00965215" w14:paraId="31A8F656" w14:textId="77777777">
      <w:pPr>
        <w:pStyle w:val="FootnoteText"/>
      </w:pPr>
      <w:r>
        <w:rPr>
          <w:rStyle w:val="FootnoteReference"/>
        </w:rPr>
        <w:footnoteRef/>
      </w:r>
      <w:r>
        <w:t xml:space="preserve"> Windstream USAC Appeal at 11-12; Windstream </w:t>
      </w:r>
      <w:r>
        <w:t>COMAD</w:t>
      </w:r>
      <w:r>
        <w:t xml:space="preserve"> Appeal at 14.</w:t>
      </w:r>
    </w:p>
  </w:footnote>
  <w:footnote w:id="42">
    <w:p w:rsidR="00965215" w:rsidRPr="0043696B" w:rsidP="00965215" w14:paraId="39FEFF49" w14:textId="77777777">
      <w:pPr>
        <w:pStyle w:val="FootnoteText"/>
      </w:pPr>
      <w:r>
        <w:rPr>
          <w:rStyle w:val="FootnoteReference"/>
        </w:rPr>
        <w:footnoteRef/>
      </w:r>
      <w:r>
        <w:t xml:space="preserve"> Windstream </w:t>
      </w:r>
      <w:r>
        <w:t>COMAD</w:t>
      </w:r>
      <w:r>
        <w:t xml:space="preserve"> Appeal at </w:t>
      </w:r>
      <w:r w:rsidRPr="00EF3946">
        <w:t>7-8.</w:t>
      </w:r>
      <w:r>
        <w:t xml:space="preserve">  </w:t>
      </w:r>
    </w:p>
  </w:footnote>
  <w:footnote w:id="43">
    <w:p w:rsidR="00965215" w:rsidP="00965215" w14:paraId="06945649" w14:textId="77777777">
      <w:pPr>
        <w:pStyle w:val="FootnoteText"/>
      </w:pPr>
      <w:r>
        <w:rPr>
          <w:rStyle w:val="FootnoteReference"/>
        </w:rPr>
        <w:footnoteRef/>
      </w:r>
      <w:r>
        <w:t xml:space="preserve"> Windstream USAC Appeal at 12-14; Windstream </w:t>
      </w:r>
      <w:r>
        <w:t>COMAD</w:t>
      </w:r>
      <w:r>
        <w:t xml:space="preserve"> Appeal at </w:t>
      </w:r>
      <w:r w:rsidRPr="00014B22">
        <w:t>15-16.</w:t>
      </w:r>
      <w:r>
        <w:t xml:space="preserve">  </w:t>
      </w:r>
    </w:p>
  </w:footnote>
  <w:footnote w:id="44">
    <w:p w:rsidR="00965215" w:rsidP="00965215" w14:paraId="03BEDBEE" w14:textId="77777777">
      <w:pPr>
        <w:pStyle w:val="FootnoteText"/>
      </w:pPr>
      <w:r>
        <w:rPr>
          <w:rStyle w:val="FootnoteReference"/>
        </w:rPr>
        <w:footnoteRef/>
      </w:r>
      <w:r>
        <w:t xml:space="preserve"> Letter from Russell D. Lukas and Jeffrey A. Mitchell, Lukas, </w:t>
      </w:r>
      <w:r>
        <w:t>LaFuria</w:t>
      </w:r>
      <w:r>
        <w:t>, Gutierrez &amp; Sachs LLP to USAC, Rural Health Care Division (May 12, 2017) (ABS USAC Appeal).</w:t>
      </w:r>
    </w:p>
  </w:footnote>
  <w:footnote w:id="45">
    <w:p w:rsidR="00965215" w:rsidP="00965215" w14:paraId="4C07EFC9" w14:textId="77777777">
      <w:pPr>
        <w:pStyle w:val="FootnoteText"/>
      </w:pPr>
      <w:r>
        <w:rPr>
          <w:rStyle w:val="FootnoteReference"/>
        </w:rPr>
        <w:footnoteRef/>
      </w:r>
      <w:r>
        <w:t xml:space="preserve"> ABS USAC Appeal at 9.</w:t>
      </w:r>
    </w:p>
  </w:footnote>
  <w:footnote w:id="46">
    <w:p w:rsidR="00965215" w:rsidP="00965215" w14:paraId="6786BFF1" w14:textId="77777777">
      <w:pPr>
        <w:pStyle w:val="FootnoteText"/>
      </w:pPr>
      <w:r>
        <w:rPr>
          <w:rStyle w:val="FootnoteReference"/>
        </w:rPr>
        <w:footnoteRef/>
      </w:r>
      <w:r>
        <w:t xml:space="preserve"> </w:t>
      </w:r>
      <w:r w:rsidRPr="00014B22">
        <w:rPr>
          <w:i/>
        </w:rPr>
        <w:t>Id</w:t>
      </w:r>
      <w:r>
        <w:t xml:space="preserve">. </w:t>
      </w:r>
      <w:r w:rsidRPr="00014B22">
        <w:t>at</w:t>
      </w:r>
      <w:r>
        <w:t xml:space="preserve"> 3-8.</w:t>
      </w:r>
    </w:p>
  </w:footnote>
  <w:footnote w:id="47">
    <w:p w:rsidR="00965215" w:rsidP="00965215" w14:paraId="377E7D28" w14:textId="77777777">
      <w:pPr>
        <w:pStyle w:val="FootnoteText"/>
      </w:pPr>
      <w:r>
        <w:rPr>
          <w:rStyle w:val="FootnoteReference"/>
        </w:rPr>
        <w:footnoteRef/>
      </w:r>
      <w:r>
        <w:t xml:space="preserve"> </w:t>
      </w:r>
      <w:r w:rsidRPr="00014B22">
        <w:rPr>
          <w:i/>
        </w:rPr>
        <w:t>Id</w:t>
      </w:r>
      <w:r>
        <w:t>. at 8-10.</w:t>
      </w:r>
    </w:p>
  </w:footnote>
  <w:footnote w:id="48">
    <w:p w:rsidR="00965215" w:rsidP="00965215" w14:paraId="0A9443FF" w14:textId="77777777">
      <w:pPr>
        <w:pStyle w:val="FootnoteText"/>
      </w:pPr>
      <w:r>
        <w:rPr>
          <w:rStyle w:val="FootnoteReference"/>
        </w:rPr>
        <w:footnoteRef/>
      </w:r>
      <w:r>
        <w:t xml:space="preserve"> </w:t>
      </w:r>
      <w:r w:rsidRPr="00014B22">
        <w:rPr>
          <w:i/>
        </w:rPr>
        <w:t>Id</w:t>
      </w:r>
      <w:r>
        <w:t xml:space="preserve">. </w:t>
      </w:r>
      <w:r w:rsidRPr="00014B22">
        <w:t>at</w:t>
      </w:r>
      <w:r>
        <w:t xml:space="preserve"> 10 (arguing that because ABS was an aggrieved party in the proceeding, USAC should have provided the documents to ABS upon request so that it would have a meaningful opportunity to be heard).</w:t>
      </w:r>
    </w:p>
  </w:footnote>
  <w:footnote w:id="49">
    <w:p w:rsidR="00965215" w:rsidRPr="00B3483C" w:rsidP="00965215" w14:paraId="750146A7" w14:textId="77777777">
      <w:pPr>
        <w:pStyle w:val="FootnoteText"/>
      </w:pPr>
      <w:r>
        <w:rPr>
          <w:rStyle w:val="FootnoteReference"/>
        </w:rPr>
        <w:footnoteRef/>
      </w:r>
      <w:r>
        <w:t xml:space="preserve"> </w:t>
      </w:r>
      <w:r>
        <w:rPr>
          <w:i/>
        </w:rPr>
        <w:t xml:space="preserve">See supra </w:t>
      </w:r>
      <w:r>
        <w:t>notes 3-4.</w:t>
      </w:r>
    </w:p>
  </w:footnote>
  <w:footnote w:id="50">
    <w:p w:rsidR="00965215" w:rsidP="00965215" w14:paraId="4D007DA3" w14:textId="77777777">
      <w:pPr>
        <w:pStyle w:val="FootnoteText"/>
      </w:pPr>
      <w:r>
        <w:rPr>
          <w:rStyle w:val="FootnoteReference"/>
        </w:rPr>
        <w:footnoteRef/>
      </w:r>
      <w:r>
        <w:t xml:space="preserve"> Windstream ADL at 5.  </w:t>
      </w:r>
    </w:p>
  </w:footnote>
  <w:footnote w:id="51">
    <w:p w:rsidR="00965215" w:rsidP="00965215" w14:paraId="26E0B18E" w14:textId="77777777">
      <w:pPr>
        <w:pStyle w:val="FootnoteText"/>
      </w:pPr>
      <w:r>
        <w:rPr>
          <w:rStyle w:val="FootnoteReference"/>
        </w:rPr>
        <w:footnoteRef/>
      </w:r>
      <w:r>
        <w:t xml:space="preserve"> Windstream </w:t>
      </w:r>
      <w:r>
        <w:t>COMAD</w:t>
      </w:r>
      <w:r>
        <w:t xml:space="preserve"> ADL at 5-6; ABS ADL at 5-6.</w:t>
      </w:r>
    </w:p>
  </w:footnote>
  <w:footnote w:id="52">
    <w:p w:rsidR="00965215" w:rsidP="00965215" w14:paraId="1508582D" w14:textId="77777777">
      <w:pPr>
        <w:pStyle w:val="FootnoteText"/>
      </w:pPr>
      <w:r>
        <w:rPr>
          <w:rStyle w:val="FootnoteReference"/>
        </w:rPr>
        <w:footnoteRef/>
      </w:r>
      <w:r>
        <w:t xml:space="preserve"> Windstream </w:t>
      </w:r>
      <w:r>
        <w:t>COMAD</w:t>
      </w:r>
      <w:r>
        <w:t xml:space="preserve"> ADL at 6; ABS ADL at 6.</w:t>
      </w:r>
    </w:p>
  </w:footnote>
  <w:footnote w:id="53">
    <w:p w:rsidR="00965215" w:rsidP="00965215" w14:paraId="7C2B63AD" w14:textId="77777777">
      <w:pPr>
        <w:pStyle w:val="FootnoteText"/>
      </w:pPr>
      <w:r>
        <w:rPr>
          <w:rStyle w:val="FootnoteReference"/>
        </w:rPr>
        <w:footnoteRef/>
      </w:r>
      <w:r>
        <w:t xml:space="preserve"> ABS ADL at 8-9.</w:t>
      </w:r>
    </w:p>
  </w:footnote>
  <w:footnote w:id="54">
    <w:p w:rsidR="00965215" w:rsidRPr="00F06B16" w:rsidP="00965215" w14:paraId="279BDFEE" w14:textId="77777777">
      <w:pPr>
        <w:pStyle w:val="FootnoteText"/>
      </w:pPr>
      <w:r>
        <w:rPr>
          <w:rStyle w:val="FootnoteReference"/>
        </w:rPr>
        <w:footnoteRef/>
      </w:r>
      <w:r>
        <w:t xml:space="preserve"> </w:t>
      </w:r>
      <w:r>
        <w:rPr>
          <w:i/>
        </w:rPr>
        <w:t>Id</w:t>
      </w:r>
      <w:r>
        <w:t>.</w:t>
      </w:r>
    </w:p>
  </w:footnote>
  <w:footnote w:id="55">
    <w:p w:rsidR="00965215" w:rsidP="00965215" w14:paraId="21EA7F82" w14:textId="77777777">
      <w:pPr>
        <w:pStyle w:val="FootnoteText"/>
      </w:pPr>
      <w:r>
        <w:rPr>
          <w:rStyle w:val="FootnoteReference"/>
        </w:rPr>
        <w:footnoteRef/>
      </w:r>
      <w:r>
        <w:t xml:space="preserve"> Windstream </w:t>
      </w:r>
      <w:r>
        <w:t>COMAD</w:t>
      </w:r>
      <w:r>
        <w:t xml:space="preserve"> ADL at 7.</w:t>
      </w:r>
    </w:p>
  </w:footnote>
  <w:footnote w:id="56">
    <w:p w:rsidR="00965215" w:rsidP="00965215" w14:paraId="3C2A7418" w14:textId="77777777">
      <w:pPr>
        <w:pStyle w:val="FootnoteText"/>
      </w:pPr>
      <w:r>
        <w:rPr>
          <w:rStyle w:val="FootnoteReference"/>
        </w:rPr>
        <w:footnoteRef/>
      </w:r>
      <w:r>
        <w:t xml:space="preserve"> Windstream </w:t>
      </w:r>
      <w:r>
        <w:t>COMAD</w:t>
      </w:r>
      <w:r>
        <w:t xml:space="preserve"> ADL at 7</w:t>
      </w:r>
      <w:r w:rsidRPr="004A77E4">
        <w:rPr>
          <w:i/>
        </w:rPr>
        <w:t>.</w:t>
      </w:r>
      <w:r>
        <w:t xml:space="preserve">  </w:t>
      </w:r>
      <w:r w:rsidRPr="000F370F">
        <w:t xml:space="preserve">USAC stated that it is not authorized to recover support from third parties like ABS.  </w:t>
      </w:r>
      <w:r w:rsidRPr="000F370F">
        <w:rPr>
          <w:i/>
        </w:rPr>
        <w:t>Id</w:t>
      </w:r>
      <w:r>
        <w:t>.</w:t>
      </w:r>
    </w:p>
  </w:footnote>
  <w:footnote w:id="57">
    <w:p w:rsidR="00965215" w:rsidP="00965215" w14:paraId="43B49CB4" w14:textId="77777777">
      <w:pPr>
        <w:pStyle w:val="FootnoteText"/>
      </w:pPr>
      <w:r>
        <w:rPr>
          <w:rStyle w:val="FootnoteReference"/>
        </w:rPr>
        <w:footnoteRef/>
      </w:r>
      <w:r>
        <w:t xml:space="preserve"> </w:t>
      </w:r>
      <w:r>
        <w:rPr>
          <w:i/>
        </w:rPr>
        <w:t xml:space="preserve">See </w:t>
      </w:r>
      <w:r w:rsidRPr="00A30342">
        <w:rPr>
          <w:i/>
        </w:rPr>
        <w:t xml:space="preserve">supra </w:t>
      </w:r>
      <w:r w:rsidRPr="00A30342">
        <w:t>note 1.</w:t>
      </w:r>
      <w:r>
        <w:t xml:space="preserve"> </w:t>
      </w:r>
    </w:p>
  </w:footnote>
  <w:footnote w:id="58">
    <w:p w:rsidR="00965215" w:rsidP="00965215" w14:paraId="02EC7305" w14:textId="77777777">
      <w:pPr>
        <w:pStyle w:val="FootnoteText"/>
      </w:pPr>
      <w:r>
        <w:rPr>
          <w:rStyle w:val="FootnoteReference"/>
        </w:rPr>
        <w:footnoteRef/>
      </w:r>
      <w:r>
        <w:t xml:space="preserve"> Windstream Request for Review at 7-9; Windstream Reply at 2; ABS Request for Review at 30-35; ABS Opposition at 4-5.  </w:t>
      </w:r>
      <w:r>
        <w:rPr>
          <w:szCs w:val="22"/>
        </w:rPr>
        <w:t xml:space="preserve">ABS also advances three procedural arguments: (1) that USAC violated due process and </w:t>
      </w:r>
      <w:r>
        <w:rPr>
          <w:i/>
          <w:szCs w:val="22"/>
        </w:rPr>
        <w:t xml:space="preserve">ex </w:t>
      </w:r>
      <w:r>
        <w:rPr>
          <w:i/>
          <w:szCs w:val="22"/>
        </w:rPr>
        <w:t>parte</w:t>
      </w:r>
      <w:r>
        <w:rPr>
          <w:i/>
          <w:szCs w:val="22"/>
        </w:rPr>
        <w:t xml:space="preserve"> </w:t>
      </w:r>
      <w:r>
        <w:rPr>
          <w:szCs w:val="22"/>
        </w:rPr>
        <w:t xml:space="preserve">rules when it denied </w:t>
      </w:r>
      <w:r>
        <w:rPr>
          <w:szCs w:val="22"/>
        </w:rPr>
        <w:t>ABS’s</w:t>
      </w:r>
      <w:r>
        <w:rPr>
          <w:szCs w:val="22"/>
        </w:rPr>
        <w:t xml:space="preserve"> request for copies of documents pertaining to Windstream’s appeal; (2) that, because it is not a federal agency, USAC improperly relied on the Freedom of Information Act when it withheld documents and documentary evidence from ABS, and (3) that USAC ignored </w:t>
      </w:r>
      <w:r>
        <w:rPr>
          <w:szCs w:val="22"/>
        </w:rPr>
        <w:t>ABS’s</w:t>
      </w:r>
      <w:r>
        <w:rPr>
          <w:szCs w:val="22"/>
        </w:rPr>
        <w:t xml:space="preserve"> “substantial and material questions of fact” with respect to whether</w:t>
      </w:r>
      <w:r>
        <w:t xml:space="preserve"> Windstream violated section 1.17 of the Commission’s rules.  ABS Request for Review at 35-41; ABS Opposition at 12-16 (citing 47 CFR § 1.17).      </w:t>
      </w:r>
    </w:p>
  </w:footnote>
  <w:footnote w:id="59">
    <w:p w:rsidR="00965215" w:rsidP="00965215" w14:paraId="44054130" w14:textId="77777777">
      <w:pPr>
        <w:pStyle w:val="FootnoteText"/>
      </w:pPr>
      <w:r>
        <w:rPr>
          <w:rStyle w:val="FootnoteReference"/>
        </w:rPr>
        <w:footnoteRef/>
      </w:r>
      <w:r>
        <w:t xml:space="preserve"> Windstream Request for Review at 10 (citing 47 CFR § 54.603(a)).</w:t>
      </w:r>
    </w:p>
  </w:footnote>
  <w:footnote w:id="60">
    <w:p w:rsidR="00965215" w:rsidRPr="006F5053" w:rsidP="00965215" w14:paraId="18A29506" w14:textId="77777777">
      <w:pPr>
        <w:pStyle w:val="FootnoteText"/>
      </w:pPr>
      <w:r>
        <w:rPr>
          <w:rStyle w:val="FootnoteReference"/>
        </w:rPr>
        <w:footnoteRef/>
      </w:r>
      <w:r>
        <w:t xml:space="preserve"> </w:t>
      </w:r>
      <w:r>
        <w:rPr>
          <w:i/>
        </w:rPr>
        <w:t>Id.</w:t>
      </w:r>
      <w:r>
        <w:t xml:space="preserve"> at 9-10.</w:t>
      </w:r>
    </w:p>
  </w:footnote>
  <w:footnote w:id="61">
    <w:p w:rsidR="00965215" w:rsidRPr="00722752" w:rsidP="00965215" w14:paraId="303BD5B5" w14:textId="77777777">
      <w:pPr>
        <w:pStyle w:val="FootnoteText"/>
      </w:pPr>
      <w:r>
        <w:rPr>
          <w:rStyle w:val="FootnoteReference"/>
        </w:rPr>
        <w:footnoteRef/>
      </w:r>
      <w:r>
        <w:t xml:space="preserve"> </w:t>
      </w:r>
      <w:r>
        <w:rPr>
          <w:i/>
        </w:rPr>
        <w:t xml:space="preserve">Id. </w:t>
      </w:r>
      <w:r>
        <w:t>at 11-15 (</w:t>
      </w:r>
      <w:r w:rsidRPr="00A30342">
        <w:t>citing</w:t>
      </w:r>
      <w:r>
        <w:t xml:space="preserve"> </w:t>
      </w:r>
      <w:r w:rsidRPr="00C2355C">
        <w:rPr>
          <w:i/>
        </w:rPr>
        <w:t>Federal-State Joint Board on Universal Service; Changes to the Board of Directors for the National Exchange Carrier Association, Inc.; Schools and Libraries Universal Service Support Mechanism</w:t>
      </w:r>
      <w:r w:rsidRPr="00C2355C">
        <w:t xml:space="preserve">, CC Docket Nos. 96-45, 97-21 and 02-6, Order on Reconsideration and Fourth Report and Order, </w:t>
      </w:r>
      <w:r w:rsidRPr="00F94B08">
        <w:t>19 FCC Rcd 15252, 1525</w:t>
      </w:r>
      <w:r>
        <w:t>7</w:t>
      </w:r>
      <w:r w:rsidRPr="00F94B08">
        <w:t>, para. 1</w:t>
      </w:r>
      <w:r>
        <w:t>0</w:t>
      </w:r>
      <w:r w:rsidRPr="00F94B08">
        <w:t xml:space="preserve"> (2004)</w:t>
      </w:r>
      <w:r>
        <w:t xml:space="preserve"> (</w:t>
      </w:r>
      <w:r w:rsidRPr="002369BE">
        <w:rPr>
          <w:i/>
        </w:rPr>
        <w:t>Schools and Libraries Fourth Report and Order</w:t>
      </w:r>
      <w:r>
        <w:t xml:space="preserve">); </w:t>
      </w:r>
      <w:r>
        <w:rPr>
          <w:i/>
        </w:rPr>
        <w:t>Hospital Networks Order</w:t>
      </w:r>
      <w:r>
        <w:t xml:space="preserve">; </w:t>
      </w:r>
      <w:r>
        <w:rPr>
          <w:i/>
        </w:rPr>
        <w:t xml:space="preserve">Requests for Review of Decisions of the Universal Service Administrator by BellSouth </w:t>
      </w:r>
      <w:r>
        <w:rPr>
          <w:i/>
        </w:rPr>
        <w:t>Telecomms</w:t>
      </w:r>
      <w:r>
        <w:rPr>
          <w:i/>
        </w:rPr>
        <w:t xml:space="preserve">., Inc./Union Parish School </w:t>
      </w:r>
      <w:r>
        <w:rPr>
          <w:i/>
        </w:rPr>
        <w:t>Brd</w:t>
      </w:r>
      <w:r>
        <w:rPr>
          <w:i/>
        </w:rPr>
        <w:t>.</w:t>
      </w:r>
      <w:r>
        <w:t xml:space="preserve">, CC Docket No. 02-6, Order, 27 FCC Rcd 11208 (WCB 2012) </w:t>
      </w:r>
      <w:r w:rsidRPr="00E60CE9">
        <w:t>(</w:t>
      </w:r>
      <w:r w:rsidRPr="00E60CE9">
        <w:rPr>
          <w:i/>
        </w:rPr>
        <w:t>BellSouth Order</w:t>
      </w:r>
      <w:r w:rsidRPr="00E60CE9">
        <w:t>);</w:t>
      </w:r>
      <w:r>
        <w:t xml:space="preserve"> </w:t>
      </w:r>
      <w:r>
        <w:rPr>
          <w:i/>
        </w:rPr>
        <w:t>SEND Order</w:t>
      </w:r>
      <w:r>
        <w:t xml:space="preserve">; and </w:t>
      </w:r>
      <w:r>
        <w:rPr>
          <w:i/>
        </w:rPr>
        <w:t>Requests for Review of Decisions of the Universal Service Administrator by Achieve Telecom Network of Massachusetts et al.</w:t>
      </w:r>
      <w:r>
        <w:t>, CC Docket No. 02-6, Order, 30 FCC Rcd 3653 (WCB 2015) (</w:t>
      </w:r>
      <w:r>
        <w:rPr>
          <w:i/>
        </w:rPr>
        <w:t>Achieve Telecom Order</w:t>
      </w:r>
      <w:r>
        <w:t xml:space="preserve">).  Windstream also </w:t>
      </w:r>
      <w:r>
        <w:rPr>
          <w:szCs w:val="22"/>
        </w:rPr>
        <w:t xml:space="preserve">asserts that requiring it to forgo funds awarded under the Telecom Program would both amount to an unconstitutional confiscation of property without just compensation and run counter to basic principles of equity because Windstream relied on the funding commitments to procure high-capacity circuits from third parties to enable the provision of services to </w:t>
      </w:r>
      <w:r>
        <w:rPr>
          <w:szCs w:val="22"/>
        </w:rPr>
        <w:t>UTHSCT</w:t>
      </w:r>
      <w:r>
        <w:rPr>
          <w:szCs w:val="22"/>
        </w:rPr>
        <w:t>.  Windstream Request for Review at 16-17.</w:t>
      </w:r>
    </w:p>
  </w:footnote>
  <w:footnote w:id="62">
    <w:p w:rsidR="00965215" w:rsidRPr="00A25ACD" w:rsidP="00965215" w14:paraId="02824205" w14:textId="77777777">
      <w:pPr>
        <w:pStyle w:val="FootnoteText"/>
      </w:pPr>
      <w:r>
        <w:rPr>
          <w:rStyle w:val="FootnoteReference"/>
        </w:rPr>
        <w:footnoteRef/>
      </w:r>
      <w:r>
        <w:t xml:space="preserve"> Windstream Request for Review at 17-18.  </w:t>
      </w:r>
      <w:r>
        <w:rPr>
          <w:i/>
        </w:rPr>
        <w:t xml:space="preserve">See also </w:t>
      </w:r>
      <w:r>
        <w:t>ABS Opposition at 8-10 (agreeing with Windstream that the competitive bidding process was fair and open because there is no evidence showing that the alleged conflict of interest “impeded fair and open competition”).</w:t>
      </w:r>
    </w:p>
  </w:footnote>
  <w:footnote w:id="63">
    <w:p w:rsidR="00965215" w:rsidP="00965215" w14:paraId="5A2B754F" w14:textId="77777777">
      <w:pPr>
        <w:pStyle w:val="FootnoteText"/>
      </w:pPr>
      <w:r>
        <w:rPr>
          <w:rStyle w:val="FootnoteReference"/>
        </w:rPr>
        <w:footnoteRef/>
      </w:r>
      <w:r>
        <w:t xml:space="preserve"> </w:t>
      </w:r>
      <w:r>
        <w:t>UTHSCT</w:t>
      </w:r>
      <w:r>
        <w:t xml:space="preserve"> Request for Review at 7-10</w:t>
      </w:r>
      <w:r>
        <w:rPr>
          <w:szCs w:val="22"/>
        </w:rPr>
        <w:t>.</w:t>
      </w:r>
    </w:p>
  </w:footnote>
  <w:footnote w:id="64">
    <w:p w:rsidR="00965215" w:rsidRPr="00C2355C" w:rsidP="00965215" w14:paraId="50403A15" w14:textId="77777777">
      <w:pPr>
        <w:pStyle w:val="FootnoteText"/>
      </w:pPr>
      <w:r w:rsidRPr="00C2355C">
        <w:rPr>
          <w:rStyle w:val="FootnoteReference"/>
        </w:rPr>
        <w:footnoteRef/>
      </w:r>
      <w:r w:rsidRPr="00C2355C">
        <w:t xml:space="preserve"> 47 </w:t>
      </w:r>
      <w:r w:rsidRPr="00C2355C">
        <w:rPr>
          <w:iCs/>
        </w:rPr>
        <w:t xml:space="preserve">CFR § </w:t>
      </w:r>
      <w:r w:rsidRPr="00C2355C">
        <w:t>54.723</w:t>
      </w:r>
      <w:r>
        <w:t>(a)</w:t>
      </w:r>
      <w:r w:rsidRPr="00C2355C">
        <w:t>.</w:t>
      </w:r>
    </w:p>
  </w:footnote>
  <w:footnote w:id="65">
    <w:p w:rsidR="00965215" w:rsidRPr="00C2355C" w:rsidP="00965215" w14:paraId="4B011510" w14:textId="77777777">
      <w:pPr>
        <w:pStyle w:val="FootnoteText"/>
      </w:pPr>
      <w:r w:rsidRPr="00C2355C">
        <w:rPr>
          <w:rStyle w:val="FootnoteReference"/>
        </w:rPr>
        <w:footnoteRef/>
      </w:r>
      <w:r w:rsidRPr="00C2355C">
        <w:t xml:space="preserve"> </w:t>
      </w:r>
      <w:r w:rsidRPr="00C2355C">
        <w:rPr>
          <w:i/>
        </w:rPr>
        <w:t>See supra</w:t>
      </w:r>
      <w:r w:rsidRPr="00C2355C">
        <w:t xml:space="preserve"> </w:t>
      </w:r>
      <w:r>
        <w:t>paras. 6-8.</w:t>
      </w:r>
      <w:r w:rsidRPr="00C2355C">
        <w:t xml:space="preserve">  </w:t>
      </w:r>
    </w:p>
  </w:footnote>
  <w:footnote w:id="66">
    <w:p w:rsidR="00965215" w:rsidRPr="00C2355C" w:rsidP="00965215" w14:paraId="0391F410" w14:textId="77777777">
      <w:pPr>
        <w:pStyle w:val="FootnoteText"/>
      </w:pPr>
      <w:r w:rsidRPr="00C2355C">
        <w:rPr>
          <w:rStyle w:val="FootnoteReference"/>
        </w:rPr>
        <w:footnoteRef/>
      </w:r>
      <w:r>
        <w:rPr>
          <w:i/>
        </w:rPr>
        <w:t xml:space="preserve"> M</w:t>
      </w:r>
      <w:r w:rsidRPr="00C2355C">
        <w:rPr>
          <w:i/>
        </w:rPr>
        <w:t>astermind Order</w:t>
      </w:r>
      <w:r w:rsidRPr="00C2355C">
        <w:t>,</w:t>
      </w:r>
      <w:r w:rsidRPr="00C2355C">
        <w:rPr>
          <w:i/>
        </w:rPr>
        <w:t xml:space="preserve"> </w:t>
      </w:r>
      <w:r w:rsidRPr="00C2355C">
        <w:t>16 FCC Rcd at 4033, para. 10.</w:t>
      </w:r>
    </w:p>
  </w:footnote>
  <w:footnote w:id="67">
    <w:p w:rsidR="00965215" w:rsidRPr="00E76DA2" w:rsidP="00965215" w14:paraId="114CB6D9" w14:textId="77777777">
      <w:pPr>
        <w:pStyle w:val="FootnoteText"/>
      </w:pPr>
      <w:r>
        <w:rPr>
          <w:rStyle w:val="FootnoteReference"/>
        </w:rPr>
        <w:footnoteRef/>
      </w:r>
      <w:r>
        <w:t xml:space="preserve"> </w:t>
      </w:r>
      <w:r>
        <w:rPr>
          <w:i/>
        </w:rPr>
        <w:t xml:space="preserve">See </w:t>
      </w:r>
      <w:r w:rsidRPr="00E76DA2">
        <w:rPr>
          <w:i/>
        </w:rPr>
        <w:t>SEND Order</w:t>
      </w:r>
      <w:r>
        <w:t xml:space="preserve">, 22 FCC Rcd at 4953, para. 6; </w:t>
      </w:r>
      <w:r>
        <w:rPr>
          <w:i/>
        </w:rPr>
        <w:t>Hospital Networks Order</w:t>
      </w:r>
      <w:r>
        <w:t>, 31 FCC Rcd at 5740, para. 17.</w:t>
      </w:r>
    </w:p>
  </w:footnote>
  <w:footnote w:id="68">
    <w:p w:rsidR="00965215" w:rsidRPr="00C508E7" w:rsidP="00965215" w14:paraId="470F5CAD" w14:textId="77777777">
      <w:pPr>
        <w:pStyle w:val="FootnoteText"/>
      </w:pPr>
      <w:r>
        <w:rPr>
          <w:rStyle w:val="FootnoteReference"/>
        </w:rPr>
        <w:footnoteRef/>
      </w:r>
      <w:r>
        <w:t xml:space="preserve"> </w:t>
      </w:r>
      <w:r>
        <w:rPr>
          <w:i/>
        </w:rPr>
        <w:t>See Hospital Networks Order</w:t>
      </w:r>
      <w:r>
        <w:t>, 31 FCC Rcd at 5740, para. 17.</w:t>
      </w:r>
    </w:p>
  </w:footnote>
  <w:footnote w:id="69">
    <w:p w:rsidR="00965215" w:rsidRPr="00C2355C" w:rsidP="00965215" w14:paraId="33633B61" w14:textId="7D761E94">
      <w:pPr>
        <w:pStyle w:val="FootnoteText"/>
      </w:pPr>
      <w:r w:rsidRPr="00C2355C">
        <w:rPr>
          <w:rStyle w:val="FootnoteReference"/>
        </w:rPr>
        <w:footnoteRef/>
      </w:r>
      <w:r w:rsidRPr="00C2355C">
        <w:t xml:space="preserve"> </w:t>
      </w:r>
      <w:r w:rsidRPr="00C2355C">
        <w:rPr>
          <w:i/>
        </w:rPr>
        <w:t>See</w:t>
      </w:r>
      <w:r>
        <w:rPr>
          <w:i/>
        </w:rPr>
        <w:t>, e.g.</w:t>
      </w:r>
      <w:r>
        <w:rPr>
          <w:iCs/>
        </w:rPr>
        <w:t>,</w:t>
      </w:r>
      <w:r>
        <w:rPr>
          <w:i/>
        </w:rPr>
        <w:t xml:space="preserve"> </w:t>
      </w:r>
      <w:r w:rsidRPr="00C2355C">
        <w:rPr>
          <w:i/>
        </w:rPr>
        <w:t>Mastermind Order</w:t>
      </w:r>
      <w:r w:rsidRPr="00C2355C">
        <w:t>, 16 FCC Rcd at 4033, para. 1</w:t>
      </w:r>
      <w:r w:rsidRPr="00F914A0">
        <w:t xml:space="preserve">1.  </w:t>
      </w:r>
    </w:p>
  </w:footnote>
  <w:footnote w:id="70">
    <w:p w:rsidR="00965215" w:rsidRPr="0090757E" w:rsidP="00965215" w14:paraId="00E9CC9D" w14:textId="77777777">
      <w:pPr>
        <w:pStyle w:val="FootnoteText"/>
      </w:pPr>
      <w:r w:rsidRPr="00C2355C">
        <w:rPr>
          <w:rStyle w:val="FootnoteReference"/>
        </w:rPr>
        <w:footnoteRef/>
      </w:r>
      <w:r w:rsidRPr="00C2355C">
        <w:t xml:space="preserve"> </w:t>
      </w:r>
      <w:r w:rsidRPr="00C2355C">
        <w:rPr>
          <w:i/>
          <w:iCs/>
        </w:rPr>
        <w:t>See</w:t>
      </w:r>
      <w:r>
        <w:rPr>
          <w:i/>
          <w:iCs/>
        </w:rPr>
        <w:t xml:space="preserve"> Hospital Networks Order</w:t>
      </w:r>
      <w:r>
        <w:rPr>
          <w:iCs/>
        </w:rPr>
        <w:t xml:space="preserve">, 31 FCC Rcd at 5742, para. 20 (noting that funding requests arising from the form will be denied); </w:t>
      </w:r>
      <w:r>
        <w:rPr>
          <w:i/>
          <w:iCs/>
        </w:rPr>
        <w:t>Mastermind Order</w:t>
      </w:r>
      <w:r>
        <w:rPr>
          <w:iCs/>
        </w:rPr>
        <w:t>, 16 FCC Rcd at 4032, para. 9.</w:t>
      </w:r>
    </w:p>
  </w:footnote>
  <w:footnote w:id="71">
    <w:p w:rsidR="00965215" w:rsidRPr="00C173D0" w:rsidP="00965215" w14:paraId="245B4461" w14:textId="77777777">
      <w:pPr>
        <w:pStyle w:val="FootnoteText"/>
      </w:pPr>
      <w:r>
        <w:rPr>
          <w:rStyle w:val="FootnoteReference"/>
        </w:rPr>
        <w:footnoteRef/>
      </w:r>
      <w:r>
        <w:t xml:space="preserve"> Windstream Request for Review at 7-9; Windstream Reply at 2; ABS Request for Review at 30-35; ABS Opposition at 4-5.</w:t>
      </w:r>
    </w:p>
  </w:footnote>
  <w:footnote w:id="72">
    <w:p w:rsidR="00965215" w:rsidRPr="008642D9" w:rsidP="00965215" w14:paraId="5C5B108F" w14:textId="77777777">
      <w:pPr>
        <w:pStyle w:val="FootnoteText"/>
      </w:pPr>
      <w:r>
        <w:rPr>
          <w:rStyle w:val="FootnoteReference"/>
        </w:rPr>
        <w:footnoteRef/>
      </w:r>
      <w:r>
        <w:t xml:space="preserve"> Windstream Request for Review at 7-8; ABS Request for Review at 32-35; ABS Opposition at 5.  The Commission proposed to codify the “fair and open” competitive bidding standard under the Telecom Program rules to align those rules with the </w:t>
      </w:r>
      <w:r>
        <w:t>HCF</w:t>
      </w:r>
      <w:r>
        <w:t xml:space="preserve"> Program rules.  </w:t>
      </w:r>
      <w:r>
        <w:rPr>
          <w:i/>
        </w:rPr>
        <w:t>See Promoting Telehealth in Rural America</w:t>
      </w:r>
      <w:r>
        <w:t>, WC Docket No. 17-310, Notice of Proposed Rulemaking and Order, 32 FCC Rcd 10631, 10663, para. 100 (2017) (</w:t>
      </w:r>
      <w:r>
        <w:rPr>
          <w:i/>
        </w:rPr>
        <w:t>Promoting Telehealth Notice</w:t>
      </w:r>
      <w:r>
        <w:t>).  The Commission subsequent</w:t>
      </w:r>
      <w:r w:rsidRPr="008642D9">
        <w:t>ly adopted this prop</w:t>
      </w:r>
      <w:r w:rsidRPr="00CD4A6A">
        <w:t xml:space="preserve">osal.  </w:t>
      </w:r>
      <w:r w:rsidRPr="00CD4A6A">
        <w:rPr>
          <w:i/>
        </w:rPr>
        <w:t>See Promoting Telehealth in Rural America</w:t>
      </w:r>
      <w:r w:rsidRPr="00CD4A6A">
        <w:t>, WC Docket No. 17-310, Report and Order, 34 FCC Rcd 7335, 7410, para. 161</w:t>
      </w:r>
      <w:r w:rsidRPr="00CD4A6A">
        <w:rPr>
          <w:shd w:val="clear" w:color="auto" w:fill="FFFFFF"/>
        </w:rPr>
        <w:t xml:space="preserve"> (2019)</w:t>
      </w:r>
      <w:r w:rsidRPr="00CD4A6A">
        <w:t xml:space="preserve"> (</w:t>
      </w:r>
      <w:r w:rsidRPr="00CD4A6A">
        <w:rPr>
          <w:i/>
        </w:rPr>
        <w:t>Promoting Telehealth Order</w:t>
      </w:r>
      <w:r w:rsidRPr="00CD4A6A">
        <w:t>).</w:t>
      </w:r>
      <w:r w:rsidRPr="008642D9">
        <w:t xml:space="preserve"> </w:t>
      </w:r>
    </w:p>
  </w:footnote>
  <w:footnote w:id="73">
    <w:p w:rsidR="00965215" w:rsidRPr="005A0CCA" w:rsidP="00965215" w14:paraId="2C9722B1" w14:textId="77777777">
      <w:pPr>
        <w:pStyle w:val="FootnoteText"/>
      </w:pPr>
      <w:r w:rsidRPr="008642D9">
        <w:rPr>
          <w:rStyle w:val="FootnoteReference"/>
        </w:rPr>
        <w:footnoteRef/>
      </w:r>
      <w:r w:rsidRPr="008642D9">
        <w:t xml:space="preserve"> </w:t>
      </w:r>
      <w:r w:rsidRPr="008642D9">
        <w:rPr>
          <w:i/>
        </w:rPr>
        <w:t>See Network Services Solutions, LLC,</w:t>
      </w:r>
      <w:r w:rsidRPr="008642D9">
        <w:t xml:space="preserve"> Notice of Apparent Liability for Forfeiture and Order, 31 FCC Rcd 12238, 12270, n. 228 (2016) (“The Commission’s fair and open competitive bidding requirements date back to the inception of the USF and have always applied to service providers.”).</w:t>
      </w:r>
    </w:p>
  </w:footnote>
  <w:footnote w:id="74">
    <w:p w:rsidR="00965215" w:rsidRPr="005A0CCA" w:rsidP="00965215" w14:paraId="3D1AAF47" w14:textId="77777777">
      <w:pPr>
        <w:pStyle w:val="FootnoteText"/>
      </w:pPr>
      <w:r w:rsidRPr="008642D9">
        <w:rPr>
          <w:rStyle w:val="FootnoteReference"/>
        </w:rPr>
        <w:footnoteRef/>
      </w:r>
      <w:r w:rsidRPr="008642D9">
        <w:t xml:space="preserve"> </w:t>
      </w:r>
      <w:r w:rsidRPr="008642D9">
        <w:rPr>
          <w:i/>
        </w:rPr>
        <w:t>DataConnex</w:t>
      </w:r>
      <w:r w:rsidRPr="008642D9">
        <w:rPr>
          <w:i/>
        </w:rPr>
        <w:t>, LLC</w:t>
      </w:r>
      <w:r w:rsidRPr="008642D9">
        <w:t>, Notice of Apparent Liability for Forfeiture and Order, 33 FCC Rcd 1575, 1586, para. 27 (2018) (</w:t>
      </w:r>
      <w:r w:rsidRPr="008642D9">
        <w:rPr>
          <w:i/>
        </w:rPr>
        <w:t>DataConnex</w:t>
      </w:r>
      <w:r w:rsidRPr="008642D9">
        <w:t xml:space="preserve">), citing </w:t>
      </w:r>
      <w:r w:rsidRPr="008642D9">
        <w:rPr>
          <w:i/>
        </w:rPr>
        <w:t>Universal Service First Report and Order</w:t>
      </w:r>
      <w:r w:rsidRPr="008642D9">
        <w:t>, 12 FCC Rcd at 9133-34, paras. 686, 688.</w:t>
      </w:r>
    </w:p>
  </w:footnote>
  <w:footnote w:id="75">
    <w:p w:rsidR="00965215" w:rsidRPr="00C2355C" w:rsidP="00965215" w14:paraId="43C2FB81" w14:textId="77777777">
      <w:pPr>
        <w:pStyle w:val="FootnoteText"/>
      </w:pPr>
      <w:r w:rsidRPr="00C2355C">
        <w:rPr>
          <w:rStyle w:val="FootnoteReference"/>
        </w:rPr>
        <w:footnoteRef/>
      </w:r>
      <w:r w:rsidRPr="00C2355C">
        <w:t xml:space="preserve"> </w:t>
      </w:r>
      <w:r w:rsidRPr="00C2355C">
        <w:rPr>
          <w:i/>
        </w:rPr>
        <w:t>See, e.g</w:t>
      </w:r>
      <w:r w:rsidRPr="00C2355C">
        <w:t xml:space="preserve">., </w:t>
      </w:r>
      <w:r w:rsidRPr="00C2355C">
        <w:rPr>
          <w:i/>
        </w:rPr>
        <w:t>Comprehensive Review of the Universal Service Fund Management, Administration, and Oversight, Federal-State Joint Board on Universal Service, Schools and Libraries Universal Service Support Mechanism, Rural Health Care Support Mechanism, Lifeline and Link-Up, Changes to the Board of Directors for the National Exchange Carrier Association, Inc.,</w:t>
      </w:r>
      <w:r w:rsidRPr="00C2355C">
        <w:t xml:space="preserve"> WC Docket Nos. 05-195, 02-60, 03-109, CC Docket Nos. 96-45, 02-6, 97-21, Report and Order, 22 FCC Rcd 16372 (2007) (emphasizing the need for uniform application of its rules across all universal service programs);</w:t>
      </w:r>
      <w:r w:rsidRPr="00C2355C">
        <w:rPr>
          <w:i/>
        </w:rPr>
        <w:t xml:space="preserve"> In the Matter of Rural Health Care Support Mechanism</w:t>
      </w:r>
      <w:r w:rsidRPr="00C2355C">
        <w:t>, WC Docket No. 02-60, Report and Order, 27 FCC Rcd 16678 (2012) (referencing several E-</w:t>
      </w:r>
      <w:r>
        <w:t>R</w:t>
      </w:r>
      <w:r w:rsidRPr="00C2355C">
        <w:t>ate orders as support in the establishment of the Health</w:t>
      </w:r>
      <w:r>
        <w:t>c</w:t>
      </w:r>
      <w:r w:rsidRPr="00C2355C">
        <w:t>are Connect Fund’s competitive bidding process</w:t>
      </w:r>
      <w:r w:rsidRPr="00C2355C">
        <w:rPr>
          <w:rStyle w:val="documentbody1"/>
          <w:color w:val="000000"/>
          <w:sz w:val="22"/>
          <w:szCs w:val="22"/>
        </w:rPr>
        <w:t>)</w:t>
      </w:r>
      <w:r w:rsidRPr="00C2355C">
        <w:t xml:space="preserve">.  </w:t>
      </w:r>
    </w:p>
  </w:footnote>
  <w:footnote w:id="76">
    <w:p w:rsidR="00965215" w:rsidRPr="00C2355C" w:rsidP="00965215" w14:paraId="2A374CFF" w14:textId="77777777">
      <w:pPr>
        <w:pStyle w:val="FootnoteText"/>
      </w:pPr>
      <w:r w:rsidRPr="00C2355C">
        <w:rPr>
          <w:rStyle w:val="FootnoteReference"/>
        </w:rPr>
        <w:footnoteRef/>
      </w:r>
      <w:r w:rsidRPr="00C2355C">
        <w:t xml:space="preserve"> </w:t>
      </w:r>
      <w:r>
        <w:rPr>
          <w:i/>
        </w:rPr>
        <w:t xml:space="preserve">See </w:t>
      </w:r>
      <w:r w:rsidRPr="00C2355C">
        <w:rPr>
          <w:color w:val="000000"/>
        </w:rPr>
        <w:t>Schools and Libraries</w:t>
      </w:r>
      <w:r w:rsidRPr="00C2355C">
        <w:rPr>
          <w:b/>
          <w:color w:val="000000"/>
        </w:rPr>
        <w:t xml:space="preserve"> </w:t>
      </w:r>
      <w:r w:rsidRPr="00C2355C">
        <w:rPr>
          <w:color w:val="000000"/>
        </w:rPr>
        <w:t>Universal Service, Description of Services Requested and Certification Form</w:t>
      </w:r>
      <w:r>
        <w:rPr>
          <w:color w:val="000000"/>
        </w:rPr>
        <w:t xml:space="preserve"> 470</w:t>
      </w:r>
      <w:r w:rsidRPr="00C2355C">
        <w:rPr>
          <w:color w:val="000000"/>
        </w:rPr>
        <w:t>, OMB 3060-0806 (</w:t>
      </w:r>
      <w:r>
        <w:rPr>
          <w:color w:val="000000"/>
        </w:rPr>
        <w:t>December 2018</w:t>
      </w:r>
      <w:r w:rsidRPr="00C2355C">
        <w:rPr>
          <w:color w:val="000000"/>
        </w:rPr>
        <w:t>) (FCC Form 470)</w:t>
      </w:r>
      <w:r>
        <w:rPr>
          <w:color w:val="000000"/>
        </w:rPr>
        <w:t xml:space="preserve">; </w:t>
      </w:r>
      <w:r w:rsidRPr="00AD76EA">
        <w:t>FCC Form 465</w:t>
      </w:r>
      <w:r>
        <w:t>; Prior FCC Forms 465.</w:t>
      </w:r>
      <w:r w:rsidRPr="00C2355C">
        <w:rPr>
          <w:color w:val="000000"/>
        </w:rPr>
        <w:t xml:space="preserve">     </w:t>
      </w:r>
    </w:p>
  </w:footnote>
  <w:footnote w:id="77">
    <w:p w:rsidR="00965215" w:rsidRPr="0090757E" w:rsidP="00965215" w14:paraId="269190E7" w14:textId="77777777">
      <w:pPr>
        <w:pStyle w:val="FootnoteText"/>
      </w:pPr>
      <w:r w:rsidRPr="00C2355C">
        <w:rPr>
          <w:rStyle w:val="FootnoteReference"/>
        </w:rPr>
        <w:footnoteRef/>
      </w:r>
      <w:r>
        <w:t xml:space="preserve"> </w:t>
      </w:r>
      <w:r>
        <w:rPr>
          <w:i/>
        </w:rPr>
        <w:t>Id</w:t>
      </w:r>
      <w:r>
        <w:t>.</w:t>
      </w:r>
    </w:p>
  </w:footnote>
  <w:footnote w:id="78">
    <w:p w:rsidR="00965215" w:rsidRPr="00C2355C" w:rsidP="00965215" w14:paraId="3970C596" w14:textId="77777777">
      <w:pPr>
        <w:pStyle w:val="FootnoteText"/>
      </w:pPr>
      <w:r w:rsidRPr="00C2355C">
        <w:rPr>
          <w:rStyle w:val="FootnoteReference"/>
        </w:rPr>
        <w:footnoteRef/>
      </w:r>
      <w:r w:rsidRPr="00C2355C">
        <w:t xml:space="preserve"> </w:t>
      </w:r>
      <w:r w:rsidRPr="00C2355C">
        <w:rPr>
          <w:i/>
        </w:rPr>
        <w:t>Id</w:t>
      </w:r>
      <w:r w:rsidRPr="00C2355C">
        <w:t>.</w:t>
      </w:r>
    </w:p>
  </w:footnote>
  <w:footnote w:id="79">
    <w:p w:rsidR="00965215" w:rsidRPr="00C2355C" w:rsidP="00965215" w14:paraId="3658D2E6" w14:textId="77777777">
      <w:pPr>
        <w:pStyle w:val="FootnoteText"/>
      </w:pPr>
      <w:r w:rsidRPr="00C2355C">
        <w:rPr>
          <w:rStyle w:val="FootnoteReference"/>
        </w:rPr>
        <w:footnoteRef/>
      </w:r>
      <w:r>
        <w:rPr>
          <w:i/>
        </w:rPr>
        <w:t xml:space="preserve"> See </w:t>
      </w:r>
      <w:r>
        <w:t xml:space="preserve">supra para. 15.  </w:t>
      </w:r>
      <w:r w:rsidRPr="00C2355C">
        <w:rPr>
          <w:i/>
        </w:rPr>
        <w:t xml:space="preserve">Cf. </w:t>
      </w:r>
      <w:r w:rsidRPr="00C2355C">
        <w:rPr>
          <w:i/>
          <w:color w:val="000000"/>
        </w:rPr>
        <w:t xml:space="preserve">Schools and Libraries </w:t>
      </w:r>
      <w:r>
        <w:rPr>
          <w:i/>
          <w:color w:val="000000"/>
        </w:rPr>
        <w:t>Sixth Report and Order</w:t>
      </w:r>
      <w:r>
        <w:rPr>
          <w:color w:val="000000"/>
        </w:rPr>
        <w:t xml:space="preserve">, </w:t>
      </w:r>
      <w:r w:rsidRPr="00C2355C">
        <w:t xml:space="preserve">25 FCC Rcd </w:t>
      </w:r>
      <w:r>
        <w:t xml:space="preserve">at </w:t>
      </w:r>
      <w:r w:rsidRPr="00C2355C">
        <w:t>18799-800, para. 86</w:t>
      </w:r>
      <w:r>
        <w:t>.</w:t>
      </w:r>
      <w:r w:rsidRPr="00C2355C">
        <w:t xml:space="preserve"> (“</w:t>
      </w:r>
      <w:r>
        <w:t>[A]</w:t>
      </w:r>
      <w:r w:rsidRPr="00C2355C">
        <w:t>n applicant violates the Commission’s competitive bidding rules if the applicant turns over to a service provider the responsibility for ensuring a fair and open competitive bidding process”).</w:t>
      </w:r>
    </w:p>
  </w:footnote>
  <w:footnote w:id="80">
    <w:p w:rsidR="00965215" w:rsidRPr="00CD4A6A" w:rsidP="00965215" w14:paraId="089F9F5E" w14:textId="77777777">
      <w:pPr>
        <w:pStyle w:val="FootnoteText"/>
      </w:pPr>
      <w:r>
        <w:rPr>
          <w:rStyle w:val="FootnoteReference"/>
        </w:rPr>
        <w:footnoteRef/>
      </w:r>
      <w:r>
        <w:t xml:space="preserve"> </w:t>
      </w:r>
      <w:r>
        <w:rPr>
          <w:i/>
        </w:rPr>
        <w:t>See</w:t>
      </w:r>
      <w:r>
        <w:t xml:space="preserve"> </w:t>
      </w:r>
      <w:r>
        <w:rPr>
          <w:i/>
        </w:rPr>
        <w:t>Promoting Telehealth Notice,</w:t>
      </w:r>
      <w:r>
        <w:t xml:space="preserve"> 32 FCC Rcd at 10663, para. 100 (explaining that by adding the “fair and open” standard, the Commission is “merely proposing to codify an ex</w:t>
      </w:r>
      <w:r w:rsidRPr="00CD4A6A">
        <w:t xml:space="preserve">isting requirement”).  </w:t>
      </w:r>
    </w:p>
  </w:footnote>
  <w:footnote w:id="81">
    <w:p w:rsidR="00965215" w:rsidRPr="003D5E45" w:rsidP="00965215" w14:paraId="6EB19C82" w14:textId="77777777">
      <w:pPr>
        <w:pStyle w:val="FootnoteText"/>
      </w:pPr>
      <w:r w:rsidRPr="00CD4A6A">
        <w:rPr>
          <w:rStyle w:val="FootnoteReference"/>
        </w:rPr>
        <w:footnoteRef/>
      </w:r>
      <w:r w:rsidRPr="00CD4A6A">
        <w:t xml:space="preserve"> </w:t>
      </w:r>
      <w:r w:rsidRPr="00CD4A6A">
        <w:rPr>
          <w:i/>
        </w:rPr>
        <w:t>Promoting Telehealth Order</w:t>
      </w:r>
      <w:r w:rsidRPr="00CD4A6A">
        <w:t>, 34 FCC Rcd at 7409, para. 1</w:t>
      </w:r>
      <w:r>
        <w:t>60.</w:t>
      </w:r>
    </w:p>
  </w:footnote>
  <w:footnote w:id="82">
    <w:p w:rsidR="00965215" w:rsidRPr="00860273" w:rsidP="00965215" w14:paraId="2ECE0C62" w14:textId="77777777">
      <w:pPr>
        <w:pStyle w:val="FootnoteText"/>
      </w:pPr>
      <w:r>
        <w:rPr>
          <w:rStyle w:val="FootnoteReference"/>
        </w:rPr>
        <w:footnoteRef/>
      </w:r>
      <w:r w:rsidRPr="003D5E45">
        <w:rPr>
          <w:i/>
        </w:rPr>
        <w:t xml:space="preserve"> </w:t>
      </w:r>
      <w:r>
        <w:rPr>
          <w:i/>
        </w:rPr>
        <w:t>Promoting Telehealth Notice,</w:t>
      </w:r>
      <w:r>
        <w:t xml:space="preserve"> 32 FCC Rcd at 10663, para. 100.  Similarly, when adopting the proposal to codify the “fair and open” standard in the Telecom Program rules, the Commission noted that “the Commission has long stated that an applicant must conduct a fair and open competitive bidding process</w:t>
      </w:r>
      <w:r w:rsidRPr="00CD4A6A">
        <w:t xml:space="preserve">.”  </w:t>
      </w:r>
      <w:r w:rsidRPr="00CD4A6A">
        <w:rPr>
          <w:i/>
        </w:rPr>
        <w:t>Promoting Telehealth Order</w:t>
      </w:r>
      <w:r>
        <w:rPr>
          <w:iCs/>
        </w:rPr>
        <w:t>, 34 FCC Rcd at 7409</w:t>
      </w:r>
      <w:r w:rsidRPr="00CD4A6A">
        <w:t xml:space="preserve">, para. 160.  </w:t>
      </w:r>
      <w:r w:rsidRPr="00CD4A6A">
        <w:rPr>
          <w:i/>
        </w:rPr>
        <w:t>See, e.g., Mastermind Order</w:t>
      </w:r>
      <w:r w:rsidRPr="00CD4A6A">
        <w:t>, 16 FCC Rcd at 4033, para. 10 (hold</w:t>
      </w:r>
      <w:r>
        <w:t xml:space="preserve">ing that when the power of an applicant’s contact person to disseminate information regarding the requested services is delegated to a service provider participating in the bidding process, the ability to hold a fair and open competitive bidding process is irreparably impaired); </w:t>
      </w:r>
      <w:r>
        <w:rPr>
          <w:i/>
        </w:rPr>
        <w:t>Schools and Libraries Universal Service Support Mechanism</w:t>
      </w:r>
      <w:r>
        <w:t xml:space="preserve">, CC Docket Nos. 96-45, 97-21 and 02-6, Third Report and Order and Second Further Notice of Proposed Rulemaking, 18 FCC Rcd 26912, 26939, para. 66 (2003) (stating that a fair and open competitive bidding process is critical to preventing waste, fraud, and abuse of program resources); </w:t>
      </w:r>
      <w:r>
        <w:rPr>
          <w:i/>
        </w:rPr>
        <w:t xml:space="preserve">Hospital Networks </w:t>
      </w:r>
      <w:r w:rsidRPr="00936D51">
        <w:rPr>
          <w:i/>
        </w:rPr>
        <w:t>Order</w:t>
      </w:r>
      <w:r>
        <w:t xml:space="preserve">, 31 FCC Rcd at 5740, para. 17 (holding that an affiliation between an applicant’s contact person and a prospective bidder undermines fair and open competitive </w:t>
      </w:r>
      <w:r w:rsidRPr="00C53372">
        <w:t xml:space="preserve">bidding); </w:t>
      </w:r>
      <w:r w:rsidRPr="00C53372">
        <w:rPr>
          <w:i/>
        </w:rPr>
        <w:t xml:space="preserve">Franciscan </w:t>
      </w:r>
      <w:r w:rsidRPr="00C53372">
        <w:rPr>
          <w:i/>
        </w:rPr>
        <w:t>Skemp</w:t>
      </w:r>
      <w:r w:rsidRPr="00C53372">
        <w:rPr>
          <w:i/>
        </w:rPr>
        <w:t xml:space="preserve"> Waukon Clinic, Waukon, Iowa, Rural Health Care Universal Service Support Mechanism</w:t>
      </w:r>
      <w:r w:rsidRPr="00C53372">
        <w:t xml:space="preserve">, WC Docket No. 02-60, Order, 29 FCC Rcd 11714, 11717, para. 9 (WCB 2014) (holding that when an applicant signs a contract with a service provider before the expiration of the 28-day waiting period required under the Commission’s rules, the applicant impairs its ability to hold a fair and open competitive bidding process); </w:t>
      </w:r>
      <w:r w:rsidRPr="00C53372">
        <w:rPr>
          <w:i/>
        </w:rPr>
        <w:t>Ozark Guidance Center, Springdale, Arizona, Rural Health Care Universal Service Support Mechanism</w:t>
      </w:r>
      <w:r w:rsidRPr="00C53372">
        <w:t>, WC Docket No. 02-60, Order, 29 FCC Rcd 14319, 14321, para. 4 (WCB 2014) (overturning USAC denial of support because Ozark conducted a fair and open competitive bidding process for the funding requests at issue).</w:t>
      </w:r>
    </w:p>
  </w:footnote>
  <w:footnote w:id="83">
    <w:p w:rsidR="00965215" w:rsidRPr="00C2355C" w:rsidP="00965215" w14:paraId="31BDC778" w14:textId="77777777">
      <w:pPr>
        <w:pStyle w:val="FootnoteText"/>
      </w:pPr>
      <w:r w:rsidRPr="00C2355C">
        <w:rPr>
          <w:rStyle w:val="FootnoteReference"/>
        </w:rPr>
        <w:footnoteRef/>
      </w:r>
      <w:r>
        <w:rPr>
          <w:i/>
        </w:rPr>
        <w:t xml:space="preserve"> </w:t>
      </w:r>
      <w:r w:rsidRPr="00C2355C">
        <w:rPr>
          <w:i/>
        </w:rPr>
        <w:t>See</w:t>
      </w:r>
      <w:r>
        <w:rPr>
          <w:i/>
        </w:rPr>
        <w:t xml:space="preserve"> </w:t>
      </w:r>
      <w:r w:rsidRPr="00C2355C">
        <w:rPr>
          <w:i/>
        </w:rPr>
        <w:t>Mastermind Order</w:t>
      </w:r>
      <w:r w:rsidRPr="00C2355C">
        <w:t>, 16 FCC Rcd at 4032-33, para. 10 (</w:t>
      </w:r>
      <w:r>
        <w:t xml:space="preserve">rejecting the claim that applications cannot be denied in the absence of a rule specifically prohibiting a service provider’s involvement in the competitive bidding process). </w:t>
      </w:r>
    </w:p>
  </w:footnote>
  <w:footnote w:id="84">
    <w:p w:rsidR="00965215" w:rsidRPr="00C50163" w:rsidP="00965215" w14:paraId="589A2574" w14:textId="77777777">
      <w:pPr>
        <w:pStyle w:val="FootnoteText"/>
      </w:pPr>
      <w:r>
        <w:rPr>
          <w:rStyle w:val="FootnoteReference"/>
        </w:rPr>
        <w:footnoteRef/>
      </w:r>
      <w:r>
        <w:t xml:space="preserve"> Windstream Request for Review at 10-11.       </w:t>
      </w:r>
    </w:p>
  </w:footnote>
  <w:footnote w:id="85">
    <w:p w:rsidR="00965215" w:rsidRPr="009B2157" w:rsidP="00965215" w14:paraId="2C9BAB55" w14:textId="77777777">
      <w:pPr>
        <w:pStyle w:val="FootnoteText"/>
      </w:pPr>
      <w:r w:rsidRPr="00E44155">
        <w:rPr>
          <w:rStyle w:val="FootnoteReference"/>
        </w:rPr>
        <w:footnoteRef/>
      </w:r>
      <w:r w:rsidRPr="00E44155">
        <w:t xml:space="preserve"> </w:t>
      </w:r>
      <w:r w:rsidRPr="00E44155">
        <w:rPr>
          <w:i/>
        </w:rPr>
        <w:t>DataConnex</w:t>
      </w:r>
      <w:r w:rsidRPr="00E44155">
        <w:t>, 33 FCC Rcd at 1608, para. 81 (2018) (explaining that parties that seek universal service fund reimbursement “impliedly represent that they have not violated the Commission’s competitive bidding rules in a manner that would disqualify them from reimbursement”).</w:t>
      </w:r>
      <w:r>
        <w:t xml:space="preserve">  </w:t>
      </w:r>
    </w:p>
  </w:footnote>
  <w:footnote w:id="86">
    <w:p w:rsidR="00965215" w:rsidP="00965215" w14:paraId="6B08ADB3" w14:textId="77777777">
      <w:pPr>
        <w:pStyle w:val="FootnoteText"/>
      </w:pPr>
      <w:r>
        <w:rPr>
          <w:rStyle w:val="FootnoteReference"/>
        </w:rPr>
        <w:footnoteRef/>
      </w:r>
      <w:r>
        <w:t xml:space="preserve"> </w:t>
      </w:r>
      <w:r>
        <w:rPr>
          <w:i/>
        </w:rPr>
        <w:t>Comprehensive Review of the Universal Service Fund Management, Administration, and Oversight</w:t>
      </w:r>
      <w:r>
        <w:t xml:space="preserve">, </w:t>
      </w:r>
      <w:r>
        <w:rPr>
          <w:i/>
        </w:rPr>
        <w:t>Federal-State Joint Board on Universal Service, Schools and Libraries Universal Service Support Mechanism, Rural Health Care Support Mechanism, Lifeline and Link-up</w:t>
      </w:r>
      <w:r>
        <w:t xml:space="preserve">, WC Docket Nos. 05-195, 02-60, and 03-109 and CC Docket Nos. 96-45 and 0206, Report and Order, 22 FCC Rcd 16732, 16385, para. 26 (2007).  </w:t>
      </w:r>
    </w:p>
  </w:footnote>
  <w:footnote w:id="87">
    <w:p w:rsidR="00965215" w:rsidRPr="001D460E" w:rsidP="00965215" w14:paraId="46FC935A" w14:textId="77777777">
      <w:pPr>
        <w:pStyle w:val="FootnoteText"/>
      </w:pPr>
      <w:r>
        <w:rPr>
          <w:rStyle w:val="FootnoteReference"/>
        </w:rPr>
        <w:footnoteRef/>
      </w:r>
      <w:r>
        <w:t xml:space="preserve"> </w:t>
      </w:r>
      <w:r>
        <w:rPr>
          <w:i/>
        </w:rPr>
        <w:t>See</w:t>
      </w:r>
      <w:r>
        <w:t xml:space="preserve"> Windstream </w:t>
      </w:r>
      <w:r>
        <w:t>COMAD</w:t>
      </w:r>
      <w:r>
        <w:t xml:space="preserve"> ADL at 7.  </w:t>
      </w:r>
    </w:p>
  </w:footnote>
  <w:footnote w:id="88">
    <w:p w:rsidR="00965215" w:rsidRPr="00705A87" w:rsidP="00965215" w14:paraId="62ADD01D" w14:textId="77777777">
      <w:pPr>
        <w:pStyle w:val="FootnoteText"/>
      </w:pPr>
      <w:r>
        <w:rPr>
          <w:rStyle w:val="FootnoteReference"/>
        </w:rPr>
        <w:footnoteRef/>
      </w:r>
      <w:r>
        <w:t xml:space="preserve"> </w:t>
      </w:r>
      <w:r>
        <w:rPr>
          <w:i/>
        </w:rPr>
        <w:t xml:space="preserve">See </w:t>
      </w:r>
      <w:r>
        <w:t xml:space="preserve">Windstream Request for Review at 4-5.  </w:t>
      </w:r>
    </w:p>
  </w:footnote>
  <w:footnote w:id="89">
    <w:p w:rsidR="00965215" w:rsidRPr="004626C2" w:rsidP="00965215" w14:paraId="4115E25E" w14:textId="77777777">
      <w:pPr>
        <w:pStyle w:val="FootnoteText"/>
      </w:pPr>
      <w:r>
        <w:rPr>
          <w:rStyle w:val="FootnoteReference"/>
        </w:rPr>
        <w:footnoteRef/>
      </w:r>
      <w:r>
        <w:t xml:space="preserve"> </w:t>
      </w:r>
      <w:r>
        <w:rPr>
          <w:i/>
        </w:rPr>
        <w:t>See</w:t>
      </w:r>
      <w:r>
        <w:t xml:space="preserve"> Windstream ADL at 3-4, n. 15.  </w:t>
      </w:r>
    </w:p>
  </w:footnote>
  <w:footnote w:id="90">
    <w:p w:rsidR="00965215" w:rsidRPr="00CC128C" w:rsidP="00965215" w14:paraId="7F9A1752" w14:textId="77777777">
      <w:pPr>
        <w:pStyle w:val="FootnoteText"/>
      </w:pPr>
      <w:r>
        <w:rPr>
          <w:rStyle w:val="FootnoteReference"/>
        </w:rPr>
        <w:footnoteRef/>
      </w:r>
      <w:r>
        <w:t xml:space="preserve"> </w:t>
      </w:r>
      <w:r>
        <w:rPr>
          <w:i/>
        </w:rPr>
        <w:t xml:space="preserve">Id. </w:t>
      </w:r>
      <w:r>
        <w:t>at 4.</w:t>
      </w:r>
    </w:p>
  </w:footnote>
  <w:footnote w:id="91">
    <w:p w:rsidR="00965215" w:rsidRPr="00672F56" w:rsidP="00965215" w14:paraId="557DA990" w14:textId="77777777">
      <w:pPr>
        <w:pStyle w:val="FootnoteText"/>
      </w:pPr>
      <w:r>
        <w:rPr>
          <w:rStyle w:val="FootnoteReference"/>
        </w:rPr>
        <w:footnoteRef/>
      </w:r>
      <w:r>
        <w:t xml:space="preserve">  Windstream relies on four Commission decisions to support its position that recovery efforts cannot be taken against a party not responsible for the conflict of interest or other rules violation.  </w:t>
      </w:r>
      <w:r>
        <w:rPr>
          <w:i/>
        </w:rPr>
        <w:t xml:space="preserve">See supra </w:t>
      </w:r>
      <w:r>
        <w:t>note 59.  Windstream is correct that, i</w:t>
      </w:r>
      <w:r w:rsidRPr="00A9217D">
        <w:t xml:space="preserve">n the cases cited, the Commission </w:t>
      </w:r>
      <w:r>
        <w:t xml:space="preserve">directed USAC recovery actions only against those parties </w:t>
      </w:r>
      <w:r w:rsidRPr="00A9217D">
        <w:t>responsible for a competitive bidding rule violation.</w:t>
      </w:r>
      <w:r>
        <w:t xml:space="preserve">  </w:t>
      </w:r>
      <w:r>
        <w:rPr>
          <w:i/>
        </w:rPr>
        <w:t xml:space="preserve">See Hospital Networks Order, </w:t>
      </w:r>
      <w:r>
        <w:t xml:space="preserve">31 FCC Rcd at 5743, para. 22 (finding no evidence that Verizon violated the competitive bidding rules or that there was a conflict of interest between Verizon and the consortium applicant); </w:t>
      </w:r>
      <w:r>
        <w:rPr>
          <w:i/>
        </w:rPr>
        <w:t xml:space="preserve">BellSouth </w:t>
      </w:r>
      <w:r w:rsidRPr="005666C6">
        <w:rPr>
          <w:i/>
        </w:rPr>
        <w:t>Order</w:t>
      </w:r>
      <w:r>
        <w:t xml:space="preserve">, 27 FCC Rcd at 11210, para. 3 (finding no evidence that BellSouth violated the competitive bidding rules or that there was a conflict of interest between BellSouth and the applicant); </w:t>
      </w:r>
      <w:r>
        <w:rPr>
          <w:i/>
        </w:rPr>
        <w:t>SEND Order</w:t>
      </w:r>
      <w:r>
        <w:t xml:space="preserve">, 22 FCC Rcd at 4953-54, paras. 6, 10 (finding that a prohibited conflict of interest existed between the applicant and SEND Technologies and remanding the relevant applications to USAC for recovery actions against SEND Technologies); </w:t>
      </w:r>
      <w:r>
        <w:rPr>
          <w:i/>
        </w:rPr>
        <w:t xml:space="preserve">Achieve Telecom </w:t>
      </w:r>
      <w:r w:rsidRPr="00E60CE9">
        <w:rPr>
          <w:i/>
        </w:rPr>
        <w:t>Order</w:t>
      </w:r>
      <w:r>
        <w:t xml:space="preserve">, 30 FCC Rcd at 3672, para. 31 (finding that Achieve violated the competitive bidding rules and directing USAC to continue its recovery actions against Achieve).  </w:t>
      </w:r>
      <w:r w:rsidRPr="00A11DB4">
        <w:t>Here</w:t>
      </w:r>
      <w:r>
        <w:t xml:space="preserve"> we conclude that Windstream was the party responsible for the competitive bidding rule violation and so, consistent with the very cases cited by Windstream, properly direct USAC to recover the funds improperly awarded to Windstream.  For similar reasons, we also reject Windstream’s arguments asserting an unconstitutional taking without just compensation and raising basic principles of equity.  </w:t>
      </w:r>
      <w:r>
        <w:rPr>
          <w:i/>
        </w:rPr>
        <w:t xml:space="preserve">See </w:t>
      </w:r>
      <w:r>
        <w:t xml:space="preserve">Windstream Request for Review at 16-19.  Both arguments are based on the faulty premise of Windstream’s assertion of innocence with respect to the conflict of interest, which we determine to not be the case.  </w:t>
      </w:r>
    </w:p>
  </w:footnote>
  <w:footnote w:id="92">
    <w:p w:rsidR="00965215" w:rsidRPr="0025288D" w:rsidP="00965215" w14:paraId="50DECE0E" w14:textId="77777777">
      <w:pPr>
        <w:pStyle w:val="FootnoteText"/>
      </w:pPr>
      <w:r>
        <w:rPr>
          <w:rStyle w:val="FootnoteReference"/>
        </w:rPr>
        <w:footnoteRef/>
      </w:r>
      <w:r>
        <w:t xml:space="preserve"> </w:t>
      </w:r>
      <w:r>
        <w:rPr>
          <w:i/>
        </w:rPr>
        <w:t>See,</w:t>
      </w:r>
      <w:r w:rsidRPr="00F07AAC">
        <w:rPr>
          <w:i/>
        </w:rPr>
        <w:t xml:space="preserve"> </w:t>
      </w:r>
      <w:r>
        <w:rPr>
          <w:i/>
        </w:rPr>
        <w:t xml:space="preserve">e.g., </w:t>
      </w:r>
      <w:r w:rsidRPr="002369BE">
        <w:rPr>
          <w:i/>
        </w:rPr>
        <w:t>Schools and Libraries Fourth Report and Order</w:t>
      </w:r>
      <w:r>
        <w:t>, 19 FCC Rcd at 15257, para. 15</w:t>
      </w:r>
      <w:r w:rsidRPr="00F94B08">
        <w:t xml:space="preserve"> (directing USAC to </w:t>
      </w:r>
      <w:r>
        <w:t xml:space="preserve">consider </w:t>
      </w:r>
      <w:r w:rsidRPr="0093345D">
        <w:t xml:space="preserve">which party was in </w:t>
      </w:r>
      <w:r w:rsidRPr="00105520">
        <w:rPr>
          <w:color w:val="252525"/>
        </w:rPr>
        <w:t>a better position to prevent the statutory or rule violation)</w:t>
      </w:r>
      <w:r>
        <w:t xml:space="preserve">; </w:t>
      </w:r>
      <w:r>
        <w:rPr>
          <w:i/>
        </w:rPr>
        <w:t>Achieve Telecom Order</w:t>
      </w:r>
      <w:r w:rsidRPr="00CC799D">
        <w:t>,</w:t>
      </w:r>
      <w:r>
        <w:rPr>
          <w:i/>
        </w:rPr>
        <w:t xml:space="preserve"> </w:t>
      </w:r>
      <w:r>
        <w:t>30 FCC Rcd at 3672, para. 30</w:t>
      </w:r>
      <w:r>
        <w:rPr>
          <w:i/>
        </w:rPr>
        <w:t xml:space="preserve"> </w:t>
      </w:r>
      <w:r>
        <w:t>(concluding that although all involved parties violated Commission rules, the service provider was in a better position to prevent these rule violations because it alone know of a scheme to pass through, control, and direct the disbursement of funds to cover the non-discounted share of payments from schools for the service provider’s service</w:t>
      </w:r>
      <w:r w:rsidRPr="0025288D">
        <w:t>s in violation of the E-</w:t>
      </w:r>
      <w:r>
        <w:t>R</w:t>
      </w:r>
      <w:r w:rsidRPr="0025288D">
        <w:t>ate program rules).</w:t>
      </w:r>
      <w:r>
        <w:t xml:space="preserve">  Since there is no evidence in the record that </w:t>
      </w:r>
      <w:r>
        <w:t>UTHSCT</w:t>
      </w:r>
      <w:r>
        <w:t xml:space="preserve"> knew of Mr. Speck’s agreement with Windstream, we find that it is appropriate for USAC to continue its recovery actions against Windstream only.  Under Commission precedent, recovery efforts are directed against health care providers and/or service providers.  </w:t>
      </w:r>
      <w:r w:rsidRPr="004B7026">
        <w:rPr>
          <w:i/>
        </w:rPr>
        <w:t>See</w:t>
      </w:r>
      <w:r w:rsidRPr="004B7026">
        <w:t xml:space="preserve"> </w:t>
      </w:r>
      <w:r>
        <w:rPr>
          <w:i/>
        </w:rPr>
        <w:t>2012 R</w:t>
      </w:r>
      <w:r w:rsidRPr="008F44E4">
        <w:rPr>
          <w:i/>
        </w:rPr>
        <w:t xml:space="preserve">ural Health Care </w:t>
      </w:r>
      <w:r>
        <w:rPr>
          <w:i/>
        </w:rPr>
        <w:t xml:space="preserve">Order, </w:t>
      </w:r>
      <w:r w:rsidRPr="00721AB2">
        <w:t xml:space="preserve">27 FCC Rcd </w:t>
      </w:r>
      <w:r>
        <w:t xml:space="preserve">at </w:t>
      </w:r>
      <w:r w:rsidRPr="00721AB2">
        <w:t>16</w:t>
      </w:r>
      <w:r>
        <w:t>814, para. 339 (2012) (“Recovery of funds will be directed at the party or parties (including both beneficiaries and vendors) who have committed the statutory or rule violation.”).</w:t>
      </w:r>
      <w:r w:rsidRPr="0025288D">
        <w:t xml:space="preserve">   </w:t>
      </w:r>
    </w:p>
  </w:footnote>
  <w:footnote w:id="93">
    <w:p w:rsidR="00965215" w:rsidRPr="0030492B" w:rsidP="00965215" w14:paraId="0E93D9A3" w14:textId="77777777">
      <w:pPr>
        <w:pStyle w:val="FootnoteText"/>
      </w:pPr>
      <w:r w:rsidRPr="0025288D">
        <w:rPr>
          <w:rStyle w:val="FootnoteReference"/>
        </w:rPr>
        <w:footnoteRef/>
      </w:r>
      <w:r>
        <w:t xml:space="preserve"> </w:t>
      </w:r>
      <w:r w:rsidRPr="0025288D">
        <w:t xml:space="preserve">Having </w:t>
      </w:r>
      <w:r>
        <w:t xml:space="preserve">determined </w:t>
      </w:r>
      <w:r w:rsidRPr="0025288D">
        <w:t xml:space="preserve">Windstream to be the party in the best position to prevent the competitive bidding violation, we decline to examine the question raised by ABS </w:t>
      </w:r>
      <w:r>
        <w:t xml:space="preserve">regarding </w:t>
      </w:r>
      <w:r w:rsidRPr="0025288D">
        <w:t xml:space="preserve">whether Windstream violated section 1.17 of our rules.  </w:t>
      </w:r>
      <w:r w:rsidRPr="0025288D">
        <w:rPr>
          <w:i/>
        </w:rPr>
        <w:t xml:space="preserve">See </w:t>
      </w:r>
      <w:r w:rsidRPr="0025288D">
        <w:t xml:space="preserve">ABS Request for Review at 41.  </w:t>
      </w:r>
      <w:r>
        <w:t xml:space="preserve">We also dismiss </w:t>
      </w:r>
      <w:r w:rsidRPr="0025288D">
        <w:t>ABS</w:t>
      </w:r>
      <w:r>
        <w:t>’s</w:t>
      </w:r>
      <w:r>
        <w:t xml:space="preserve"> argument</w:t>
      </w:r>
      <w:r w:rsidRPr="0025288D">
        <w:t xml:space="preserve"> alleging</w:t>
      </w:r>
      <w:r>
        <w:t>, without persuasive citation,</w:t>
      </w:r>
      <w:r w:rsidRPr="0025288D">
        <w:t xml:space="preserve"> that USAC violated its due process rights and the </w:t>
      </w:r>
      <w:r w:rsidRPr="00F62888">
        <w:rPr>
          <w:i/>
        </w:rPr>
        <w:t xml:space="preserve">ex </w:t>
      </w:r>
      <w:r w:rsidRPr="00F62888">
        <w:rPr>
          <w:i/>
        </w:rPr>
        <w:t>parte</w:t>
      </w:r>
      <w:r w:rsidRPr="0025288D">
        <w:t xml:space="preserve"> rules by not providing ABS with certain documents</w:t>
      </w:r>
      <w:r>
        <w:t xml:space="preserve"> concerning Windstream’s appeal.  </w:t>
      </w:r>
      <w:r>
        <w:rPr>
          <w:i/>
        </w:rPr>
        <w:t xml:space="preserve">Id. </w:t>
      </w:r>
      <w:r>
        <w:t xml:space="preserve">at 35-41.  Even if we were to find that ABS had articulated a valid due process claim, it ultimately </w:t>
      </w:r>
      <w:r w:rsidRPr="0025288D">
        <w:t>received</w:t>
      </w:r>
      <w:r>
        <w:t xml:space="preserve"> the documents it requested from USAC pursuant to a Freedom of Information Act (FOIA) request in September 2017 and directly from Windstream in August 2018 and ABS alleges no other injury outside its initial failure to receive the documents.  </w:t>
      </w:r>
      <w:r>
        <w:rPr>
          <w:i/>
        </w:rPr>
        <w:t>Id</w:t>
      </w:r>
      <w:r>
        <w:t>. at 19, 29-30.</w:t>
      </w:r>
      <w:r w:rsidRPr="00497262">
        <w:t xml:space="preserve">  </w:t>
      </w:r>
      <w:r>
        <w:rPr>
          <w:i/>
        </w:rPr>
        <w:t>Cf.</w:t>
      </w:r>
      <w:r w:rsidRPr="00497262">
        <w:rPr>
          <w:i/>
        </w:rPr>
        <w:t xml:space="preserve"> </w:t>
      </w:r>
      <w:r w:rsidRPr="00497262">
        <w:rPr>
          <w:i/>
        </w:rPr>
        <w:t>Bayala</w:t>
      </w:r>
      <w:r w:rsidRPr="00497262">
        <w:rPr>
          <w:i/>
        </w:rPr>
        <w:t xml:space="preserve"> v. U.S. Dep’t of Homeland Sec., Office of the Gen. Counsel, </w:t>
      </w:r>
      <w:r w:rsidRPr="00497262">
        <w:t xml:space="preserve">827 </w:t>
      </w:r>
      <w:r w:rsidRPr="00497262">
        <w:t>F.3d</w:t>
      </w:r>
      <w:r w:rsidRPr="00497262">
        <w:t xml:space="preserve"> 31, 34 (D.C. Cir. 2016) (</w:t>
      </w:r>
      <w:r>
        <w:t>holding that a FOIA claim is moot once an agency produces the requested documents);</w:t>
      </w:r>
      <w:r>
        <w:rPr>
          <w:i/>
        </w:rPr>
        <w:t xml:space="preserve"> </w:t>
      </w:r>
      <w:r w:rsidRPr="008206C2">
        <w:rPr>
          <w:i/>
        </w:rPr>
        <w:t>Anguimate</w:t>
      </w:r>
      <w:r w:rsidRPr="008206C2">
        <w:rPr>
          <w:i/>
        </w:rPr>
        <w:t xml:space="preserve"> v. U.S. Dep’t of Homeland Sec.</w:t>
      </w:r>
      <w:r w:rsidRPr="008206C2">
        <w:t>, 918 F.</w:t>
      </w:r>
      <w:r>
        <w:t xml:space="preserve"> </w:t>
      </w:r>
      <w:r w:rsidRPr="008206C2">
        <w:t xml:space="preserve">Supp </w:t>
      </w:r>
      <w:r w:rsidRPr="008206C2">
        <w:t>2d</w:t>
      </w:r>
      <w:r w:rsidRPr="008206C2">
        <w:t xml:space="preserve"> 13, 17 (</w:t>
      </w:r>
      <w:r w:rsidRPr="008206C2">
        <w:t>D.D.C</w:t>
      </w:r>
      <w:r w:rsidRPr="008206C2">
        <w:t xml:space="preserve">. 2013) (holding that a plaintiff’s due process claim is moot where </w:t>
      </w:r>
      <w:r>
        <w:t xml:space="preserve">the </w:t>
      </w:r>
      <w:r w:rsidRPr="008206C2">
        <w:t>basis for claim is that an agency may use a document against plaintiff that plaintiff was not allowed to see in advance but which the agency ultimately did not use in a concluded proceeding)</w:t>
      </w:r>
      <w:r>
        <w:t xml:space="preserve"> (</w:t>
      </w:r>
      <w:r w:rsidRPr="00A64EF5">
        <w:t xml:space="preserve">citing </w:t>
      </w:r>
      <w:r w:rsidRPr="008206C2">
        <w:rPr>
          <w:i/>
        </w:rPr>
        <w:t>Clarke v. United States</w:t>
      </w:r>
      <w:r w:rsidRPr="008206C2">
        <w:t xml:space="preserve">, 915 </w:t>
      </w:r>
      <w:r w:rsidRPr="008206C2">
        <w:t>F.2d</w:t>
      </w:r>
      <w:r w:rsidRPr="008206C2">
        <w:t xml:space="preserve"> 669, 701 (D.C. Cir. 1990) (“Even where litigation poses a live controversy when filed, the [mootness] doctrine requires a federal court to refrain from deciding it if ‘events have so transpired that the decision will neither presently affect the parties’ rights nor have a more-than-speculative chance of affecting them in the future.’”) (citation omitted)</w:t>
      </w:r>
      <w:r>
        <w:t>)</w:t>
      </w:r>
      <w:r w:rsidRPr="008206C2">
        <w:t>.</w:t>
      </w:r>
    </w:p>
  </w:footnote>
  <w:footnote w:id="94">
    <w:p w:rsidR="00965215" w:rsidP="00965215" w14:paraId="591100EE" w14:textId="127DD386">
      <w:pPr>
        <w:pStyle w:val="FootnoteText"/>
      </w:pPr>
      <w:r>
        <w:rPr>
          <w:rStyle w:val="FootnoteReference"/>
        </w:rPr>
        <w:footnoteRef/>
      </w:r>
      <w:r>
        <w:t xml:space="preserve"> Windstream asserts that its channel partner agreement with ABS required that ABS comply with all applicable laws, including the Commission’s rules and regulations.  Windstream Request for Review at 4.  That is a private contractual matter between Windstream and ABS and not relevant to the decision we make here.  </w:t>
      </w:r>
      <w:r>
        <w:rPr>
          <w:i/>
        </w:rPr>
        <w:t xml:space="preserve">See Applications of </w:t>
      </w:r>
      <w:r>
        <w:rPr>
          <w:i/>
        </w:rPr>
        <w:t>Centel</w:t>
      </w:r>
      <w:r>
        <w:rPr>
          <w:i/>
        </w:rPr>
        <w:t xml:space="preserve"> Corp. and Sprint Corp. for Consent to the Transfer of Control for Authorizations in the Domestic Public Cellular Radio Telecommunications Service and Other Common Carrier Services</w:t>
      </w:r>
      <w:r>
        <w:t>, Memorandum Opinion and Order, 8 FCC Rcd 1829, 1831, para. 10 (</w:t>
      </w:r>
      <w:r>
        <w:t>CCB</w:t>
      </w:r>
      <w:r>
        <w:t xml:space="preserve"> 1993) (Commission is not the proper forum for the resolution of private contractual disputes).</w:t>
      </w:r>
    </w:p>
  </w:footnote>
  <w:footnote w:id="95">
    <w:p w:rsidR="00965215" w:rsidRPr="00D819B7" w:rsidP="00965215" w14:paraId="7C5D8592" w14:textId="77777777">
      <w:pPr>
        <w:pStyle w:val="FootnoteText"/>
        <w:spacing w:before="240"/>
      </w:pPr>
      <w:r>
        <w:rPr>
          <w:rStyle w:val="FootnoteReference"/>
        </w:rPr>
        <w:footnoteRef/>
      </w:r>
      <w:r>
        <w:t xml:space="preserve"> </w:t>
      </w:r>
      <w:r>
        <w:rPr>
          <w:i/>
        </w:rPr>
        <w:t xml:space="preserve">See </w:t>
      </w:r>
      <w:r>
        <w:t xml:space="preserve">Windstream Request for Review at 17; </w:t>
      </w:r>
      <w:r>
        <w:t>UTHSCT</w:t>
      </w:r>
      <w:r>
        <w:t xml:space="preserve"> Request for Review at 8-9 (citing </w:t>
      </w:r>
      <w:r>
        <w:rPr>
          <w:i/>
        </w:rPr>
        <w:t xml:space="preserve">Central Islip Union </w:t>
      </w:r>
      <w:r w:rsidRPr="00114484">
        <w:rPr>
          <w:i/>
        </w:rPr>
        <w:t>Order</w:t>
      </w:r>
      <w:r>
        <w:t xml:space="preserve">, </w:t>
      </w:r>
      <w:r w:rsidRPr="00114484">
        <w:t>29</w:t>
      </w:r>
      <w:r>
        <w:t xml:space="preserve"> FCC Rcd at 2715; </w:t>
      </w:r>
      <w:r>
        <w:rPr>
          <w:i/>
        </w:rPr>
        <w:t>Ja Joya Order,</w:t>
      </w:r>
      <w:r>
        <w:t xml:space="preserve"> 28 FCC Rcd at 7866; </w:t>
      </w:r>
      <w:r>
        <w:rPr>
          <w:i/>
        </w:rPr>
        <w:t>Coolidge Unified Order</w:t>
      </w:r>
      <w:r>
        <w:t>, 28 FCC Rcd 16907.</w:t>
      </w:r>
    </w:p>
  </w:footnote>
  <w:footnote w:id="96">
    <w:p w:rsidR="00965215" w:rsidRPr="00E4464C" w:rsidP="00965215" w14:paraId="2ADA2D73" w14:textId="77777777">
      <w:pPr>
        <w:pStyle w:val="FootnoteText"/>
      </w:pPr>
      <w:r>
        <w:rPr>
          <w:rStyle w:val="FootnoteReference"/>
        </w:rPr>
        <w:footnoteRef/>
      </w:r>
      <w:r>
        <w:t xml:space="preserve"> </w:t>
      </w:r>
      <w:r>
        <w:rPr>
          <w:i/>
        </w:rPr>
        <w:t xml:space="preserve">See </w:t>
      </w:r>
      <w:r>
        <w:t xml:space="preserve">Windstream Request for Review at 17; </w:t>
      </w:r>
      <w:r>
        <w:t>UTHSCT</w:t>
      </w:r>
      <w:r>
        <w:t xml:space="preserve"> Request for Review at 10.</w:t>
      </w:r>
    </w:p>
  </w:footnote>
  <w:footnote w:id="97">
    <w:p w:rsidR="00965215" w:rsidRPr="00B21BB5" w:rsidP="00965215" w14:paraId="0F0E4E8D" w14:textId="77777777">
      <w:pPr>
        <w:pStyle w:val="FootnoteText"/>
        <w:rPr>
          <w:i/>
        </w:rPr>
      </w:pPr>
      <w:r>
        <w:rPr>
          <w:rStyle w:val="FootnoteReference"/>
        </w:rPr>
        <w:footnoteRef/>
      </w:r>
      <w:r>
        <w:t xml:space="preserve"> </w:t>
      </w:r>
      <w:r w:rsidRPr="00CC476F">
        <w:t xml:space="preserve">Generally, the Commission may waive its rules for good cause shown. </w:t>
      </w:r>
      <w:r w:rsidRPr="00CC476F">
        <w:rPr>
          <w:i/>
        </w:rPr>
        <w:t>See</w:t>
      </w:r>
      <w:r w:rsidRPr="00CC476F">
        <w:t xml:space="preserve"> 47 CFR § 1.3. The Commission may exercise its discretion to waive a rule where particular facts make strict compliance inconsistent with the public interest.</w:t>
      </w:r>
      <w:r>
        <w:t xml:space="preserve">  </w:t>
      </w:r>
      <w:r w:rsidRPr="00BD378F">
        <w:rPr>
          <w:i/>
        </w:rPr>
        <w:t>See Northeast Cellular Telephone Co. v. FCC</w:t>
      </w:r>
      <w:r w:rsidRPr="00BD378F">
        <w:t xml:space="preserve">, 897 </w:t>
      </w:r>
      <w:r w:rsidRPr="00BD378F">
        <w:t>F.2d</w:t>
      </w:r>
      <w:r w:rsidRPr="00BD378F">
        <w:t xml:space="preserve"> 1164, 1166 (D.C. Cir. 1990) (</w:t>
      </w:r>
      <w:r w:rsidRPr="00BD378F">
        <w:rPr>
          <w:i/>
        </w:rPr>
        <w:t>Northeast Cellular</w:t>
      </w:r>
      <w:r w:rsidRPr="00BD378F">
        <w:t>).</w:t>
      </w:r>
      <w:r>
        <w:t xml:space="preserve">  </w:t>
      </w:r>
      <w:r w:rsidRPr="00CC476F">
        <w:t xml:space="preserve">In addition, the Commission may </w:t>
      </w:r>
      <w:r w:rsidRPr="00CC476F">
        <w:t>take into account</w:t>
      </w:r>
      <w:r w:rsidRPr="00CC476F">
        <w:t xml:space="preserve"> considerations of hardship, equity, or more effective implementation of overall policy on an individual basis.</w:t>
      </w:r>
      <w:r>
        <w:t xml:space="preserve">  </w:t>
      </w:r>
      <w:r w:rsidRPr="00BD378F">
        <w:rPr>
          <w:i/>
        </w:rPr>
        <w:t>See WAIT Radio v. FCC</w:t>
      </w:r>
      <w:r w:rsidRPr="00BD378F">
        <w:t xml:space="preserve">, 418 </w:t>
      </w:r>
      <w:r w:rsidRPr="00BD378F">
        <w:t>F.2d</w:t>
      </w:r>
      <w:r w:rsidRPr="00BD378F">
        <w:t xml:space="preserve"> 1153, 1159 (D.C. Cir. 1969), </w:t>
      </w:r>
      <w:r w:rsidRPr="00BD378F">
        <w:rPr>
          <w:i/>
        </w:rPr>
        <w:t>cert. denied</w:t>
      </w:r>
      <w:r w:rsidRPr="00BD378F">
        <w:t xml:space="preserve">, 409 U.S. 1027 (1972); </w:t>
      </w:r>
      <w:r w:rsidRPr="00BD378F">
        <w:rPr>
          <w:i/>
        </w:rPr>
        <w:t>Northeast Cellular</w:t>
      </w:r>
      <w:r w:rsidRPr="00BD378F">
        <w:t xml:space="preserve">, 897 </w:t>
      </w:r>
      <w:r w:rsidRPr="00BD378F">
        <w:t>F.2d</w:t>
      </w:r>
      <w:r w:rsidRPr="00BD378F">
        <w:t xml:space="preserve"> at 1166</w:t>
      </w:r>
      <w:r w:rsidRPr="00CC476F">
        <w:t xml:space="preserve">.  </w:t>
      </w:r>
    </w:p>
  </w:footnote>
  <w:footnote w:id="98">
    <w:p w:rsidR="00965215" w:rsidRPr="00BA2932" w:rsidP="00965215" w14:paraId="32E82C6C" w14:textId="77777777">
      <w:pPr>
        <w:pStyle w:val="FootnoteText"/>
      </w:pPr>
      <w:r>
        <w:rPr>
          <w:rStyle w:val="FootnoteReference"/>
        </w:rPr>
        <w:footnoteRef/>
      </w:r>
      <w:r>
        <w:t xml:space="preserve"> </w:t>
      </w:r>
      <w:r>
        <w:rPr>
          <w:i/>
        </w:rPr>
        <w:t>Central Islip Union Order</w:t>
      </w:r>
      <w:r>
        <w:t xml:space="preserve">, 29 FCC Rcd at 2716, note 7. </w:t>
      </w:r>
    </w:p>
  </w:footnote>
  <w:footnote w:id="99">
    <w:p w:rsidR="00965215" w:rsidRPr="00BA2932" w:rsidP="00965215" w14:paraId="0FFD03BA" w14:textId="77777777">
      <w:pPr>
        <w:pStyle w:val="FootnoteText"/>
      </w:pPr>
      <w:r>
        <w:rPr>
          <w:rStyle w:val="FootnoteReference"/>
        </w:rPr>
        <w:footnoteRef/>
      </w:r>
      <w:r>
        <w:t xml:space="preserve"> </w:t>
      </w:r>
      <w:r>
        <w:rPr>
          <w:i/>
        </w:rPr>
        <w:t>Hospital Network Order</w:t>
      </w:r>
      <w:r>
        <w:t>, 31 FCC Rcd at 5740, para. 17.</w:t>
      </w:r>
    </w:p>
  </w:footnote>
  <w:footnote w:id="100">
    <w:p w:rsidR="00965215" w:rsidRPr="00C2355C" w:rsidP="00965215" w14:paraId="7884BDE6" w14:textId="77777777">
      <w:pPr>
        <w:pStyle w:val="FootnoteText"/>
      </w:pPr>
      <w:r w:rsidRPr="00C2355C">
        <w:rPr>
          <w:rStyle w:val="FootnoteReference"/>
        </w:rPr>
        <w:footnoteRef/>
      </w:r>
      <w:r w:rsidRPr="00C2355C">
        <w:rPr>
          <w:i/>
        </w:rPr>
        <w:t xml:space="preserve"> See</w:t>
      </w:r>
      <w:r w:rsidRPr="00E7405F">
        <w:t>,</w:t>
      </w:r>
      <w:r w:rsidRPr="00C2355C">
        <w:rPr>
          <w:i/>
        </w:rPr>
        <w:t xml:space="preserve"> e.g.</w:t>
      </w:r>
      <w:r w:rsidRPr="00E7405F">
        <w:t xml:space="preserve">, </w:t>
      </w:r>
      <w:r w:rsidRPr="00C2355C">
        <w:rPr>
          <w:i/>
        </w:rPr>
        <w:t>Changes to the Board of Directors of the National Exchange Carrier Association, Inc</w:t>
      </w:r>
      <w:r w:rsidRPr="00C2355C">
        <w:t xml:space="preserve">., CC Docket Nos. 96-45 and 97-21, Order, 15 FCC Rcd at 7197, para. </w:t>
      </w:r>
      <w:r>
        <w:t>8</w:t>
      </w:r>
      <w:r w:rsidRPr="00C2355C">
        <w:t xml:space="preserve"> (1999) (determining that Congress required the Commission to recover monies erroneously disbursed); </w:t>
      </w:r>
      <w:r w:rsidRPr="00C2355C">
        <w:rPr>
          <w:i/>
        </w:rPr>
        <w:t>Changes to the Board of Directors of the National Exchange Carrier Association, Inc., Federal-State Joint Board on Universal Service</w:t>
      </w:r>
      <w:r w:rsidRPr="00C2355C">
        <w:t>, 15 FCC Rcd 22975 (2001) (establishing procedures for implementing commitment adjustment recovery actions).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215" w:rsidP="00810B6F" w14:paraId="58B0D808" w14:textId="3EEEFE5D">
    <w:pPr>
      <w:pStyle w:val="Header"/>
      <w:rPr>
        <w:b w:val="0"/>
      </w:rPr>
    </w:pPr>
    <w:r>
      <w:tab/>
      <w:t>Federal Communications Commission</w:t>
    </w:r>
    <w:r>
      <w:tab/>
    </w:r>
    <w:r w:rsidR="00136B68">
      <w:t>DA 20-1085</w:t>
    </w:r>
  </w:p>
  <w:p w:rsidR="00965215" w14:paraId="135CA25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965215" w14:paraId="63CCD1F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215" w:rsidP="00810B6F" w14:paraId="3CF7BC77" w14:textId="2B35BB2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36B68">
      <w:rPr>
        <w:spacing w:val="-2"/>
      </w:rPr>
      <w:t>DA 20-1085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CF40AF"/>
    <w:multiLevelType w:val="hybridMultilevel"/>
    <w:tmpl w:val="79089C7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5F14366"/>
    <w:multiLevelType w:val="hybridMultilevel"/>
    <w:tmpl w:val="B50AAE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6D83D08"/>
    <w:multiLevelType w:val="multilevel"/>
    <w:tmpl w:val="C1C89B36"/>
    <w:lvl w:ilvl="0">
      <w:start w:val="1"/>
      <w:numFmt w:val="upperRoman"/>
      <w:suff w:val="nothing"/>
      <w:lvlText w:val="%1."/>
      <w:lvlJc w:val="left"/>
      <w:pPr>
        <w:ind w:left="0" w:firstLine="0"/>
      </w:pPr>
      <w:rPr>
        <w:rFonts w:ascii="Times New Roman" w:eastAsia="Times New Roman" w:hAnsi="Times New Roman" w:cs="Times New Roman"/>
        <w:b/>
        <w:i w:val="0"/>
        <w:sz w:val="22"/>
      </w:rPr>
    </w:lvl>
    <w:lvl w:ilvl="1">
      <w:start w:val="1"/>
      <w:numFmt w:val="upperLetter"/>
      <w:lvlText w:val="%2."/>
      <w:lvlJc w:val="left"/>
      <w:pPr>
        <w:tabs>
          <w:tab w:val="num" w:pos="1080"/>
        </w:tabs>
        <w:ind w:left="720" w:firstLine="0"/>
      </w:pPr>
    </w:lvl>
    <w:lvl w:ilvl="2">
      <w:start w:val="1"/>
      <w:numFmt w:val="decimal"/>
      <w:lvlRestart w:val="0"/>
      <w:pStyle w:val="Numberedparagraphs"/>
      <w:lvlText w:val="%3."/>
      <w:lvlJc w:val="left"/>
      <w:pPr>
        <w:tabs>
          <w:tab w:val="num" w:pos="1080"/>
        </w:tabs>
        <w:ind w:left="0" w:firstLine="720"/>
      </w:pPr>
      <w:rPr>
        <w:rFonts w:ascii="Times New Roman" w:hAnsi="Times New Roman" w:hint="default"/>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D540621"/>
    <w:multiLevelType w:val="singleLevel"/>
    <w:tmpl w:val="0409000F"/>
    <w:lvl w:ilvl="0">
      <w:start w:val="1"/>
      <w:numFmt w:val="decimal"/>
      <w:lvlText w:val="%1."/>
      <w:lvlJc w:val="left"/>
      <w:pPr>
        <w:tabs>
          <w:tab w:val="num" w:pos="360"/>
        </w:tabs>
        <w:ind w:left="360" w:hanging="36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EE20305"/>
    <w:multiLevelType w:val="hybridMultilevel"/>
    <w:tmpl w:val="04DCB388"/>
    <w:lvl w:ilvl="0">
      <w:start w:val="2"/>
      <w:numFmt w:val="decimal"/>
      <w:lvlText w:val="%1."/>
      <w:lvlJc w:val="left"/>
      <w:pPr>
        <w:tabs>
          <w:tab w:val="num" w:pos="990"/>
        </w:tabs>
        <w:ind w:left="990" w:hanging="63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5"/>
  </w:num>
  <w:num w:numId="4">
    <w:abstractNumId w:val="8"/>
  </w:num>
  <w:num w:numId="5">
    <w:abstractNumId w:val="3"/>
  </w:num>
  <w:num w:numId="6">
    <w:abstractNumId w:val="0"/>
  </w:num>
  <w:num w:numId="7">
    <w:abstractNumId w:val="6"/>
  </w:num>
  <w:num w:numId="8">
    <w:abstractNumId w:val="7"/>
  </w:num>
  <w:num w:numId="9">
    <w:abstractNumId w:val="4"/>
  </w:num>
  <w:num w:numId="10">
    <w:abstractNumId w:val="1"/>
  </w:num>
  <w:num w:numId="11">
    <w:abstractNumId w:val="10"/>
  </w:num>
  <w:num w:numId="12">
    <w:abstractNumId w:val="6"/>
    <w:lvlOverride w:ilvl="0">
      <w:startOverride w:val="3"/>
    </w:lvlOverride>
  </w:num>
  <w:num w:numId="13">
    <w:abstractNumId w:val="6"/>
    <w:lvlOverride w:ilvl="0">
      <w:startOverride w:val="3"/>
    </w:lvlOverride>
  </w:num>
  <w:num w:numId="1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15"/>
    <w:rsid w:val="00014B22"/>
    <w:rsid w:val="00036039"/>
    <w:rsid w:val="00037F90"/>
    <w:rsid w:val="000875BF"/>
    <w:rsid w:val="00096D8C"/>
    <w:rsid w:val="000C0B65"/>
    <w:rsid w:val="000E05FE"/>
    <w:rsid w:val="000E3D42"/>
    <w:rsid w:val="000F370F"/>
    <w:rsid w:val="00105520"/>
    <w:rsid w:val="00114484"/>
    <w:rsid w:val="00122BD5"/>
    <w:rsid w:val="00133B9F"/>
    <w:rsid w:val="00133F79"/>
    <w:rsid w:val="00136B68"/>
    <w:rsid w:val="001476E9"/>
    <w:rsid w:val="00164C39"/>
    <w:rsid w:val="00194A66"/>
    <w:rsid w:val="001D13D5"/>
    <w:rsid w:val="001D460E"/>
    <w:rsid w:val="001D6BCF"/>
    <w:rsid w:val="001E01CA"/>
    <w:rsid w:val="00221EEA"/>
    <w:rsid w:val="002369BE"/>
    <w:rsid w:val="0025288D"/>
    <w:rsid w:val="002718BF"/>
    <w:rsid w:val="00275CF5"/>
    <w:rsid w:val="0028301F"/>
    <w:rsid w:val="00285017"/>
    <w:rsid w:val="002A2D2E"/>
    <w:rsid w:val="002C00E8"/>
    <w:rsid w:val="002D5E6B"/>
    <w:rsid w:val="0030492B"/>
    <w:rsid w:val="00343749"/>
    <w:rsid w:val="003660ED"/>
    <w:rsid w:val="00370512"/>
    <w:rsid w:val="003760D0"/>
    <w:rsid w:val="0038633D"/>
    <w:rsid w:val="003B0550"/>
    <w:rsid w:val="003B694F"/>
    <w:rsid w:val="003D5E45"/>
    <w:rsid w:val="003F171C"/>
    <w:rsid w:val="00412FC5"/>
    <w:rsid w:val="00422276"/>
    <w:rsid w:val="004242F1"/>
    <w:rsid w:val="0043696B"/>
    <w:rsid w:val="00445A00"/>
    <w:rsid w:val="004473F3"/>
    <w:rsid w:val="00451B0F"/>
    <w:rsid w:val="004626C2"/>
    <w:rsid w:val="00497262"/>
    <w:rsid w:val="004A77E4"/>
    <w:rsid w:val="004B7026"/>
    <w:rsid w:val="004C2EE3"/>
    <w:rsid w:val="004E4A22"/>
    <w:rsid w:val="00510CE4"/>
    <w:rsid w:val="00511968"/>
    <w:rsid w:val="0055614C"/>
    <w:rsid w:val="005666C6"/>
    <w:rsid w:val="00566D06"/>
    <w:rsid w:val="005A0CCA"/>
    <w:rsid w:val="005B5791"/>
    <w:rsid w:val="005E14C2"/>
    <w:rsid w:val="00607BA5"/>
    <w:rsid w:val="0061180A"/>
    <w:rsid w:val="00626EB6"/>
    <w:rsid w:val="00655D03"/>
    <w:rsid w:val="00672F56"/>
    <w:rsid w:val="00683388"/>
    <w:rsid w:val="00683F84"/>
    <w:rsid w:val="006A6A81"/>
    <w:rsid w:val="006F5053"/>
    <w:rsid w:val="006F7393"/>
    <w:rsid w:val="0070224F"/>
    <w:rsid w:val="00705A87"/>
    <w:rsid w:val="007115F7"/>
    <w:rsid w:val="00721AB2"/>
    <w:rsid w:val="00722752"/>
    <w:rsid w:val="00785689"/>
    <w:rsid w:val="0079754B"/>
    <w:rsid w:val="007A1E6D"/>
    <w:rsid w:val="007B0EB2"/>
    <w:rsid w:val="007C2A3E"/>
    <w:rsid w:val="007D6F85"/>
    <w:rsid w:val="00810B6F"/>
    <w:rsid w:val="008206C2"/>
    <w:rsid w:val="00822CE0"/>
    <w:rsid w:val="008272D5"/>
    <w:rsid w:val="00841AB1"/>
    <w:rsid w:val="00860273"/>
    <w:rsid w:val="008642D9"/>
    <w:rsid w:val="008B0483"/>
    <w:rsid w:val="008B44C0"/>
    <w:rsid w:val="008C4BD8"/>
    <w:rsid w:val="008C68F1"/>
    <w:rsid w:val="008F44E4"/>
    <w:rsid w:val="0090757E"/>
    <w:rsid w:val="00921803"/>
    <w:rsid w:val="00926503"/>
    <w:rsid w:val="0093345D"/>
    <w:rsid w:val="00936D51"/>
    <w:rsid w:val="00965215"/>
    <w:rsid w:val="009726D8"/>
    <w:rsid w:val="009B2157"/>
    <w:rsid w:val="009B6B14"/>
    <w:rsid w:val="009D7308"/>
    <w:rsid w:val="009F6CD2"/>
    <w:rsid w:val="009F76DB"/>
    <w:rsid w:val="00A11DB4"/>
    <w:rsid w:val="00A25ACD"/>
    <w:rsid w:val="00A30342"/>
    <w:rsid w:val="00A32C3B"/>
    <w:rsid w:val="00A45F4F"/>
    <w:rsid w:val="00A600A9"/>
    <w:rsid w:val="00A64EF5"/>
    <w:rsid w:val="00A9217D"/>
    <w:rsid w:val="00AA55B7"/>
    <w:rsid w:val="00AA5B9E"/>
    <w:rsid w:val="00AB2407"/>
    <w:rsid w:val="00AB3B6C"/>
    <w:rsid w:val="00AB53DF"/>
    <w:rsid w:val="00AD76EA"/>
    <w:rsid w:val="00B07E5C"/>
    <w:rsid w:val="00B21BB5"/>
    <w:rsid w:val="00B3483C"/>
    <w:rsid w:val="00B811F7"/>
    <w:rsid w:val="00BA2932"/>
    <w:rsid w:val="00BA5DC6"/>
    <w:rsid w:val="00BA6196"/>
    <w:rsid w:val="00BC6D8C"/>
    <w:rsid w:val="00BD378F"/>
    <w:rsid w:val="00BD491A"/>
    <w:rsid w:val="00BD5E96"/>
    <w:rsid w:val="00C173D0"/>
    <w:rsid w:val="00C2355C"/>
    <w:rsid w:val="00C34006"/>
    <w:rsid w:val="00C36B4C"/>
    <w:rsid w:val="00C426B1"/>
    <w:rsid w:val="00C50163"/>
    <w:rsid w:val="00C508E7"/>
    <w:rsid w:val="00C53372"/>
    <w:rsid w:val="00C66160"/>
    <w:rsid w:val="00C721AC"/>
    <w:rsid w:val="00C90D6A"/>
    <w:rsid w:val="00CA247E"/>
    <w:rsid w:val="00CA6D21"/>
    <w:rsid w:val="00CC128C"/>
    <w:rsid w:val="00CC476F"/>
    <w:rsid w:val="00CC72B6"/>
    <w:rsid w:val="00CC799D"/>
    <w:rsid w:val="00CD18FA"/>
    <w:rsid w:val="00CD4A6A"/>
    <w:rsid w:val="00D0218D"/>
    <w:rsid w:val="00D21C38"/>
    <w:rsid w:val="00D25FB5"/>
    <w:rsid w:val="00D44223"/>
    <w:rsid w:val="00D74B54"/>
    <w:rsid w:val="00D819B7"/>
    <w:rsid w:val="00D829E5"/>
    <w:rsid w:val="00DA2529"/>
    <w:rsid w:val="00DB130A"/>
    <w:rsid w:val="00DB2EBB"/>
    <w:rsid w:val="00DC10A1"/>
    <w:rsid w:val="00DC655F"/>
    <w:rsid w:val="00DD0B59"/>
    <w:rsid w:val="00DD7EBD"/>
    <w:rsid w:val="00DF62B6"/>
    <w:rsid w:val="00E07225"/>
    <w:rsid w:val="00E20134"/>
    <w:rsid w:val="00E44155"/>
    <w:rsid w:val="00E4464C"/>
    <w:rsid w:val="00E5409F"/>
    <w:rsid w:val="00E60CE9"/>
    <w:rsid w:val="00E7405F"/>
    <w:rsid w:val="00E76DA2"/>
    <w:rsid w:val="00E93043"/>
    <w:rsid w:val="00EE6488"/>
    <w:rsid w:val="00EF3946"/>
    <w:rsid w:val="00F021FA"/>
    <w:rsid w:val="00F06B16"/>
    <w:rsid w:val="00F07AAC"/>
    <w:rsid w:val="00F62888"/>
    <w:rsid w:val="00F62E97"/>
    <w:rsid w:val="00F64209"/>
    <w:rsid w:val="00F914A0"/>
    <w:rsid w:val="00F93BF5"/>
    <w:rsid w:val="00F94B08"/>
    <w:rsid w:val="00FD2F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F1C6B9B-F62B-43C3-BBAC-6D18EB1E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1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character" w:customStyle="1" w:styleId="Heading1Char">
    <w:name w:val="Heading 1 Char"/>
    <w:link w:val="Heading1"/>
    <w:rsid w:val="00965215"/>
    <w:rPr>
      <w:rFonts w:ascii="Times New Roman Bold" w:hAnsi="Times New Roman Bold"/>
      <w:b/>
      <w:caps/>
      <w:snapToGrid w:val="0"/>
      <w:kern w:val="28"/>
      <w:sz w:val="22"/>
    </w:rPr>
  </w:style>
  <w:style w:type="character" w:customStyle="1" w:styleId="Heading2Char">
    <w:name w:val="Heading 2 Char"/>
    <w:link w:val="Heading2"/>
    <w:rsid w:val="00965215"/>
    <w:rPr>
      <w:b/>
      <w:snapToGrid w:val="0"/>
      <w:kern w:val="28"/>
      <w:sz w:val="22"/>
    </w:rPr>
  </w:style>
  <w:style w:type="character" w:customStyle="1" w:styleId="Heading3Char">
    <w:name w:val="Heading 3 Char"/>
    <w:link w:val="Heading3"/>
    <w:rsid w:val="00965215"/>
    <w:rPr>
      <w:b/>
      <w:snapToGrid w:val="0"/>
      <w:kern w:val="28"/>
      <w:sz w:val="22"/>
    </w:rPr>
  </w:style>
  <w:style w:type="character" w:customStyle="1" w:styleId="Heading4Char">
    <w:name w:val="Heading 4 Char"/>
    <w:link w:val="Heading4"/>
    <w:rsid w:val="00965215"/>
    <w:rPr>
      <w:b/>
      <w:snapToGrid w:val="0"/>
      <w:kern w:val="28"/>
      <w:sz w:val="22"/>
    </w:rPr>
  </w:style>
  <w:style w:type="character" w:customStyle="1" w:styleId="Heading5Char">
    <w:name w:val="Heading 5 Char"/>
    <w:link w:val="Heading5"/>
    <w:rsid w:val="00965215"/>
    <w:rPr>
      <w:b/>
      <w:snapToGrid w:val="0"/>
      <w:kern w:val="28"/>
      <w:sz w:val="22"/>
    </w:rPr>
  </w:style>
  <w:style w:type="character" w:customStyle="1" w:styleId="Heading6Char">
    <w:name w:val="Heading 6 Char"/>
    <w:link w:val="Heading6"/>
    <w:rsid w:val="00965215"/>
    <w:rPr>
      <w:b/>
      <w:snapToGrid w:val="0"/>
      <w:kern w:val="28"/>
      <w:sz w:val="22"/>
    </w:rPr>
  </w:style>
  <w:style w:type="character" w:customStyle="1" w:styleId="Heading7Char">
    <w:name w:val="Heading 7 Char"/>
    <w:link w:val="Heading7"/>
    <w:rsid w:val="00965215"/>
    <w:rPr>
      <w:b/>
      <w:snapToGrid w:val="0"/>
      <w:kern w:val="28"/>
      <w:sz w:val="22"/>
    </w:rPr>
  </w:style>
  <w:style w:type="character" w:customStyle="1" w:styleId="Heading8Char">
    <w:name w:val="Heading 8 Char"/>
    <w:link w:val="Heading8"/>
    <w:rsid w:val="00965215"/>
    <w:rPr>
      <w:b/>
      <w:snapToGrid w:val="0"/>
      <w:kern w:val="28"/>
      <w:sz w:val="22"/>
    </w:rPr>
  </w:style>
  <w:style w:type="character" w:customStyle="1" w:styleId="Heading9Char">
    <w:name w:val="Heading 9 Char"/>
    <w:link w:val="Heading9"/>
    <w:rsid w:val="00965215"/>
    <w:rPr>
      <w:b/>
      <w:snapToGrid w:val="0"/>
      <w:kern w:val="28"/>
      <w:sz w:val="22"/>
    </w:rPr>
  </w:style>
  <w:style w:type="paragraph" w:styleId="EndnoteText">
    <w:name w:val="endnote text"/>
    <w:basedOn w:val="Normal"/>
    <w:link w:val="EndnoteTextChar"/>
    <w:rPr>
      <w:sz w:val="20"/>
    </w:rPr>
  </w:style>
  <w:style w:type="character" w:customStyle="1" w:styleId="EndnoteTextChar">
    <w:name w:val="Endnote Text Char"/>
    <w:link w:val="EndnoteText"/>
    <w:rsid w:val="00965215"/>
    <w:rPr>
      <w:snapToGrid w:val="0"/>
      <w:kern w:val="28"/>
    </w:rPr>
  </w:style>
  <w:style w:type="character" w:styleId="EndnoteReference">
    <w:name w:val="endnote reference"/>
    <w:rPr>
      <w:vertAlign w:val="superscript"/>
    </w:rPr>
  </w:style>
  <w:style w:type="paragraph" w:styleId="FootnoteText">
    <w:name w:val="footnote text"/>
    <w:aliases w:val="ALTS FOOTNOTE,Footnote Text Char,Footnote Text Char Char,Footnote Text Char Char Char Char,Footnote Text Char Char1 Char Char Char Char,Footnote Text Char1,Footnote Text Char1 Char Char,Footnote Text Char2 Char Char Char Char,f,fn,fn Char"/>
    <w:link w:val="FootnoteTextChar2"/>
    <w:rsid w:val="000E3D42"/>
    <w:pPr>
      <w:spacing w:after="120"/>
    </w:pPr>
  </w:style>
  <w:style w:type="character" w:customStyle="1" w:styleId="FootnoteTextChar2">
    <w:name w:val="Footnote Text Char2"/>
    <w:aliases w:val="Footnote Text Char Char Char,Footnote Text Char Char Char Char Char,Footnote Text Char Char1 Char Char Char Char Char,Footnote Text Char1 Char,Footnote Text Char1 Char Char Char,Footnote Text Char2 Char Char Char Char Char,fn Char1"/>
    <w:link w:val="FootnoteText"/>
    <w:rsid w:val="00965215"/>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character" w:customStyle="1" w:styleId="HeaderChar">
    <w:name w:val="Header Char"/>
    <w:link w:val="Header"/>
    <w:rsid w:val="00965215"/>
    <w:rPr>
      <w:b/>
      <w:snapToGrid w:val="0"/>
      <w:kern w:val="28"/>
      <w:sz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9D7308"/>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965215"/>
    <w:rPr>
      <w:rFonts w:ascii="Segoe UI" w:hAnsi="Segoe UI" w:cs="Segoe UI"/>
      <w:sz w:val="18"/>
      <w:szCs w:val="18"/>
    </w:rPr>
  </w:style>
  <w:style w:type="character" w:customStyle="1" w:styleId="BalloonTextChar">
    <w:name w:val="Balloon Text Char"/>
    <w:basedOn w:val="DefaultParagraphFont"/>
    <w:link w:val="BalloonText"/>
    <w:rsid w:val="00965215"/>
    <w:rPr>
      <w:rFonts w:ascii="Segoe UI" w:hAnsi="Segoe UI" w:cs="Segoe UI"/>
      <w:snapToGrid w:val="0"/>
      <w:kern w:val="28"/>
      <w:sz w:val="18"/>
      <w:szCs w:val="18"/>
    </w:rPr>
  </w:style>
  <w:style w:type="paragraph" w:customStyle="1" w:styleId="Numberedparagraphs">
    <w:name w:val="Numbered paragraphs"/>
    <w:basedOn w:val="Normal"/>
    <w:rsid w:val="00965215"/>
    <w:pPr>
      <w:numPr>
        <w:ilvl w:val="2"/>
        <w:numId w:val="7"/>
      </w:numPr>
      <w:tabs>
        <w:tab w:val="left" w:pos="1440"/>
      </w:tabs>
      <w:spacing w:after="220"/>
    </w:pPr>
    <w:rPr>
      <w:sz w:val="24"/>
    </w:rPr>
  </w:style>
  <w:style w:type="paragraph" w:customStyle="1" w:styleId="FirstPageHeader">
    <w:name w:val="First Page Header"/>
    <w:basedOn w:val="Normal"/>
    <w:rsid w:val="00965215"/>
    <w:pPr>
      <w:tabs>
        <w:tab w:val="center" w:pos="4320"/>
        <w:tab w:val="right" w:pos="8640"/>
      </w:tabs>
    </w:pPr>
    <w:rPr>
      <w:b/>
    </w:rPr>
  </w:style>
  <w:style w:type="paragraph" w:customStyle="1" w:styleId="Titleinfo">
    <w:name w:val="Title info"/>
    <w:basedOn w:val="Header"/>
    <w:rsid w:val="00965215"/>
  </w:style>
  <w:style w:type="character" w:customStyle="1" w:styleId="documentbody1">
    <w:name w:val="documentbody1"/>
    <w:rsid w:val="00965215"/>
    <w:rPr>
      <w:rFonts w:ascii="Verdana" w:hAnsi="Verdana" w:hint="default"/>
      <w:sz w:val="19"/>
      <w:szCs w:val="19"/>
    </w:rPr>
  </w:style>
  <w:style w:type="character" w:customStyle="1" w:styleId="searchterm2">
    <w:name w:val="searchterm2"/>
    <w:rsid w:val="00965215"/>
    <w:rPr>
      <w:b/>
      <w:bCs/>
      <w:shd w:val="clear" w:color="auto" w:fill="FFFF00"/>
    </w:rPr>
  </w:style>
  <w:style w:type="paragraph" w:customStyle="1" w:styleId="numberedparagraphs0">
    <w:name w:val="numberedparagraphs"/>
    <w:basedOn w:val="Normal"/>
    <w:rsid w:val="00965215"/>
    <w:pPr>
      <w:spacing w:before="100" w:beforeAutospacing="1" w:after="100" w:afterAutospacing="1"/>
    </w:pPr>
    <w:rPr>
      <w:szCs w:val="24"/>
    </w:rPr>
  </w:style>
  <w:style w:type="character" w:customStyle="1" w:styleId="StyleNumberedparagraphs11ptChar">
    <w:name w:val="Style Numbered paragraphs + 11 pt Char"/>
    <w:rsid w:val="00965215"/>
    <w:rPr>
      <w:noProof w:val="0"/>
      <w:sz w:val="22"/>
      <w:lang w:val="en-US" w:eastAsia="en-US" w:bidi="ar-SA"/>
    </w:rPr>
  </w:style>
  <w:style w:type="character" w:styleId="Strong">
    <w:name w:val="Strong"/>
    <w:qFormat/>
    <w:rsid w:val="00965215"/>
    <w:rPr>
      <w:b/>
      <w:bCs/>
    </w:rPr>
  </w:style>
  <w:style w:type="character" w:customStyle="1" w:styleId="ALTSFOOTNOTEChar2">
    <w:name w:val="ALTS FOOTNOTE Char2"/>
    <w:aliases w:val="ALTS FOOTNOTE Char Char1,Footnote Text Char Char Char Char1,Footnote Text Char Char1,Footnote Text Char1 Char Char1,Footnote Text Char2 Char Char Char Char1,f Char,fn Char Char1,fn Char2"/>
    <w:rsid w:val="00965215"/>
    <w:rPr>
      <w:lang w:val="en-US" w:eastAsia="en-US" w:bidi="ar-SA"/>
    </w:rPr>
  </w:style>
  <w:style w:type="character" w:customStyle="1" w:styleId="ALTSFOOTNOTEChar3">
    <w:name w:val="ALTS FOOTNOTE Char3"/>
    <w:aliases w:val="ALTS FOOTNOTE Char Char2,Footnote Text Char Char Char Char2,Footnote Text Char Char2,Footnote Text Char1 Char Char2,Footnote Text Char2 Char Char Char Char2,Footnote Text Char3,f Char3,fn Char Char2,fn Char3"/>
    <w:uiPriority w:val="99"/>
    <w:rsid w:val="00965215"/>
    <w:rPr>
      <w:lang w:val="en-US" w:eastAsia="en-US" w:bidi="ar-SA"/>
    </w:rPr>
  </w:style>
  <w:style w:type="character" w:styleId="CommentReference">
    <w:name w:val="annotation reference"/>
    <w:rsid w:val="00965215"/>
    <w:rPr>
      <w:sz w:val="16"/>
      <w:szCs w:val="16"/>
    </w:rPr>
  </w:style>
  <w:style w:type="paragraph" w:styleId="CommentText">
    <w:name w:val="annotation text"/>
    <w:basedOn w:val="Normal"/>
    <w:link w:val="CommentTextChar"/>
    <w:rsid w:val="00965215"/>
    <w:rPr>
      <w:sz w:val="20"/>
    </w:rPr>
  </w:style>
  <w:style w:type="character" w:customStyle="1" w:styleId="CommentTextChar">
    <w:name w:val="Comment Text Char"/>
    <w:basedOn w:val="DefaultParagraphFont"/>
    <w:link w:val="CommentText"/>
    <w:rsid w:val="00965215"/>
    <w:rPr>
      <w:snapToGrid w:val="0"/>
      <w:kern w:val="28"/>
    </w:rPr>
  </w:style>
  <w:style w:type="paragraph" w:styleId="CommentSubject">
    <w:name w:val="annotation subject"/>
    <w:basedOn w:val="CommentText"/>
    <w:next w:val="CommentText"/>
    <w:link w:val="CommentSubjectChar"/>
    <w:rsid w:val="00965215"/>
    <w:rPr>
      <w:b/>
      <w:bCs/>
      <w:snapToGrid/>
      <w:kern w:val="0"/>
      <w:lang w:val="x-none" w:eastAsia="x-none"/>
    </w:rPr>
  </w:style>
  <w:style w:type="character" w:customStyle="1" w:styleId="CommentSubjectChar">
    <w:name w:val="Comment Subject Char"/>
    <w:basedOn w:val="CommentTextChar"/>
    <w:link w:val="CommentSubject"/>
    <w:rsid w:val="00965215"/>
    <w:rPr>
      <w:b/>
      <w:bCs/>
      <w:snapToGrid/>
      <w:kern w:val="28"/>
      <w:lang w:val="x-none" w:eastAsia="x-none"/>
    </w:rPr>
  </w:style>
  <w:style w:type="character" w:styleId="BookTitle">
    <w:name w:val="Book Title"/>
    <w:uiPriority w:val="33"/>
    <w:qFormat/>
    <w:rsid w:val="00965215"/>
    <w:rPr>
      <w:b/>
      <w:bCs/>
      <w:smallCaps/>
      <w:spacing w:val="5"/>
    </w:rPr>
  </w:style>
  <w:style w:type="character" w:customStyle="1" w:styleId="FootnoteTextChar1Char1">
    <w:name w:val="Footnote Text Char1 Char1"/>
    <w:aliases w:val="ALTS FOOTNOTE Char Char Char1,ALTS FOOTNOTE Char1 Char1,Footnote Text Char Char Char Char Char1,Footnote Text Char Char Char1,Footnote Text Char1 Char Char Char1,fn Char Char Char1,fn Char1 Char1"/>
    <w:uiPriority w:val="99"/>
    <w:rsid w:val="00965215"/>
    <w:rPr>
      <w:lang w:eastAsia="en-US"/>
    </w:rPr>
  </w:style>
  <w:style w:type="character" w:styleId="Emphasis">
    <w:name w:val="Emphasis"/>
    <w:qFormat/>
    <w:rsid w:val="00965215"/>
    <w:rPr>
      <w:i/>
      <w:iCs/>
    </w:rPr>
  </w:style>
  <w:style w:type="character" w:customStyle="1" w:styleId="NumberedparagraphsChar">
    <w:name w:val="Numbered paragraphs Char"/>
    <w:rsid w:val="00965215"/>
    <w:rPr>
      <w:noProof w:val="0"/>
      <w:sz w:val="24"/>
      <w:lang w:val="en-US" w:eastAsia="en-US" w:bidi="ar-SA"/>
    </w:rPr>
  </w:style>
  <w:style w:type="character" w:customStyle="1" w:styleId="stylenumberedparagraphs11ptchar0">
    <w:name w:val="stylenumberedparagraphs11ptchar"/>
    <w:uiPriority w:val="99"/>
    <w:rsid w:val="00965215"/>
  </w:style>
  <w:style w:type="paragraph" w:customStyle="1" w:styleId="par1">
    <w:name w:val="par1"/>
    <w:basedOn w:val="Normal"/>
    <w:rsid w:val="00965215"/>
    <w:pPr>
      <w:widowControl/>
      <w:tabs>
        <w:tab w:val="num" w:pos="1530"/>
      </w:tabs>
      <w:ind w:left="450" w:firstLine="720"/>
    </w:pPr>
    <w:rPr>
      <w:snapToGrid/>
      <w:kern w:val="0"/>
      <w:sz w:val="24"/>
    </w:rPr>
  </w:style>
  <w:style w:type="paragraph" w:styleId="HTMLPreformatted">
    <w:name w:val="HTML Preformatted"/>
    <w:basedOn w:val="Normal"/>
    <w:link w:val="HTMLPreformattedChar"/>
    <w:uiPriority w:val="99"/>
    <w:unhideWhenUsed/>
    <w:rsid w:val="009652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96521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