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F473CC" w14:paraId="373F1D5C" w14:textId="66F01FFE">
      <w:pPr>
        <w:jc w:val="right"/>
        <w:rPr>
          <w:b/>
          <w:sz w:val="24"/>
        </w:rPr>
      </w:pPr>
      <w:r>
        <w:rPr>
          <w:b/>
          <w:sz w:val="24"/>
        </w:rPr>
        <w:t>DA 20-1090</w:t>
      </w:r>
    </w:p>
    <w:p w:rsidR="00013A8B" w:rsidRPr="00B20363" w:rsidP="00013A8B" w14:paraId="0B561423" w14:textId="027EDBED">
      <w:pPr>
        <w:spacing w:before="60"/>
        <w:jc w:val="right"/>
        <w:rPr>
          <w:b/>
          <w:sz w:val="24"/>
        </w:rPr>
      </w:pPr>
      <w:r>
        <w:rPr>
          <w:b/>
          <w:sz w:val="24"/>
        </w:rPr>
        <w:t xml:space="preserve">Released:  </w:t>
      </w:r>
      <w:r w:rsidR="006D1658">
        <w:rPr>
          <w:b/>
          <w:sz w:val="24"/>
        </w:rPr>
        <w:t>September 1</w:t>
      </w:r>
      <w:r w:rsidR="00D56EA4">
        <w:rPr>
          <w:b/>
          <w:sz w:val="24"/>
        </w:rPr>
        <w:t>8</w:t>
      </w:r>
      <w:bookmarkStart w:id="0" w:name="_GoBack"/>
      <w:bookmarkEnd w:id="0"/>
      <w:r w:rsidR="006D1658">
        <w:rPr>
          <w:b/>
          <w:sz w:val="24"/>
        </w:rPr>
        <w:t>, 2020</w:t>
      </w:r>
    </w:p>
    <w:p w:rsidR="00D91E04" w:rsidP="00D91E04" w14:paraId="3BCE9092" w14:textId="0EF6B98C">
      <w:pPr>
        <w:rPr>
          <w:b/>
          <w:bCs/>
          <w:snapToGrid/>
          <w:kern w:val="0"/>
          <w:sz w:val="24"/>
          <w:szCs w:val="24"/>
        </w:rPr>
      </w:pPr>
      <w:bookmarkStart w:id="1" w:name="TOChere"/>
    </w:p>
    <w:p w:rsidR="00A903F0" w:rsidRPr="00A903F0" w:rsidP="00A903F0" w14:paraId="52644CD4" w14:textId="77777777">
      <w:pPr>
        <w:rPr>
          <w:b/>
          <w:bCs/>
          <w:snapToGrid/>
          <w:kern w:val="0"/>
          <w:sz w:val="24"/>
          <w:szCs w:val="24"/>
        </w:rPr>
      </w:pPr>
    </w:p>
    <w:p w:rsidR="00A903F0" w:rsidP="00A903F0" w14:paraId="2A38DDDE" w14:textId="5DC2A73E">
      <w:pPr>
        <w:jc w:val="center"/>
        <w:rPr>
          <w:b/>
          <w:bCs/>
          <w:snapToGrid/>
          <w:kern w:val="0"/>
          <w:sz w:val="24"/>
          <w:szCs w:val="24"/>
        </w:rPr>
      </w:pPr>
      <w:bookmarkStart w:id="2" w:name="_Hlk51152724"/>
      <w:r w:rsidRPr="00A903F0">
        <w:rPr>
          <w:b/>
          <w:bCs/>
          <w:snapToGrid/>
          <w:kern w:val="0"/>
          <w:sz w:val="24"/>
          <w:szCs w:val="24"/>
        </w:rPr>
        <w:t xml:space="preserve">WIRELINE COMPETITION </w:t>
      </w:r>
      <w:r>
        <w:rPr>
          <w:b/>
          <w:bCs/>
          <w:snapToGrid/>
          <w:kern w:val="0"/>
          <w:sz w:val="24"/>
          <w:szCs w:val="24"/>
        </w:rPr>
        <w:t xml:space="preserve">BUREAU </w:t>
      </w:r>
      <w:r w:rsidRPr="00A903F0">
        <w:rPr>
          <w:b/>
          <w:bCs/>
          <w:snapToGrid/>
          <w:kern w:val="0"/>
          <w:sz w:val="24"/>
          <w:szCs w:val="24"/>
        </w:rPr>
        <w:t>ANNOUNCES APPLICATIONS SUBMITTED TO</w:t>
      </w:r>
      <w:r>
        <w:rPr>
          <w:b/>
          <w:bCs/>
          <w:snapToGrid/>
          <w:kern w:val="0"/>
          <w:sz w:val="24"/>
          <w:szCs w:val="24"/>
        </w:rPr>
        <w:t xml:space="preserve"> </w:t>
      </w:r>
      <w:r w:rsidRPr="00A903F0">
        <w:rPr>
          <w:b/>
          <w:bCs/>
          <w:snapToGrid/>
          <w:kern w:val="0"/>
          <w:sz w:val="24"/>
          <w:szCs w:val="24"/>
        </w:rPr>
        <w:t xml:space="preserve">PARTICIPATE IN </w:t>
      </w:r>
      <w:r w:rsidRPr="00A903F0">
        <w:rPr>
          <w:b/>
          <w:bCs/>
          <w:snapToGrid/>
          <w:kern w:val="0"/>
          <w:sz w:val="24"/>
          <w:szCs w:val="24"/>
        </w:rPr>
        <w:t>UNIENDO</w:t>
      </w:r>
      <w:r w:rsidRPr="00A903F0">
        <w:rPr>
          <w:b/>
          <w:bCs/>
          <w:snapToGrid/>
          <w:kern w:val="0"/>
          <w:sz w:val="24"/>
          <w:szCs w:val="24"/>
        </w:rPr>
        <w:t xml:space="preserve"> A PUERTO RICO FUND AND CONNECT USVI FUN</w:t>
      </w:r>
      <w:r>
        <w:rPr>
          <w:b/>
          <w:bCs/>
          <w:snapToGrid/>
          <w:kern w:val="0"/>
          <w:sz w:val="24"/>
          <w:szCs w:val="24"/>
        </w:rPr>
        <w:t xml:space="preserve">D </w:t>
      </w:r>
      <w:r w:rsidRPr="00A903F0">
        <w:rPr>
          <w:b/>
          <w:bCs/>
          <w:snapToGrid/>
          <w:kern w:val="0"/>
          <w:sz w:val="24"/>
          <w:szCs w:val="24"/>
        </w:rPr>
        <w:t>STAGE 2 FIXED COMPETITIVE PROPOSAL PROCESS</w:t>
      </w:r>
    </w:p>
    <w:bookmarkEnd w:id="2"/>
    <w:p w:rsidR="00A903F0" w:rsidP="00D91E04" w14:paraId="556B5761" w14:textId="77777777">
      <w:pPr>
        <w:rPr>
          <w:b/>
          <w:bCs/>
          <w:snapToGrid/>
          <w:kern w:val="0"/>
          <w:szCs w:val="22"/>
        </w:rPr>
      </w:pPr>
    </w:p>
    <w:p w:rsidR="00D91E04" w:rsidRPr="00ED0ECD" w:rsidP="00D91E04" w14:paraId="0E47B900" w14:textId="5D986E5B">
      <w:pPr>
        <w:jc w:val="center"/>
        <w:rPr>
          <w:b/>
          <w:szCs w:val="22"/>
        </w:rPr>
      </w:pPr>
      <w:r w:rsidRPr="00ED0ECD">
        <w:rPr>
          <w:b/>
          <w:szCs w:val="22"/>
        </w:rPr>
        <w:t>WC Docket No. 18-143</w:t>
      </w:r>
    </w:p>
    <w:p w:rsidR="00D91E04" w:rsidRPr="00ED0ECD" w:rsidP="00D91E04" w14:paraId="7090FD9A" w14:textId="77777777">
      <w:pPr>
        <w:jc w:val="center"/>
        <w:rPr>
          <w:b/>
          <w:szCs w:val="22"/>
        </w:rPr>
      </w:pPr>
      <w:r w:rsidRPr="00ED0ECD">
        <w:rPr>
          <w:b/>
          <w:szCs w:val="22"/>
        </w:rPr>
        <w:t>WC Docket No. 10-90</w:t>
      </w:r>
    </w:p>
    <w:p w:rsidR="00F96F63" w:rsidRPr="00ED0ECD" w:rsidP="00D91E04" w14:paraId="12B88410" w14:textId="4B4277FD">
      <w:pPr>
        <w:jc w:val="center"/>
        <w:rPr>
          <w:b/>
          <w:szCs w:val="22"/>
        </w:rPr>
      </w:pPr>
      <w:r w:rsidRPr="00ED0ECD">
        <w:rPr>
          <w:b/>
          <w:szCs w:val="22"/>
        </w:rPr>
        <w:t>WC Docket No. 14-58</w:t>
      </w:r>
      <w:bookmarkEnd w:id="1"/>
    </w:p>
    <w:p w:rsidR="00D91E04" w:rsidP="00D91E04" w14:paraId="50020917" w14:textId="4F362282">
      <w:pPr>
        <w:rPr>
          <w:b/>
          <w:sz w:val="24"/>
          <w:szCs w:val="24"/>
        </w:rPr>
      </w:pPr>
    </w:p>
    <w:p w:rsidR="00ED0ECD" w:rsidP="00ED0ECD" w14:paraId="1AFEDAF1" w14:textId="77777777">
      <w:pPr>
        <w:pStyle w:val="ParaNum"/>
        <w:widowControl/>
      </w:pPr>
      <w:r w:rsidRPr="008435EE">
        <w:rPr>
          <w:b/>
          <w:bCs/>
          <w:szCs w:val="22"/>
        </w:rPr>
        <w:t>Introduction</w:t>
      </w:r>
      <w:r>
        <w:rPr>
          <w:szCs w:val="22"/>
        </w:rPr>
        <w:t>.  By</w:t>
      </w:r>
      <w:r w:rsidRPr="00357B23">
        <w:rPr>
          <w:szCs w:val="22"/>
        </w:rPr>
        <w:t xml:space="preserve"> this</w:t>
      </w:r>
      <w:r w:rsidRPr="00AB0294">
        <w:rPr>
          <w:szCs w:val="22"/>
        </w:rPr>
        <w:t xml:space="preserve"> Public Notice, the </w:t>
      </w:r>
      <w:r>
        <w:rPr>
          <w:szCs w:val="22"/>
        </w:rPr>
        <w:t xml:space="preserve">Wireline Competition Bureau (Bureau) </w:t>
      </w:r>
      <w:r w:rsidRPr="00AB0294">
        <w:rPr>
          <w:szCs w:val="22"/>
        </w:rPr>
        <w:t>announce</w:t>
      </w:r>
      <w:r>
        <w:rPr>
          <w:szCs w:val="22"/>
        </w:rPr>
        <w:t>s</w:t>
      </w:r>
      <w:r w:rsidRPr="00AB0294">
        <w:rPr>
          <w:szCs w:val="22"/>
        </w:rPr>
        <w:t xml:space="preserve"> the applications received for </w:t>
      </w:r>
      <w:r>
        <w:rPr>
          <w:szCs w:val="22"/>
        </w:rPr>
        <w:t xml:space="preserve">the </w:t>
      </w:r>
      <w:r>
        <w:rPr>
          <w:szCs w:val="22"/>
        </w:rPr>
        <w:t>Uniendo</w:t>
      </w:r>
      <w:r>
        <w:rPr>
          <w:szCs w:val="22"/>
        </w:rPr>
        <w:t xml:space="preserve"> a Puerto Rico and Connect USVI Funds Stage 2 Fixed Competitive Proposal Process (Stage 2 Competitive Process)</w:t>
      </w:r>
      <w:r w:rsidRPr="00AB0294">
        <w:rPr>
          <w:szCs w:val="22"/>
        </w:rPr>
        <w:t xml:space="preserve">.  </w:t>
      </w:r>
      <w:r w:rsidRPr="0038667B">
        <w:t xml:space="preserve">This Public Notice also provides important information </w:t>
      </w:r>
      <w:r>
        <w:t>regarding certain procedures the Commission adopted for this process</w:t>
      </w:r>
      <w:r w:rsidRPr="0038667B">
        <w:t>.</w:t>
      </w:r>
    </w:p>
    <w:p w:rsidR="00ED0ECD" w:rsidRPr="004045F3" w:rsidP="00ED0ECD" w14:paraId="3E21FEC2" w14:textId="77777777">
      <w:pPr>
        <w:pStyle w:val="ParaNum"/>
        <w:widowControl/>
      </w:pPr>
      <w:r>
        <w:rPr>
          <w:szCs w:val="22"/>
        </w:rPr>
        <w:t xml:space="preserve">In the </w:t>
      </w:r>
      <w:r w:rsidRPr="00357B23">
        <w:rPr>
          <w:i/>
          <w:iCs/>
          <w:szCs w:val="22"/>
        </w:rPr>
        <w:t>Stage 2 Procedures P</w:t>
      </w:r>
      <w:r>
        <w:rPr>
          <w:i/>
          <w:iCs/>
          <w:szCs w:val="22"/>
        </w:rPr>
        <w:t xml:space="preserve">ublic </w:t>
      </w:r>
      <w:r w:rsidRPr="00357B23">
        <w:rPr>
          <w:i/>
          <w:iCs/>
          <w:szCs w:val="22"/>
        </w:rPr>
        <w:t>N</w:t>
      </w:r>
      <w:r>
        <w:rPr>
          <w:i/>
          <w:iCs/>
          <w:szCs w:val="22"/>
        </w:rPr>
        <w:t>otice</w:t>
      </w:r>
      <w:r>
        <w:rPr>
          <w:szCs w:val="22"/>
        </w:rPr>
        <w:t xml:space="preserve">, the </w:t>
      </w:r>
      <w:r w:rsidRPr="00AB0294">
        <w:rPr>
          <w:szCs w:val="22"/>
        </w:rPr>
        <w:t>Bureau</w:t>
      </w:r>
      <w:r>
        <w:rPr>
          <w:szCs w:val="22"/>
        </w:rPr>
        <w:t xml:space="preserve"> stated it would </w:t>
      </w:r>
      <w:bookmarkStart w:id="3" w:name="_Hlk50734774"/>
      <w:r>
        <w:rPr>
          <w:szCs w:val="22"/>
        </w:rPr>
        <w:t>issue a public notice identifying each applicant</w:t>
      </w:r>
      <w:bookmarkEnd w:id="3"/>
      <w:r w:rsidRPr="00357B23">
        <w:rPr>
          <w:szCs w:val="22"/>
        </w:rPr>
        <w:t>.</w:t>
      </w:r>
      <w:r>
        <w:rPr>
          <w:rStyle w:val="FootnoteReference"/>
          <w:szCs w:val="22"/>
        </w:rPr>
        <w:footnoteReference w:id="3"/>
      </w:r>
      <w:r w:rsidRPr="00357B23">
        <w:rPr>
          <w:szCs w:val="22"/>
        </w:rPr>
        <w:t xml:space="preserve">  </w:t>
      </w:r>
      <w:r>
        <w:rPr>
          <w:szCs w:val="22"/>
        </w:rPr>
        <w:t xml:space="preserve">The deadline to submit an application </w:t>
      </w:r>
      <w:r w:rsidRPr="0038667B">
        <w:t>(FCC Form</w:t>
      </w:r>
      <w:r>
        <w:t xml:space="preserve"> 5634</w:t>
      </w:r>
      <w:r w:rsidRPr="0038667B">
        <w:t xml:space="preserve">) </w:t>
      </w:r>
      <w:r>
        <w:rPr>
          <w:szCs w:val="22"/>
        </w:rPr>
        <w:t>for the Stage 2 Competitive Process was September 3, 2020.</w:t>
      </w:r>
      <w:r>
        <w:rPr>
          <w:rStyle w:val="FootnoteReference"/>
          <w:szCs w:val="22"/>
        </w:rPr>
        <w:footnoteReference w:id="4"/>
      </w:r>
      <w:r>
        <w:rPr>
          <w:szCs w:val="22"/>
        </w:rPr>
        <w:t xml:space="preserve">  </w:t>
      </w:r>
      <w:r w:rsidRPr="0038667B">
        <w:t xml:space="preserve">The </w:t>
      </w:r>
      <w:r>
        <w:t>Bureau received a total of seven complete applications</w:t>
      </w:r>
      <w:r w:rsidRPr="0038667B">
        <w:t xml:space="preserve"> </w:t>
      </w:r>
      <w:r>
        <w:t>from eligible entities for the Stage 2</w:t>
      </w:r>
      <w:r w:rsidRPr="0038667B">
        <w:t xml:space="preserve"> </w:t>
      </w:r>
      <w:r>
        <w:t xml:space="preserve">Competitive Process, as listed below in Table A.  </w:t>
      </w:r>
      <w:r w:rsidRPr="0038667B">
        <w:t xml:space="preserve">Designation of an application as complete indicates </w:t>
      </w:r>
      <w:r>
        <w:t xml:space="preserve">that </w:t>
      </w:r>
      <w:r w:rsidRPr="0038667B">
        <w:t xml:space="preserve">the applicant has provided the certifications and basic information concerning its qualifications </w:t>
      </w:r>
      <w:r>
        <w:t>that are</w:t>
      </w:r>
      <w:r w:rsidRPr="0038667B">
        <w:t xml:space="preserve"> required </w:t>
      </w:r>
      <w:r>
        <w:t>in</w:t>
      </w:r>
      <w:r w:rsidRPr="0038667B">
        <w:t xml:space="preserve"> the </w:t>
      </w:r>
      <w:r w:rsidRPr="00357B23">
        <w:rPr>
          <w:i/>
          <w:iCs/>
          <w:szCs w:val="22"/>
        </w:rPr>
        <w:t>Stage 2 Competition Procedures PN</w:t>
      </w:r>
      <w:r>
        <w:t xml:space="preserve"> to participate in the competitive proposal process</w:t>
      </w:r>
      <w:r w:rsidRPr="0038667B">
        <w:t>.</w:t>
      </w:r>
      <w:r>
        <w:rPr>
          <w:rStyle w:val="FootnoteReference"/>
        </w:rPr>
        <w:footnoteReference w:id="5"/>
      </w:r>
      <w:r w:rsidRPr="0038667B">
        <w:t xml:space="preserve">  </w:t>
      </w:r>
      <w:r>
        <w:t xml:space="preserve">This designation, however, is not determinative of an applicant’s qualifications to receive </w:t>
      </w:r>
      <w:r>
        <w:t>Uniendo</w:t>
      </w:r>
      <w:r>
        <w:t xml:space="preserve"> a Puerto Rico Fund or Connect USVI Fund support.</w:t>
      </w:r>
      <w:r w:rsidRPr="002A7BA2">
        <w:t xml:space="preserve"> </w:t>
      </w:r>
      <w:r>
        <w:t xml:space="preserve"> </w:t>
      </w:r>
      <w:r w:rsidRPr="0038667B">
        <w:t>Each</w:t>
      </w:r>
      <w:r>
        <w:t xml:space="preserve"> eligible</w:t>
      </w:r>
      <w:r w:rsidRPr="0038667B">
        <w:t xml:space="preserve"> applicant whose application for </w:t>
      </w:r>
      <w:r>
        <w:t xml:space="preserve">the Stage 2 Competitive Process </w:t>
      </w:r>
      <w:r w:rsidRPr="0038667B">
        <w:t xml:space="preserve">has been identified as </w:t>
      </w:r>
      <w:r>
        <w:t>complete</w:t>
      </w:r>
      <w:r w:rsidRPr="0038667B">
        <w:t xml:space="preserve"> must</w:t>
      </w:r>
      <w:r>
        <w:t xml:space="preserve"> promptly </w:t>
      </w:r>
      <w:r w:rsidRPr="0038667B">
        <w:t xml:space="preserve">address </w:t>
      </w:r>
      <w:r>
        <w:t>any requests for further information from Commission staff</w:t>
      </w:r>
      <w:r w:rsidRPr="00A64CBC">
        <w:rPr>
          <w:szCs w:val="22"/>
        </w:rPr>
        <w:t>.</w:t>
      </w:r>
      <w:r>
        <w:rPr>
          <w:rStyle w:val="FootnoteReference"/>
          <w:szCs w:val="22"/>
        </w:rPr>
        <w:footnoteReference w:id="6"/>
      </w:r>
    </w:p>
    <w:p w:rsidR="00ED0ECD" w:rsidP="00ED0ECD" w14:paraId="39371C96" w14:textId="77777777">
      <w:pPr>
        <w:pStyle w:val="ParaNum"/>
        <w:widowControl/>
        <w:numPr>
          <w:ilvl w:val="0"/>
          <w:numId w:val="0"/>
        </w:numPr>
        <w:ind w:left="720"/>
        <w:jc w:val="center"/>
        <w:rPr>
          <w:b/>
          <w:bCs/>
          <w:u w:val="single"/>
        </w:rPr>
      </w:pPr>
    </w:p>
    <w:p w:rsidR="00ED0ECD" w:rsidP="00ED0ECD" w14:paraId="1250849B" w14:textId="77777777">
      <w:pPr>
        <w:pStyle w:val="ParaNum"/>
        <w:widowControl/>
        <w:numPr>
          <w:ilvl w:val="0"/>
          <w:numId w:val="0"/>
        </w:numPr>
        <w:ind w:left="720"/>
        <w:jc w:val="center"/>
        <w:rPr>
          <w:b/>
          <w:bCs/>
          <w:u w:val="single"/>
        </w:rPr>
      </w:pPr>
    </w:p>
    <w:p w:rsidR="00ED0ECD" w:rsidP="00ED0ECD" w14:paraId="35FBE72E" w14:textId="77777777">
      <w:pPr>
        <w:pStyle w:val="ParaNum"/>
        <w:widowControl/>
        <w:numPr>
          <w:ilvl w:val="0"/>
          <w:numId w:val="0"/>
        </w:numPr>
        <w:ind w:left="720"/>
        <w:jc w:val="center"/>
        <w:rPr>
          <w:b/>
          <w:bCs/>
          <w:u w:val="single"/>
        </w:rPr>
      </w:pPr>
    </w:p>
    <w:p w:rsidR="00ED0ECD" w:rsidRPr="000E6534" w:rsidP="00ED0ECD" w14:paraId="1BE0A462" w14:textId="77777777">
      <w:pPr>
        <w:pStyle w:val="ParaNum"/>
        <w:widowControl/>
        <w:numPr>
          <w:ilvl w:val="0"/>
          <w:numId w:val="0"/>
        </w:numPr>
        <w:ind w:left="720"/>
        <w:jc w:val="center"/>
        <w:rPr>
          <w:b/>
          <w:bCs/>
          <w:u w:val="single"/>
        </w:rPr>
      </w:pPr>
      <w:r w:rsidRPr="000E6534">
        <w:rPr>
          <w:b/>
          <w:bCs/>
          <w:u w:val="single"/>
        </w:rPr>
        <w:t>Table A –</w:t>
      </w:r>
      <w:r>
        <w:rPr>
          <w:b/>
          <w:bCs/>
          <w:u w:val="single"/>
        </w:rPr>
        <w:t xml:space="preserve"> </w:t>
      </w:r>
      <w:r w:rsidRPr="000E6534">
        <w:rPr>
          <w:b/>
          <w:bCs/>
          <w:u w:val="single"/>
        </w:rPr>
        <w:t>Applications Received</w:t>
      </w:r>
      <w:r>
        <w:rPr>
          <w:rStyle w:val="FootnoteReference"/>
          <w:b/>
          <w:bCs/>
          <w:u w:val="single"/>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924"/>
      </w:tblGrid>
      <w:tr w14:paraId="5DAC155D" w14:textId="77777777" w:rsidTr="00F256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458" w:type="dxa"/>
            <w:shd w:val="clear" w:color="auto" w:fill="auto"/>
          </w:tcPr>
          <w:p w:rsidR="00ED0ECD" w:rsidRPr="00E7277E" w:rsidP="00F25601" w14:paraId="140F00D2" w14:textId="77777777">
            <w:pPr>
              <w:pStyle w:val="ParaNum"/>
              <w:widowControl/>
              <w:numPr>
                <w:ilvl w:val="0"/>
                <w:numId w:val="0"/>
              </w:numPr>
              <w:rPr>
                <w:b/>
                <w:bCs/>
              </w:rPr>
            </w:pPr>
            <w:r w:rsidRPr="00E7277E">
              <w:rPr>
                <w:b/>
                <w:bCs/>
              </w:rPr>
              <w:t>Territory</w:t>
            </w:r>
          </w:p>
        </w:tc>
        <w:tc>
          <w:tcPr>
            <w:tcW w:w="3924" w:type="dxa"/>
            <w:shd w:val="clear" w:color="auto" w:fill="auto"/>
          </w:tcPr>
          <w:p w:rsidR="00ED0ECD" w:rsidRPr="00E7277E" w:rsidP="00F25601" w14:paraId="1E9F3B21" w14:textId="77777777">
            <w:pPr>
              <w:pStyle w:val="ParaNum"/>
              <w:widowControl/>
              <w:numPr>
                <w:ilvl w:val="0"/>
                <w:numId w:val="0"/>
              </w:numPr>
              <w:rPr>
                <w:b/>
                <w:bCs/>
              </w:rPr>
            </w:pPr>
            <w:r w:rsidRPr="00E7277E">
              <w:rPr>
                <w:b/>
                <w:bCs/>
              </w:rPr>
              <w:t>Entity Name</w:t>
            </w:r>
          </w:p>
        </w:tc>
      </w:tr>
      <w:tr w14:paraId="342F5C5C" w14:textId="77777777" w:rsidTr="00F25601">
        <w:tblPrEx>
          <w:tblW w:w="0" w:type="auto"/>
          <w:jc w:val="center"/>
          <w:tblLook w:val="04A0"/>
        </w:tblPrEx>
        <w:trPr>
          <w:jc w:val="center"/>
        </w:trPr>
        <w:tc>
          <w:tcPr>
            <w:tcW w:w="1458" w:type="dxa"/>
            <w:shd w:val="clear" w:color="auto" w:fill="auto"/>
          </w:tcPr>
          <w:p w:rsidR="00ED0ECD" w:rsidP="00F25601" w14:paraId="2DBC695A" w14:textId="77777777">
            <w:pPr>
              <w:pStyle w:val="ParaNum"/>
              <w:widowControl/>
              <w:numPr>
                <w:ilvl w:val="0"/>
                <w:numId w:val="0"/>
              </w:numPr>
            </w:pPr>
            <w:r>
              <w:t>Puerto Rico</w:t>
            </w:r>
          </w:p>
        </w:tc>
        <w:tc>
          <w:tcPr>
            <w:tcW w:w="3924" w:type="dxa"/>
            <w:shd w:val="clear" w:color="auto" w:fill="auto"/>
          </w:tcPr>
          <w:p w:rsidR="00ED0ECD" w:rsidP="00F25601" w14:paraId="30226FFF" w14:textId="77777777">
            <w:pPr>
              <w:pStyle w:val="ParaNum"/>
              <w:widowControl/>
              <w:numPr>
                <w:ilvl w:val="0"/>
                <w:numId w:val="0"/>
              </w:numPr>
            </w:pPr>
            <w:r>
              <w:t>Aeronet</w:t>
            </w:r>
            <w:r>
              <w:t xml:space="preserve"> Wireless Broadband LLC </w:t>
            </w:r>
          </w:p>
        </w:tc>
      </w:tr>
      <w:tr w14:paraId="5D0DB9B8" w14:textId="77777777" w:rsidTr="00F25601">
        <w:tblPrEx>
          <w:tblW w:w="0" w:type="auto"/>
          <w:jc w:val="center"/>
          <w:tblLook w:val="04A0"/>
        </w:tblPrEx>
        <w:trPr>
          <w:jc w:val="center"/>
        </w:trPr>
        <w:tc>
          <w:tcPr>
            <w:tcW w:w="1458" w:type="dxa"/>
            <w:shd w:val="clear" w:color="auto" w:fill="auto"/>
          </w:tcPr>
          <w:p w:rsidR="00ED0ECD" w:rsidP="00F25601" w14:paraId="17F6FD48" w14:textId="77777777">
            <w:pPr>
              <w:pStyle w:val="ParaNum"/>
              <w:widowControl/>
              <w:numPr>
                <w:ilvl w:val="0"/>
                <w:numId w:val="0"/>
              </w:numPr>
            </w:pPr>
            <w:r>
              <w:t>Puerto Rico</w:t>
            </w:r>
          </w:p>
        </w:tc>
        <w:tc>
          <w:tcPr>
            <w:tcW w:w="3924" w:type="dxa"/>
            <w:shd w:val="clear" w:color="auto" w:fill="auto"/>
          </w:tcPr>
          <w:p w:rsidR="00ED0ECD" w:rsidP="00F25601" w14:paraId="795F6E0C" w14:textId="77777777">
            <w:pPr>
              <w:pStyle w:val="ParaNum"/>
              <w:widowControl/>
              <w:numPr>
                <w:ilvl w:val="0"/>
                <w:numId w:val="0"/>
              </w:numPr>
            </w:pPr>
            <w:r>
              <w:t>Critical Hub Networks, Inc.</w:t>
            </w:r>
          </w:p>
        </w:tc>
      </w:tr>
      <w:tr w14:paraId="6D3BFA60" w14:textId="77777777" w:rsidTr="00F25601">
        <w:tblPrEx>
          <w:tblW w:w="0" w:type="auto"/>
          <w:jc w:val="center"/>
          <w:tblLook w:val="04A0"/>
        </w:tblPrEx>
        <w:trPr>
          <w:jc w:val="center"/>
        </w:trPr>
        <w:tc>
          <w:tcPr>
            <w:tcW w:w="1458" w:type="dxa"/>
            <w:shd w:val="clear" w:color="auto" w:fill="auto"/>
          </w:tcPr>
          <w:p w:rsidR="00ED0ECD" w:rsidP="00F25601" w14:paraId="729AAF51" w14:textId="77777777">
            <w:pPr>
              <w:pStyle w:val="ParaNum"/>
              <w:widowControl/>
              <w:numPr>
                <w:ilvl w:val="0"/>
                <w:numId w:val="0"/>
              </w:numPr>
            </w:pPr>
            <w:r>
              <w:t>Puerto Rico</w:t>
            </w:r>
          </w:p>
        </w:tc>
        <w:tc>
          <w:tcPr>
            <w:tcW w:w="3924" w:type="dxa"/>
            <w:shd w:val="clear" w:color="auto" w:fill="auto"/>
          </w:tcPr>
          <w:p w:rsidR="00ED0ECD" w:rsidP="00F25601" w14:paraId="3344B0B6" w14:textId="77777777">
            <w:pPr>
              <w:pStyle w:val="ParaNum"/>
              <w:widowControl/>
              <w:numPr>
                <w:ilvl w:val="0"/>
                <w:numId w:val="0"/>
              </w:numPr>
            </w:pPr>
            <w:r>
              <w:t>Data@ccess</w:t>
            </w:r>
            <w:r>
              <w:t xml:space="preserve"> Communication, Inc.</w:t>
            </w:r>
          </w:p>
        </w:tc>
      </w:tr>
      <w:tr w14:paraId="51EB78BB" w14:textId="77777777" w:rsidTr="00F25601">
        <w:tblPrEx>
          <w:tblW w:w="0" w:type="auto"/>
          <w:jc w:val="center"/>
          <w:tblLook w:val="04A0"/>
        </w:tblPrEx>
        <w:trPr>
          <w:jc w:val="center"/>
        </w:trPr>
        <w:tc>
          <w:tcPr>
            <w:tcW w:w="1458" w:type="dxa"/>
            <w:shd w:val="clear" w:color="auto" w:fill="auto"/>
          </w:tcPr>
          <w:p w:rsidR="00ED0ECD" w:rsidP="00F25601" w14:paraId="310120EC" w14:textId="77777777">
            <w:pPr>
              <w:pStyle w:val="ParaNum"/>
              <w:widowControl/>
              <w:numPr>
                <w:ilvl w:val="0"/>
                <w:numId w:val="0"/>
              </w:numPr>
            </w:pPr>
            <w:r>
              <w:t>Puerto Rico</w:t>
            </w:r>
          </w:p>
        </w:tc>
        <w:tc>
          <w:tcPr>
            <w:tcW w:w="3924" w:type="dxa"/>
            <w:shd w:val="clear" w:color="auto" w:fill="auto"/>
          </w:tcPr>
          <w:p w:rsidR="00ED0ECD" w:rsidP="00F25601" w14:paraId="1358D4E1" w14:textId="77777777">
            <w:pPr>
              <w:pStyle w:val="ParaNum"/>
              <w:widowControl/>
              <w:numPr>
                <w:ilvl w:val="0"/>
                <w:numId w:val="0"/>
              </w:numPr>
            </w:pPr>
            <w:r>
              <w:t>Liberty Communications of Puerto Rico</w:t>
            </w:r>
          </w:p>
        </w:tc>
      </w:tr>
      <w:tr w14:paraId="3FDA296D" w14:textId="77777777" w:rsidTr="00F25601">
        <w:tblPrEx>
          <w:tblW w:w="0" w:type="auto"/>
          <w:jc w:val="center"/>
          <w:tblLook w:val="04A0"/>
        </w:tblPrEx>
        <w:trPr>
          <w:jc w:val="center"/>
        </w:trPr>
        <w:tc>
          <w:tcPr>
            <w:tcW w:w="1458" w:type="dxa"/>
            <w:shd w:val="clear" w:color="auto" w:fill="auto"/>
          </w:tcPr>
          <w:p w:rsidR="00ED0ECD" w:rsidP="00F25601" w14:paraId="5183723A" w14:textId="77777777">
            <w:pPr>
              <w:pStyle w:val="ParaNum"/>
              <w:widowControl/>
              <w:numPr>
                <w:ilvl w:val="0"/>
                <w:numId w:val="0"/>
              </w:numPr>
            </w:pPr>
            <w:r>
              <w:t>Puerto Rico</w:t>
            </w:r>
          </w:p>
        </w:tc>
        <w:tc>
          <w:tcPr>
            <w:tcW w:w="3924" w:type="dxa"/>
            <w:shd w:val="clear" w:color="auto" w:fill="auto"/>
          </w:tcPr>
          <w:p w:rsidR="00ED0ECD" w:rsidP="00F25601" w14:paraId="3AC2022C" w14:textId="77777777">
            <w:pPr>
              <w:pStyle w:val="ParaNum"/>
              <w:widowControl/>
              <w:numPr>
                <w:ilvl w:val="0"/>
                <w:numId w:val="0"/>
              </w:numPr>
            </w:pPr>
            <w:r>
              <w:t>Puerto Rico Telephone Company, Inc.</w:t>
            </w:r>
          </w:p>
        </w:tc>
      </w:tr>
      <w:tr w14:paraId="210BE83C" w14:textId="77777777" w:rsidTr="00F25601">
        <w:tblPrEx>
          <w:tblW w:w="0" w:type="auto"/>
          <w:jc w:val="center"/>
          <w:tblLook w:val="04A0"/>
        </w:tblPrEx>
        <w:trPr>
          <w:jc w:val="center"/>
        </w:trPr>
        <w:tc>
          <w:tcPr>
            <w:tcW w:w="1458" w:type="dxa"/>
            <w:shd w:val="clear" w:color="auto" w:fill="auto"/>
          </w:tcPr>
          <w:p w:rsidR="00ED0ECD" w:rsidP="00F25601" w14:paraId="2F741377" w14:textId="77777777">
            <w:pPr>
              <w:pStyle w:val="ParaNum"/>
              <w:widowControl/>
              <w:numPr>
                <w:ilvl w:val="0"/>
                <w:numId w:val="0"/>
              </w:numPr>
            </w:pPr>
            <w:r>
              <w:t>USVI</w:t>
            </w:r>
          </w:p>
        </w:tc>
        <w:tc>
          <w:tcPr>
            <w:tcW w:w="3924" w:type="dxa"/>
            <w:shd w:val="clear" w:color="auto" w:fill="auto"/>
          </w:tcPr>
          <w:p w:rsidR="00ED0ECD" w:rsidP="00F25601" w14:paraId="131B800B" w14:textId="77777777">
            <w:pPr>
              <w:pStyle w:val="ParaNum"/>
              <w:widowControl/>
              <w:numPr>
                <w:ilvl w:val="0"/>
                <w:numId w:val="0"/>
              </w:numPr>
            </w:pPr>
            <w:r>
              <w:t>Broadband VI, LLC</w:t>
            </w:r>
          </w:p>
        </w:tc>
      </w:tr>
      <w:tr w14:paraId="31C3BAE9" w14:textId="77777777" w:rsidTr="00F25601">
        <w:tblPrEx>
          <w:tblW w:w="0" w:type="auto"/>
          <w:jc w:val="center"/>
          <w:tblLook w:val="04A0"/>
        </w:tblPrEx>
        <w:trPr>
          <w:jc w:val="center"/>
        </w:trPr>
        <w:tc>
          <w:tcPr>
            <w:tcW w:w="1458" w:type="dxa"/>
            <w:shd w:val="clear" w:color="auto" w:fill="auto"/>
          </w:tcPr>
          <w:p w:rsidR="00ED0ECD" w:rsidP="00F25601" w14:paraId="60D90F26" w14:textId="77777777">
            <w:pPr>
              <w:pStyle w:val="ParaNum"/>
              <w:widowControl/>
              <w:numPr>
                <w:ilvl w:val="0"/>
                <w:numId w:val="0"/>
              </w:numPr>
            </w:pPr>
            <w:r>
              <w:t>USVI</w:t>
            </w:r>
          </w:p>
        </w:tc>
        <w:tc>
          <w:tcPr>
            <w:tcW w:w="3924" w:type="dxa"/>
            <w:shd w:val="clear" w:color="auto" w:fill="auto"/>
          </w:tcPr>
          <w:p w:rsidR="00ED0ECD" w:rsidP="00F25601" w14:paraId="02271E58" w14:textId="77777777">
            <w:pPr>
              <w:pStyle w:val="ParaNum"/>
              <w:widowControl/>
              <w:numPr>
                <w:ilvl w:val="0"/>
                <w:numId w:val="0"/>
              </w:numPr>
            </w:pPr>
            <w:r>
              <w:t xml:space="preserve">Virgin Islands Telephone Company d/b/a </w:t>
            </w:r>
            <w:r>
              <w:t>Viya</w:t>
            </w:r>
          </w:p>
        </w:tc>
      </w:tr>
    </w:tbl>
    <w:p w:rsidR="00ED0ECD" w:rsidP="00ED0ECD" w14:paraId="3CE6452E" w14:textId="77777777">
      <w:pPr>
        <w:pStyle w:val="ParaNum"/>
        <w:widowControl/>
        <w:numPr>
          <w:ilvl w:val="0"/>
          <w:numId w:val="0"/>
        </w:numPr>
        <w:ind w:left="720"/>
      </w:pPr>
    </w:p>
    <w:p w:rsidR="00ED0ECD" w:rsidRPr="00A64CBC" w:rsidP="00ED0ECD" w14:paraId="68F8B998" w14:textId="77777777">
      <w:pPr>
        <w:pStyle w:val="ParaNum"/>
        <w:widowControl/>
      </w:pPr>
      <w:r>
        <w:rPr>
          <w:b/>
          <w:bCs/>
          <w:szCs w:val="22"/>
        </w:rPr>
        <w:t>Communications during the Competitive Process</w:t>
      </w:r>
      <w:r w:rsidRPr="001245E8">
        <w:rPr>
          <w:b/>
          <w:bCs/>
          <w:szCs w:val="22"/>
        </w:rPr>
        <w:t>.</w:t>
      </w:r>
      <w:r w:rsidRPr="002F30A4">
        <w:rPr>
          <w:szCs w:val="22"/>
        </w:rPr>
        <w:t xml:space="preserve">  </w:t>
      </w:r>
      <w:r w:rsidRPr="00F361AC">
        <w:rPr>
          <w:szCs w:val="22"/>
        </w:rPr>
        <w:t>Commission staff will communicate only with an applicant’s contact person</w:t>
      </w:r>
      <w:r w:rsidRPr="00A73301">
        <w:rPr>
          <w:szCs w:val="22"/>
        </w:rPr>
        <w:t xml:space="preserve"> or certifying official, as designated on the applicant’s FCC Form </w:t>
      </w:r>
      <w:r>
        <w:rPr>
          <w:szCs w:val="22"/>
        </w:rPr>
        <w:t>5634</w:t>
      </w:r>
      <w:r w:rsidRPr="00A73301">
        <w:rPr>
          <w:szCs w:val="22"/>
        </w:rPr>
        <w:t>, unless the applicant’s certifying official or contact person notifies Commission staff in writing that another representative is authorized to speak on the applicant’s behalf.</w:t>
      </w:r>
      <w:r>
        <w:rPr>
          <w:rStyle w:val="FootnoteReference"/>
          <w:szCs w:val="22"/>
        </w:rPr>
        <w:footnoteReference w:id="8"/>
      </w:r>
      <w:r w:rsidRPr="00F84EC7">
        <w:rPr>
          <w:szCs w:val="22"/>
        </w:rPr>
        <w:t xml:space="preserve">  Authorizations may be sent by email to </w:t>
      </w:r>
      <w:hyperlink r:id="rId5" w:history="1">
        <w:r w:rsidRPr="003B1319">
          <w:rPr>
            <w:rStyle w:val="Hyperlink"/>
            <w:szCs w:val="22"/>
          </w:rPr>
          <w:t>ConnectAmerica@fcc.gov</w:t>
        </w:r>
      </w:hyperlink>
      <w:r w:rsidRPr="00C37E87">
        <w:rPr>
          <w:szCs w:val="22"/>
        </w:rPr>
        <w:t xml:space="preserve">. </w:t>
      </w:r>
    </w:p>
    <w:p w:rsidR="00ED0ECD" w:rsidP="00ED0ECD" w14:paraId="28F4EBCA" w14:textId="77777777">
      <w:pPr>
        <w:pStyle w:val="ParaNum"/>
        <w:widowControl/>
      </w:pPr>
      <w:r>
        <w:rPr>
          <w:b/>
          <w:bCs/>
        </w:rPr>
        <w:t>Minor</w:t>
      </w:r>
      <w:r w:rsidRPr="00A64CBC">
        <w:rPr>
          <w:b/>
          <w:bCs/>
        </w:rPr>
        <w:t xml:space="preserve"> Changes</w:t>
      </w:r>
      <w:r>
        <w:rPr>
          <w:b/>
          <w:bCs/>
        </w:rPr>
        <w:t>.</w:t>
      </w:r>
      <w:r>
        <w:t xml:space="preserve">  </w:t>
      </w:r>
      <w:r>
        <w:rPr>
          <w:szCs w:val="22"/>
        </w:rPr>
        <w:t xml:space="preserve">  </w:t>
      </w:r>
      <w:r w:rsidRPr="009B0514">
        <w:rPr>
          <w:szCs w:val="22"/>
        </w:rPr>
        <w:t>In general, qualified applicants may make minor changes to their applications.</w:t>
      </w:r>
      <w:r>
        <w:rPr>
          <w:rStyle w:val="FootnoteReference"/>
          <w:szCs w:val="22"/>
        </w:rPr>
        <w:footnoteReference w:id="9"/>
      </w:r>
      <w:r w:rsidRPr="009B0514">
        <w:rPr>
          <w:szCs w:val="22"/>
        </w:rPr>
        <w:t xml:space="preserve">  These would include, for example, revision of addresses and telephone numbers of the applicant and its contact person, and changes to the </w:t>
      </w:r>
      <w:r w:rsidRPr="00010E50">
        <w:rPr>
          <w:szCs w:val="22"/>
        </w:rPr>
        <w:t>responsible party.  An applicant may also attach amended documents to its application, including revisions or additions to its financial statements and network information and spectrum access attachments, to the extent that any new information in an amended document does not constitute a major modification of the application.</w:t>
      </w:r>
      <w:r>
        <w:rPr>
          <w:rStyle w:val="FootnoteReference"/>
          <w:szCs w:val="22"/>
        </w:rPr>
        <w:footnoteReference w:id="10"/>
      </w:r>
      <w:r w:rsidRPr="009B0514">
        <w:rPr>
          <w:szCs w:val="22"/>
        </w:rPr>
        <w:t xml:space="preserve">  </w:t>
      </w:r>
      <w:r>
        <w:t>We recommend that the revised attachments be red-lined or that changes be otherwise clearly indicated, so that Commission staff can easily discern the differences between the original and revised documents.</w:t>
      </w:r>
    </w:p>
    <w:p w:rsidR="00ED0ECD" w:rsidP="00ED0ECD" w14:paraId="5706699E" w14:textId="77777777">
      <w:pPr>
        <w:pStyle w:val="ParaNum"/>
        <w:widowControl/>
      </w:pPr>
      <w:r w:rsidRPr="00E71E31">
        <w:t xml:space="preserve">While changes can also be made to </w:t>
      </w:r>
      <w:r>
        <w:t xml:space="preserve">the </w:t>
      </w:r>
      <w:r w:rsidRPr="00E71E31">
        <w:t>ownership and agreement information, we remind each applicant that any changes must comply with the Commission’s rule prohibiting major modifications of an application.</w:t>
      </w:r>
      <w:r>
        <w:rPr>
          <w:rStyle w:val="FootnoteReference"/>
        </w:rPr>
        <w:footnoteReference w:id="11"/>
      </w:r>
      <w:r w:rsidRPr="00E71E31">
        <w:t xml:space="preserve">  </w:t>
      </w:r>
      <w:r>
        <w:t>Any m</w:t>
      </w:r>
      <w:r w:rsidRPr="00C60499">
        <w:t xml:space="preserve">ajor modification to an </w:t>
      </w:r>
      <w:r>
        <w:t xml:space="preserve">application </w:t>
      </w:r>
      <w:r w:rsidRPr="00C60499">
        <w:t>(e.g., certain changes in ownership that would constitute an assignment or transfer of control of the applicant) will not be permitted.</w:t>
      </w:r>
      <w:r>
        <w:rPr>
          <w:rStyle w:val="FootnoteReference"/>
        </w:rPr>
        <w:footnoteReference w:id="12"/>
      </w:r>
      <w:r w:rsidRPr="00C60499">
        <w:t xml:space="preserve">  </w:t>
      </w:r>
      <w:r w:rsidRPr="00E71E31">
        <w:t xml:space="preserve">If any </w:t>
      </w:r>
      <w:r w:rsidRPr="00E71E31">
        <w:t xml:space="preserve">application is changed to effect a major amendment, </w:t>
      </w:r>
      <w:r w:rsidRPr="00C60499">
        <w:t>the major amendment will not be accepted and may result in the dismissal of the application</w:t>
      </w:r>
      <w:r w:rsidRPr="00E71E31">
        <w:t>.</w:t>
      </w:r>
      <w:r>
        <w:rPr>
          <w:rStyle w:val="FootnoteReference"/>
        </w:rPr>
        <w:footnoteReference w:id="13"/>
      </w:r>
    </w:p>
    <w:p w:rsidR="00ED0ECD" w:rsidP="00ED0ECD" w14:paraId="2C0EA5F2" w14:textId="77777777">
      <w:pPr>
        <w:pStyle w:val="ParaNum"/>
        <w:widowControl/>
      </w:pPr>
      <w:r w:rsidRPr="00C60499">
        <w:t>Any application amendment</w:t>
      </w:r>
      <w:r>
        <w:t>(s)</w:t>
      </w:r>
      <w:r w:rsidRPr="00C60499">
        <w:t xml:space="preserve"> and related statements of fact must be certified by an authorized representative of the applicant with authority to bind the applicant.  </w:t>
      </w:r>
      <w:r>
        <w:t>The</w:t>
      </w:r>
      <w:r w:rsidRPr="00C60499">
        <w:t xml:space="preserve"> submission of any such amendment or related statement of fact constitutes a representation by the person certifying that he or she is an authorized representative with such authority, and that the contents of the amendment or statement of fact are true and correct</w:t>
      </w:r>
      <w:r>
        <w:t xml:space="preserve">.  </w:t>
      </w:r>
      <w:r w:rsidRPr="0038667B">
        <w:t>In the event that</w:t>
      </w:r>
      <w:r w:rsidRPr="0038667B">
        <w:t xml:space="preserve"> a</w:t>
      </w:r>
      <w:r>
        <w:t xml:space="preserve"> winning bidder</w:t>
      </w:r>
      <w:r w:rsidRPr="0038667B">
        <w:t xml:space="preserve"> </w:t>
      </w:r>
      <w:r>
        <w:t>does not become authorized to receive support for any reason</w:t>
      </w:r>
      <w:r w:rsidRPr="0038667B">
        <w:t xml:space="preserve">, it will be </w:t>
      </w:r>
      <w:r>
        <w:t>subject to a forfeiture</w:t>
      </w:r>
      <w:r w:rsidRPr="0038667B">
        <w:t>.</w:t>
      </w:r>
      <w:r>
        <w:rPr>
          <w:rStyle w:val="FootnoteReference"/>
        </w:rPr>
        <w:footnoteReference w:id="14"/>
      </w:r>
    </w:p>
    <w:p w:rsidR="00ED0ECD" w:rsidRPr="00CC2B2D" w:rsidP="00ED0ECD" w14:paraId="4900FCB2" w14:textId="77777777">
      <w:pPr>
        <w:pStyle w:val="ParaNum"/>
        <w:widowControl/>
      </w:pPr>
      <w:r w:rsidRPr="00CC2B2D">
        <w:rPr>
          <w:b/>
          <w:bCs/>
        </w:rPr>
        <w:t>Duty to Maintain Accurate Information in Applications</w:t>
      </w:r>
      <w:r w:rsidRPr="00CC2B2D">
        <w:t xml:space="preserve">. </w:t>
      </w:r>
      <w:r>
        <w:t xml:space="preserve"> </w:t>
      </w:r>
      <w:r w:rsidRPr="00CC2B2D">
        <w:t xml:space="preserve">We remind applicants of their duty to maintain the accuracy and completeness of information furnished in </w:t>
      </w:r>
      <w:r>
        <w:t xml:space="preserve">their </w:t>
      </w:r>
      <w:r w:rsidRPr="00CC2B2D">
        <w:t xml:space="preserve">pending application to participate in the Stage 2 </w:t>
      </w:r>
      <w:r>
        <w:t>Competitive Process</w:t>
      </w:r>
      <w:r w:rsidRPr="00CC2B2D">
        <w:t>.</w:t>
      </w:r>
      <w:r>
        <w:rPr>
          <w:rStyle w:val="FootnoteReference"/>
          <w:szCs w:val="22"/>
        </w:rPr>
        <w:footnoteReference w:id="15"/>
      </w:r>
      <w:r w:rsidRPr="00CC2B2D">
        <w:t xml:space="preserve">  Each applicant </w:t>
      </w:r>
      <w:r>
        <w:t xml:space="preserve">must </w:t>
      </w:r>
      <w:r w:rsidRPr="00CC2B2D">
        <w:t>amend its application to furnish additional or corrected information within five business days of a significant occurrence, or no more than five business days after the applicant becomes aware of the need for amendment.</w:t>
      </w:r>
      <w:r>
        <w:rPr>
          <w:rStyle w:val="FootnoteReference"/>
        </w:rPr>
        <w:footnoteReference w:id="16"/>
      </w:r>
      <w:r w:rsidRPr="00CC2B2D">
        <w:t xml:space="preserve">  All changes are subject to review by Commission staff.  Changes must be submitted by email to </w:t>
      </w:r>
      <w:hyperlink r:id="rId5" w:history="1">
        <w:r w:rsidRPr="00CC2B2D">
          <w:rPr>
            <w:rStyle w:val="Hyperlink"/>
          </w:rPr>
          <w:t>ConnectAmerica@fcc.gov</w:t>
        </w:r>
      </w:hyperlink>
      <w:r w:rsidRPr="00CC2B2D">
        <w:t>.</w:t>
      </w:r>
      <w:r>
        <w:t xml:space="preserve"> </w:t>
      </w:r>
    </w:p>
    <w:p w:rsidR="00ED0ECD" w:rsidRPr="00520633" w:rsidP="00ED0ECD" w14:paraId="45EB12F4" w14:textId="77777777">
      <w:pPr>
        <w:pStyle w:val="ParaNum"/>
        <w:widowControl/>
      </w:pPr>
      <w:r w:rsidRPr="00520633">
        <w:rPr>
          <w:b/>
          <w:bCs/>
        </w:rPr>
        <w:t>Prohibition of Certain Communications</w:t>
      </w:r>
      <w:r w:rsidRPr="00520633">
        <w:t>.  We remind applicants that the rule prohibiting certain communications</w:t>
      </w:r>
      <w:r>
        <w:t>, consistent with</w:t>
      </w:r>
      <w:r w:rsidRPr="00520633">
        <w:t xml:space="preserve"> section 1.21002 of the Commission’s rules</w:t>
      </w:r>
      <w:r>
        <w:t>,</w:t>
      </w:r>
      <w:r w:rsidRPr="00520633">
        <w:t xml:space="preserve"> applies to each applicant that filed an application in the Stage 2 </w:t>
      </w:r>
      <w:r>
        <w:t>Competitive Process</w:t>
      </w:r>
      <w:r w:rsidRPr="00520633">
        <w:t>.</w:t>
      </w:r>
      <w:r>
        <w:rPr>
          <w:rStyle w:val="FootnoteReference"/>
        </w:rPr>
        <w:footnoteReference w:id="17"/>
      </w:r>
      <w:r w:rsidRPr="00520633">
        <w:t xml:space="preserve">  </w:t>
      </w:r>
      <w:r>
        <w:rPr>
          <w:szCs w:val="22"/>
        </w:rPr>
        <w:t xml:space="preserve">The </w:t>
      </w:r>
      <w:r w:rsidRPr="00520633">
        <w:rPr>
          <w:szCs w:val="22"/>
        </w:rPr>
        <w:t>rule prohibits an applicant from cooperating or collaborating with any other applicant with respect to its own, or one another’s, or any other competing applicant’s applications or application strategies, and from communicating with any other applicant in any manner the substance of its own, or one another’s, or any other competing applicant’s applications or application strategies during the prohibition period</w:t>
      </w:r>
      <w:r w:rsidRPr="00520633">
        <w:t>.</w:t>
      </w:r>
      <w:r>
        <w:rPr>
          <w:rStyle w:val="FootnoteReference"/>
        </w:rPr>
        <w:footnoteReference w:id="18"/>
      </w:r>
    </w:p>
    <w:p w:rsidR="00ED0ECD" w:rsidP="00ED0ECD" w14:paraId="6642EFC2" w14:textId="77777777">
      <w:pPr>
        <w:pStyle w:val="ParaNum"/>
        <w:widowControl/>
      </w:pPr>
      <w:r w:rsidRPr="0038667B">
        <w:t xml:space="preserve">This prohibition took effect </w:t>
      </w:r>
      <w:r w:rsidRPr="005B2B43">
        <w:rPr>
          <w:szCs w:val="22"/>
        </w:rPr>
        <w:t>as</w:t>
      </w:r>
      <w:r w:rsidRPr="0038667B">
        <w:t xml:space="preserve"> of the application filing deadline</w:t>
      </w:r>
      <w:r>
        <w:t xml:space="preserve"> on September 3, 2020</w:t>
      </w:r>
      <w:r w:rsidRPr="0038667B">
        <w:t xml:space="preserve">, at 6:00 p.m. ET, and </w:t>
      </w:r>
      <w:r>
        <w:t>extends until the winning applicants are authorized to receive Stage 2 support.</w:t>
      </w:r>
      <w:r>
        <w:rPr>
          <w:rStyle w:val="FootnoteReference"/>
        </w:rPr>
        <w:footnoteReference w:id="19"/>
      </w:r>
      <w:r>
        <w:t xml:space="preserve">  </w:t>
      </w:r>
      <w:r w:rsidRPr="00B8376D">
        <w:rPr>
          <w:b/>
        </w:rPr>
        <w:t>This prohibition applies to all applicants regardless of whether such applicants become qualified applicants or actually win support.</w:t>
      </w:r>
      <w:r>
        <w:rPr>
          <w:rStyle w:val="FootnoteReference"/>
          <w:szCs w:val="22"/>
        </w:rPr>
        <w:footnoteReference w:id="20"/>
      </w:r>
      <w:r w:rsidRPr="00B8376D">
        <w:rPr>
          <w:b/>
        </w:rPr>
        <w:t xml:space="preserve">  </w:t>
      </w:r>
      <w:r w:rsidRPr="0038667B">
        <w:t xml:space="preserve">We also emphasize that, for purposes of this prohibition, an “applicant” includes </w:t>
      </w:r>
      <w:r>
        <w:t xml:space="preserve">the entity filing the application, each party capable </w:t>
      </w:r>
      <w:r w:rsidRPr="002F4692">
        <w:t>of</w:t>
      </w:r>
      <w:r>
        <w:t xml:space="preserve"> controlling the applicant, and each party that may be controlled by the applicant or by a party capable of controlling the applicant.</w:t>
      </w:r>
      <w:r>
        <w:rPr>
          <w:rStyle w:val="FootnoteReference"/>
        </w:rPr>
        <w:footnoteReference w:id="21"/>
      </w:r>
    </w:p>
    <w:p w:rsidR="00ED0ECD" w:rsidRPr="0038667B" w:rsidP="00ED0ECD" w14:paraId="30F4CC81" w14:textId="77777777">
      <w:pPr>
        <w:pStyle w:val="ParaNum"/>
        <w:widowControl/>
      </w:pPr>
      <w:r>
        <w:rPr>
          <w:szCs w:val="22"/>
        </w:rPr>
        <w:t xml:space="preserve">The prohibition on “communicating in any manner” includes public disclosures as well as private communications and indirect or implicit communications, express statements of bids and bidding </w:t>
      </w:r>
      <w:r>
        <w:rPr>
          <w:szCs w:val="22"/>
        </w:rPr>
        <w:t>strategies.</w:t>
      </w:r>
      <w:r>
        <w:rPr>
          <w:rStyle w:val="FootnoteReference"/>
          <w:szCs w:val="22"/>
        </w:rPr>
        <w:footnoteReference w:id="22"/>
      </w:r>
      <w:r>
        <w:rPr>
          <w:szCs w:val="22"/>
        </w:rPr>
        <w:t xml:space="preserve">  Consequently, </w:t>
      </w:r>
      <w:r>
        <w:t>an applicant must take care to determine whether its competition-related communications may reach another applicant.</w:t>
      </w:r>
      <w:r>
        <w:rPr>
          <w:rStyle w:val="FootnoteReference"/>
        </w:rPr>
        <w:footnoteReference w:id="23"/>
      </w:r>
    </w:p>
    <w:p w:rsidR="00ED0ECD" w:rsidP="00ED0ECD" w14:paraId="3A564156" w14:textId="77777777">
      <w:pPr>
        <w:pStyle w:val="ParaNum"/>
        <w:widowControl/>
      </w:pPr>
      <w:r w:rsidRPr="00F00D0B">
        <w:rPr>
          <w:bCs/>
          <w:i/>
          <w:iCs/>
        </w:rPr>
        <w:t>Disclosure Obligations</w:t>
      </w:r>
      <w:r>
        <w:rPr>
          <w:bCs/>
          <w:i/>
          <w:iCs/>
        </w:rPr>
        <w:t xml:space="preserve"> for Prohibited Communications</w:t>
      </w:r>
      <w:r w:rsidRPr="0038667B">
        <w:rPr>
          <w:b/>
          <w:i/>
        </w:rPr>
        <w:t>.</w:t>
      </w:r>
      <w:r w:rsidRPr="0038667B">
        <w:t xml:space="preserve">  </w:t>
      </w:r>
      <w:r>
        <w:t>Consistent with section 1.21002(c), any applicant that makes or receives a communication that appears to violate the prohibited communications rule must report such communication in writing to the Commission immediately, and in no case later than five business days after the communication occurs.</w:t>
      </w:r>
      <w:r>
        <w:rPr>
          <w:rStyle w:val="FootnoteReference"/>
          <w:szCs w:val="22"/>
        </w:rPr>
        <w:footnoteReference w:id="24"/>
      </w:r>
      <w:r>
        <w:t xml:space="preserve">  An applicant’s obligation to make such a report continues until the report has been made.</w:t>
      </w:r>
      <w:r>
        <w:rPr>
          <w:rStyle w:val="FootnoteReference"/>
        </w:rPr>
        <w:footnoteReference w:id="25"/>
      </w:r>
    </w:p>
    <w:p w:rsidR="00ED0ECD" w:rsidRPr="003F143D" w:rsidP="00ED0ECD" w14:paraId="1A155D3B" w14:textId="77777777">
      <w:pPr>
        <w:pStyle w:val="ParaNum"/>
        <w:widowControl/>
        <w:rPr>
          <w:szCs w:val="22"/>
        </w:rPr>
      </w:pPr>
      <w:r w:rsidRPr="003F143D">
        <w:rPr>
          <w:bCs/>
          <w:i/>
          <w:iCs/>
          <w:szCs w:val="22"/>
        </w:rPr>
        <w:t>Reporting Prohibited Communications</w:t>
      </w:r>
      <w:r w:rsidRPr="003F143D">
        <w:rPr>
          <w:szCs w:val="22"/>
        </w:rPr>
        <w:t>.  Parties must file only a single report concerning a prohibited communication and must file that report with the Commission personnel expressly charged with administering the Commission’s auctions.</w:t>
      </w:r>
      <w:r>
        <w:rPr>
          <w:rStyle w:val="FootnoteReference"/>
          <w:szCs w:val="22"/>
        </w:rPr>
        <w:footnoteReference w:id="26"/>
      </w:r>
      <w:r w:rsidRPr="003F143D">
        <w:rPr>
          <w:szCs w:val="22"/>
        </w:rPr>
        <w:t xml:space="preserve">  This rule is designed to minimize the risk of inadvertent dissemination of information in such reports.</w:t>
      </w:r>
      <w:r>
        <w:rPr>
          <w:rStyle w:val="FootnoteReference"/>
          <w:szCs w:val="22"/>
        </w:rPr>
        <w:footnoteReference w:id="27"/>
      </w:r>
      <w:r w:rsidRPr="003F143D">
        <w:rPr>
          <w:szCs w:val="22"/>
        </w:rPr>
        <w:t xml:space="preserve">  Any reports required by </w:t>
      </w:r>
      <w:r>
        <w:rPr>
          <w:szCs w:val="22"/>
        </w:rPr>
        <w:t xml:space="preserve">the rule </w:t>
      </w:r>
      <w:r w:rsidRPr="003F143D">
        <w:rPr>
          <w:szCs w:val="22"/>
        </w:rPr>
        <w:t xml:space="preserve">must be filed consistent with the instructions set forth in the </w:t>
      </w:r>
      <w:r w:rsidRPr="003F143D">
        <w:rPr>
          <w:i/>
          <w:szCs w:val="22"/>
        </w:rPr>
        <w:t>Stage 2 Procedures Public Notice</w:t>
      </w:r>
      <w:r w:rsidRPr="003F143D">
        <w:rPr>
          <w:szCs w:val="22"/>
        </w:rPr>
        <w:t xml:space="preserve">.  In particular, such reports must be filed with Ryan Palmer, </w:t>
      </w:r>
      <w:r w:rsidRPr="003F143D">
        <w:rPr>
          <w:snapToGrid/>
          <w:kern w:val="0"/>
          <w:szCs w:val="22"/>
        </w:rPr>
        <w:t>the Chief of the Telecommunications Access Policy Division, Wireline Competition Bureau</w:t>
      </w:r>
      <w:r w:rsidRPr="003F143D">
        <w:rPr>
          <w:szCs w:val="22"/>
        </w:rPr>
        <w:t xml:space="preserve">, by the most expeditious means available, such as via email to </w:t>
      </w:r>
      <w:hyperlink r:id="rId5" w:history="1">
        <w:r w:rsidRPr="003F143D">
          <w:rPr>
            <w:rStyle w:val="Hyperlink"/>
            <w:szCs w:val="22"/>
          </w:rPr>
          <w:t>ConnectAmerica@fcc.gov</w:t>
        </w:r>
      </w:hyperlink>
      <w:r w:rsidRPr="003F143D">
        <w:rPr>
          <w:szCs w:val="22"/>
        </w:rPr>
        <w:t>.</w:t>
      </w:r>
      <w:r>
        <w:rPr>
          <w:rStyle w:val="FootnoteReference"/>
          <w:szCs w:val="22"/>
        </w:rPr>
        <w:footnoteReference w:id="28"/>
      </w:r>
    </w:p>
    <w:p w:rsidR="00ED0ECD" w:rsidP="00ED0ECD" w14:paraId="40A663DF" w14:textId="77777777">
      <w:pPr>
        <w:pStyle w:val="ParaNum"/>
        <w:widowControl/>
      </w:pPr>
      <w:r w:rsidRPr="00657249">
        <w:t>A party seeking to report such a prohibited communication should consider submitting its report with a request that the report or portions of the submission be withheld from public inspection by following the procedures specified in section 0.459 of the Commission’s rules.  We encourage such parties to coordinate with staff about the procedures for submitting such reports.</w:t>
      </w:r>
      <w:r>
        <w:rPr>
          <w:rStyle w:val="FootnoteReference"/>
        </w:rPr>
        <w:footnoteReference w:id="29"/>
      </w:r>
    </w:p>
    <w:p w:rsidR="00ED0ECD" w:rsidP="00ED0ECD" w14:paraId="4A5227C5" w14:textId="77777777">
      <w:pPr>
        <w:pStyle w:val="ParaNum"/>
        <w:widowControl/>
      </w:pPr>
      <w:r w:rsidRPr="0038667B">
        <w:t xml:space="preserve">Any applicant found to have violated </w:t>
      </w:r>
      <w:r>
        <w:t>the prohibited communications rule</w:t>
      </w:r>
      <w:r w:rsidRPr="0038667B">
        <w:t xml:space="preserve"> </w:t>
      </w:r>
      <w:r>
        <w:t>is</w:t>
      </w:r>
      <w:r w:rsidRPr="0038667B">
        <w:t xml:space="preserve"> subject to sanctions.</w:t>
      </w:r>
      <w:r>
        <w:rPr>
          <w:rStyle w:val="FootnoteReference"/>
        </w:rPr>
        <w:footnoteReference w:id="30"/>
      </w:r>
      <w:r w:rsidRPr="0038667B">
        <w:t xml:space="preserve">  In addition, we remind applicants that they are subject to the antitrust laws.</w:t>
      </w:r>
      <w:r>
        <w:rPr>
          <w:rStyle w:val="FootnoteReference"/>
        </w:rPr>
        <w:footnoteReference w:id="31"/>
      </w:r>
      <w:r w:rsidRPr="0038667B">
        <w:t xml:space="preserve">  If an </w:t>
      </w:r>
      <w:r w:rsidRPr="00657249">
        <w:t>applicant</w:t>
      </w:r>
      <w:r w:rsidRPr="0038667B">
        <w:t xml:space="preserve"> </w:t>
      </w:r>
      <w:r w:rsidRPr="0038667B">
        <w:t xml:space="preserve">is found to have violated the antitrust laws </w:t>
      </w:r>
      <w:r>
        <w:t xml:space="preserve">or the Commission’s rules </w:t>
      </w:r>
      <w:r w:rsidRPr="0038667B">
        <w:t>in connection with its participation in the competitive bidding process, it may be subject to forfeiture and may be prohibited from participating in</w:t>
      </w:r>
      <w:r>
        <w:t xml:space="preserve"> this and</w:t>
      </w:r>
      <w:r w:rsidRPr="0038667B">
        <w:t xml:space="preserve"> future </w:t>
      </w:r>
      <w:r>
        <w:t>Commission competitions, among other sanctions</w:t>
      </w:r>
      <w:r w:rsidRPr="0038667B">
        <w:t>.</w:t>
      </w:r>
      <w:r>
        <w:rPr>
          <w:rStyle w:val="FootnoteReference"/>
        </w:rPr>
        <w:footnoteReference w:id="32"/>
      </w:r>
      <w:bookmarkStart w:id="4" w:name="_Toc495379842"/>
    </w:p>
    <w:p w:rsidR="00ED0ECD" w:rsidP="00ED0ECD" w14:paraId="4CCC8E87" w14:textId="77777777">
      <w:pPr>
        <w:pStyle w:val="ParaNum"/>
        <w:widowControl/>
      </w:pPr>
      <w:r w:rsidRPr="008435EE">
        <w:rPr>
          <w:b/>
          <w:bCs/>
          <w:snapToGrid/>
        </w:rPr>
        <w:t>Limited Information Procedures</w:t>
      </w:r>
      <w:r>
        <w:rPr>
          <w:snapToGrid/>
        </w:rPr>
        <w:t xml:space="preserve">.  </w:t>
      </w:r>
      <w:r w:rsidRPr="00D560B5">
        <w:rPr>
          <w:snapToGrid/>
        </w:rPr>
        <w:t xml:space="preserve">We remind applicants that, under the limited information procedures in effect for </w:t>
      </w:r>
      <w:r>
        <w:rPr>
          <w:snapToGrid/>
        </w:rPr>
        <w:t>the Stage 2 Competitive Process</w:t>
      </w:r>
      <w:r w:rsidRPr="00D560B5">
        <w:rPr>
          <w:snapToGrid/>
        </w:rPr>
        <w:t xml:space="preserve">, the Commission is withholding from public release, until after the close of </w:t>
      </w:r>
      <w:r>
        <w:rPr>
          <w:snapToGrid/>
        </w:rPr>
        <w:t>competing</w:t>
      </w:r>
      <w:r w:rsidRPr="00D560B5">
        <w:rPr>
          <w:snapToGrid/>
        </w:rPr>
        <w:t xml:space="preserve"> in </w:t>
      </w:r>
      <w:r>
        <w:rPr>
          <w:snapToGrid/>
        </w:rPr>
        <w:t>the Stage 2 Competitive Process</w:t>
      </w:r>
      <w:r w:rsidRPr="00D560B5">
        <w:rPr>
          <w:snapToGrid/>
        </w:rPr>
        <w:t xml:space="preserve">, any information that may indicate specific applicants’ interests in the </w:t>
      </w:r>
      <w:r>
        <w:rPr>
          <w:snapToGrid/>
        </w:rPr>
        <w:t>competition</w:t>
      </w:r>
      <w:r w:rsidRPr="0038667B">
        <w:t>—</w:t>
      </w:r>
      <w:r w:rsidRPr="00D560B5">
        <w:rPr>
          <w:snapToGrid/>
        </w:rPr>
        <w:t xml:space="preserve">including, among other things, </w:t>
      </w:r>
      <w:r>
        <w:rPr>
          <w:snapToGrid/>
        </w:rPr>
        <w:t xml:space="preserve">the performance and latency tiers that applicants have proposed, </w:t>
      </w:r>
      <w:r w:rsidRPr="00D560B5">
        <w:rPr>
          <w:snapToGrid/>
        </w:rPr>
        <w:t>operational information, letters of interest, and confidential financial information.</w:t>
      </w:r>
      <w:r>
        <w:rPr>
          <w:rStyle w:val="FootnoteReference"/>
          <w:snapToGrid/>
        </w:rPr>
        <w:footnoteReference w:id="33"/>
      </w:r>
      <w:r w:rsidRPr="00D560B5">
        <w:rPr>
          <w:snapToGrid/>
        </w:rPr>
        <w:t xml:space="preserve">  </w:t>
      </w:r>
      <w:r>
        <w:rPr>
          <w:snapToGrid/>
        </w:rPr>
        <w:t>Applicants should take care not to publicly disclose such information.</w:t>
      </w:r>
    </w:p>
    <w:p w:rsidR="00ED0ECD" w:rsidRPr="0038667B" w:rsidP="00ED0ECD" w14:paraId="5E84A257" w14:textId="77777777">
      <w:pPr>
        <w:pStyle w:val="ParaNum"/>
        <w:widowControl/>
      </w:pPr>
      <w:r w:rsidRPr="008435EE">
        <w:rPr>
          <w:b/>
          <w:bCs/>
        </w:rPr>
        <w:t>Submission of State 2 Competitive Process Related Filings</w:t>
      </w:r>
      <w:r>
        <w:t>.  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the Stage 2 Competitive Process</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w:t>
      </w:r>
      <w:hyperlink r:id="rId5" w:history="1">
        <w:r w:rsidRPr="00457C57">
          <w:rPr>
            <w:rStyle w:val="Hyperlink"/>
          </w:rPr>
          <w:t>ConnectAmerica@fcc.gov</w:t>
        </w:r>
      </w:hyperlink>
      <w:hyperlink r:id="rId6" w:history="1"/>
      <w:r>
        <w:t xml:space="preserve"> to </w:t>
      </w:r>
      <w:hyperlink r:id="rId7" w:history="1"/>
      <w:r w:rsidRPr="00CD253C">
        <w:t>the</w:t>
      </w:r>
      <w:r w:rsidRPr="007B3C50">
        <w:t xml:space="preserve"> attention of</w:t>
      </w:r>
      <w:r>
        <w:t xml:space="preserve"> the</w:t>
      </w:r>
      <w:r w:rsidRPr="003F143D">
        <w:rPr>
          <w:snapToGrid/>
          <w:kern w:val="0"/>
          <w:szCs w:val="22"/>
        </w:rPr>
        <w:t xml:space="preserve"> Chief of the Telecommunications Access Policy Division, Wireline Competition Bureau</w:t>
      </w:r>
      <w:r>
        <w:t>.</w:t>
      </w:r>
      <w:hyperlink r:id="rId6" w:history="1"/>
      <w:r w:rsidRPr="007B3C50">
        <w:t xml:space="preserve">  The Commission will not investigate any complaints or allegations that are not accompanied by full contact information, including name, address, and telephone number for the complaining party or parties</w:t>
      </w:r>
      <w:r>
        <w:t>.</w:t>
      </w:r>
      <w:bookmarkEnd w:id="4"/>
    </w:p>
    <w:p w:rsidR="00ED0ECD" w:rsidRPr="0038667B" w:rsidP="00ED0ECD" w14:paraId="2154C085" w14:textId="77777777">
      <w:pPr>
        <w:pStyle w:val="ParaNum"/>
        <w:keepNext/>
        <w:widowControl/>
      </w:pPr>
      <w:r w:rsidRPr="008435EE">
        <w:rPr>
          <w:b/>
          <w:bCs/>
        </w:rPr>
        <w:t>Contact Information</w:t>
      </w:r>
      <w:r>
        <w:t xml:space="preserve">.  </w:t>
      </w:r>
      <w:r w:rsidRPr="0038667B">
        <w:t xml:space="preserve">For further information concerning </w:t>
      </w:r>
      <w:r>
        <w:t>the Stage 2 Competitive Process</w:t>
      </w:r>
      <w:r w:rsidRPr="0038667B">
        <w:t xml:space="preserve">, </w:t>
      </w:r>
      <w:r w:rsidRPr="00657249">
        <w:t>contact</w:t>
      </w:r>
      <w:r w:rsidRPr="0038667B">
        <w:t xml:space="preserve">:  </w:t>
      </w:r>
    </w:p>
    <w:p w:rsidR="00ED0ECD" w:rsidRPr="0038667B" w:rsidP="00ED0ECD" w14:paraId="4B6A6AC8" w14:textId="77777777">
      <w:pPr>
        <w:widowControl/>
      </w:pPr>
    </w:p>
    <w:tbl>
      <w:tblPr>
        <w:tblW w:w="9828" w:type="dxa"/>
        <w:tblLayout w:type="fixed"/>
        <w:tblLook w:val="0000"/>
      </w:tblPr>
      <w:tblGrid>
        <w:gridCol w:w="4968"/>
        <w:gridCol w:w="4860"/>
      </w:tblGrid>
      <w:tr w14:paraId="75B0E6D4" w14:textId="77777777" w:rsidTr="00ED0ECD">
        <w:tblPrEx>
          <w:tblW w:w="9828" w:type="dxa"/>
          <w:tblLayout w:type="fixed"/>
          <w:tblLook w:val="0000"/>
        </w:tblPrEx>
        <w:trPr>
          <w:cantSplit/>
        </w:trPr>
        <w:tc>
          <w:tcPr>
            <w:tcW w:w="4968" w:type="dxa"/>
          </w:tcPr>
          <w:p w:rsidR="00ED0ECD" w:rsidP="00F25601" w14:paraId="4C8F6AE6" w14:textId="77777777">
            <w:pPr>
              <w:widowControl/>
              <w:rPr>
                <w:b/>
                <w:szCs w:val="22"/>
              </w:rPr>
            </w:pPr>
            <w:r>
              <w:rPr>
                <w:b/>
                <w:szCs w:val="22"/>
              </w:rPr>
              <w:t>FCC Email &amp; Webpages</w:t>
            </w:r>
          </w:p>
          <w:p w:rsidR="00ED0ECD" w:rsidP="00F25601" w14:paraId="3504D724" w14:textId="77777777">
            <w:pPr>
              <w:widowControl/>
              <w:rPr>
                <w:b/>
                <w:szCs w:val="22"/>
              </w:rPr>
            </w:pPr>
          </w:p>
        </w:tc>
        <w:tc>
          <w:tcPr>
            <w:tcW w:w="4860" w:type="dxa"/>
          </w:tcPr>
          <w:p w:rsidR="00ED0ECD" w:rsidP="00F25601" w14:paraId="15BE54E6" w14:textId="77777777">
            <w:pPr>
              <w:widowControl/>
            </w:pPr>
            <w:hyperlink r:id="rId5" w:history="1">
              <w:r w:rsidRPr="003E256E">
                <w:rPr>
                  <w:rStyle w:val="Hyperlink"/>
                </w:rPr>
                <w:t>ConnectAmerica@fcc.gov</w:t>
              </w:r>
            </w:hyperlink>
          </w:p>
          <w:p w:rsidR="00ED0ECD" w:rsidP="00F25601" w14:paraId="41CBC6B5" w14:textId="77777777">
            <w:pPr>
              <w:widowControl/>
              <w:rPr>
                <w:szCs w:val="22"/>
              </w:rPr>
            </w:pPr>
            <w:hyperlink r:id="rId8" w:history="1">
              <w:r>
                <w:rPr>
                  <w:rStyle w:val="Hyperlink"/>
                  <w:szCs w:val="22"/>
                </w:rPr>
                <w:t>http://www.fcc.gov</w:t>
              </w:r>
            </w:hyperlink>
          </w:p>
          <w:p w:rsidR="00ED0ECD" w:rsidP="00F25601" w14:paraId="4192EEB6" w14:textId="77777777">
            <w:pPr>
              <w:widowControl/>
              <w:rPr>
                <w:szCs w:val="22"/>
              </w:rPr>
            </w:pPr>
          </w:p>
          <w:p w:rsidR="00ED0ECD" w:rsidP="00F25601" w14:paraId="3CDC979B" w14:textId="77777777">
            <w:pPr>
              <w:widowControl/>
              <w:rPr>
                <w:b/>
                <w:szCs w:val="22"/>
              </w:rPr>
            </w:pPr>
          </w:p>
        </w:tc>
      </w:tr>
      <w:tr w14:paraId="3DF027CF" w14:textId="77777777" w:rsidTr="00ED0ECD">
        <w:tblPrEx>
          <w:tblW w:w="9828" w:type="dxa"/>
          <w:tblLayout w:type="fixed"/>
          <w:tblLook w:val="0000"/>
        </w:tblPrEx>
        <w:trPr>
          <w:cantSplit/>
          <w:trHeight w:val="1267"/>
        </w:trPr>
        <w:tc>
          <w:tcPr>
            <w:tcW w:w="4968" w:type="dxa"/>
          </w:tcPr>
          <w:p w:rsidR="00ED0ECD" w:rsidP="00F25601" w14:paraId="1E9444D6" w14:textId="77777777">
            <w:pPr>
              <w:widowControl/>
              <w:rPr>
                <w:b/>
                <w:szCs w:val="22"/>
              </w:rPr>
            </w:pPr>
            <w:r>
              <w:rPr>
                <w:b/>
                <w:szCs w:val="22"/>
              </w:rPr>
              <w:t xml:space="preserve">General </w:t>
            </w:r>
            <w:r>
              <w:rPr>
                <w:b/>
                <w:szCs w:val="22"/>
              </w:rPr>
              <w:t>Uniendo</w:t>
            </w:r>
            <w:r>
              <w:rPr>
                <w:b/>
                <w:szCs w:val="22"/>
              </w:rPr>
              <w:t xml:space="preserve"> a Puerto Rico Fund and Connect USVI Fund Questions</w:t>
            </w:r>
          </w:p>
          <w:p w:rsidR="00ED0ECD" w:rsidP="00F25601" w14:paraId="392175EC" w14:textId="77777777">
            <w:pPr>
              <w:widowControl/>
              <w:rPr>
                <w:b/>
                <w:i/>
                <w:szCs w:val="22"/>
                <w:highlight w:val="yellow"/>
              </w:rPr>
            </w:pPr>
          </w:p>
        </w:tc>
        <w:tc>
          <w:tcPr>
            <w:tcW w:w="4860" w:type="dxa"/>
          </w:tcPr>
          <w:p w:rsidR="00ED0ECD" w:rsidP="00F25601" w14:paraId="53B5B0B4" w14:textId="77777777">
            <w:pPr>
              <w:widowControl/>
              <w:rPr>
                <w:szCs w:val="22"/>
              </w:rPr>
            </w:pPr>
            <w:r>
              <w:rPr>
                <w:b/>
                <w:szCs w:val="22"/>
              </w:rPr>
              <w:t>Wireline Competition Bureau</w:t>
            </w:r>
          </w:p>
          <w:p w:rsidR="00ED0ECD" w:rsidP="00F25601" w14:paraId="7C48DEA6" w14:textId="77777777">
            <w:pPr>
              <w:widowControl/>
              <w:rPr>
                <w:b/>
                <w:szCs w:val="22"/>
              </w:rPr>
            </w:pPr>
            <w:r>
              <w:rPr>
                <w:b/>
                <w:szCs w:val="22"/>
              </w:rPr>
              <w:t>Telecommunications Access Policy Division</w:t>
            </w:r>
          </w:p>
          <w:p w:rsidR="00ED0ECD" w:rsidP="00F25601" w14:paraId="129290C6" w14:textId="77777777">
            <w:pPr>
              <w:widowControl/>
              <w:rPr>
                <w:szCs w:val="22"/>
              </w:rPr>
            </w:pPr>
            <w:r>
              <w:rPr>
                <w:szCs w:val="22"/>
              </w:rPr>
              <w:t>Alex Minard</w:t>
            </w:r>
          </w:p>
          <w:p w:rsidR="00ED0ECD" w:rsidP="00F25601" w14:paraId="1BC8C92F" w14:textId="77777777">
            <w:pPr>
              <w:widowControl/>
              <w:rPr>
                <w:szCs w:val="22"/>
              </w:rPr>
            </w:pPr>
            <w:r>
              <w:rPr>
                <w:szCs w:val="22"/>
              </w:rPr>
              <w:t>Dangkhoa Nguyen</w:t>
            </w:r>
          </w:p>
          <w:p w:rsidR="00ED0ECD" w:rsidP="00F25601" w14:paraId="00DACDF8" w14:textId="77777777">
            <w:pPr>
              <w:widowControl/>
              <w:rPr>
                <w:szCs w:val="22"/>
              </w:rPr>
            </w:pPr>
            <w:r>
              <w:rPr>
                <w:szCs w:val="22"/>
              </w:rPr>
              <w:t>Rebekah Douglas</w:t>
            </w:r>
          </w:p>
          <w:p w:rsidR="00ED0ECD" w:rsidP="00F25601" w14:paraId="651C57EB" w14:textId="77777777">
            <w:pPr>
              <w:widowControl/>
              <w:rPr>
                <w:szCs w:val="22"/>
              </w:rPr>
            </w:pPr>
            <w:r>
              <w:rPr>
                <w:szCs w:val="22"/>
              </w:rPr>
              <w:t>Christian Hoefly</w:t>
            </w:r>
          </w:p>
          <w:p w:rsidR="00ED0ECD" w:rsidP="00F25601" w14:paraId="0B65AE63" w14:textId="77777777">
            <w:pPr>
              <w:widowControl/>
              <w:rPr>
                <w:szCs w:val="22"/>
              </w:rPr>
            </w:pPr>
            <w:r>
              <w:rPr>
                <w:szCs w:val="22"/>
              </w:rPr>
              <w:t>Theodore Burmeister</w:t>
            </w:r>
          </w:p>
          <w:p w:rsidR="00ED0ECD" w:rsidP="00F25601" w14:paraId="56DFCD00" w14:textId="77777777">
            <w:pPr>
              <w:widowControl/>
              <w:rPr>
                <w:szCs w:val="22"/>
              </w:rPr>
            </w:pPr>
            <w:r>
              <w:rPr>
                <w:szCs w:val="22"/>
              </w:rPr>
              <w:t>(202) 418-7400</w:t>
            </w:r>
          </w:p>
          <w:p w:rsidR="00ED0ECD" w:rsidP="00F25601" w14:paraId="62C86C50" w14:textId="77777777">
            <w:pPr>
              <w:widowControl/>
              <w:rPr>
                <w:szCs w:val="22"/>
                <w:highlight w:val="yellow"/>
              </w:rPr>
            </w:pPr>
          </w:p>
        </w:tc>
      </w:tr>
      <w:tr w14:paraId="7A99663C" w14:textId="77777777" w:rsidTr="00ED0ECD">
        <w:tblPrEx>
          <w:tblW w:w="9828" w:type="dxa"/>
          <w:tblLayout w:type="fixed"/>
          <w:tblLook w:val="0000"/>
        </w:tblPrEx>
        <w:trPr>
          <w:cantSplit/>
          <w:trHeight w:val="350"/>
        </w:trPr>
        <w:tc>
          <w:tcPr>
            <w:tcW w:w="4968" w:type="dxa"/>
          </w:tcPr>
          <w:p w:rsidR="00ED0ECD" w:rsidP="00F25601" w14:paraId="4133F582" w14:textId="77777777">
            <w:pPr>
              <w:widowControl/>
              <w:rPr>
                <w:b/>
                <w:szCs w:val="22"/>
              </w:rPr>
            </w:pPr>
            <w:r>
              <w:rPr>
                <w:b/>
                <w:szCs w:val="22"/>
              </w:rPr>
              <w:t>Press Information</w:t>
            </w:r>
          </w:p>
        </w:tc>
        <w:tc>
          <w:tcPr>
            <w:tcW w:w="4860" w:type="dxa"/>
          </w:tcPr>
          <w:p w:rsidR="00ED0ECD" w:rsidP="00F25601" w14:paraId="015E56BE" w14:textId="77777777">
            <w:pPr>
              <w:widowControl/>
              <w:rPr>
                <w:szCs w:val="22"/>
              </w:rPr>
            </w:pPr>
            <w:r>
              <w:rPr>
                <w:szCs w:val="22"/>
              </w:rPr>
              <w:t>Office of Media Relations, (202) 418-0500</w:t>
            </w:r>
          </w:p>
          <w:p w:rsidR="00ED0ECD" w:rsidP="00F25601" w14:paraId="1B327AB0" w14:textId="77777777">
            <w:pPr>
              <w:widowControl/>
              <w:rPr>
                <w:szCs w:val="22"/>
              </w:rPr>
            </w:pPr>
          </w:p>
        </w:tc>
      </w:tr>
      <w:tr w14:paraId="36AD2B8E" w14:textId="77777777" w:rsidTr="00ED0ECD">
        <w:tblPrEx>
          <w:tblW w:w="9828" w:type="dxa"/>
          <w:tblLayout w:type="fixed"/>
          <w:tblLook w:val="0000"/>
        </w:tblPrEx>
        <w:trPr>
          <w:cantSplit/>
          <w:trHeight w:val="980"/>
        </w:trPr>
        <w:tc>
          <w:tcPr>
            <w:tcW w:w="4968" w:type="dxa"/>
          </w:tcPr>
          <w:p w:rsidR="00ED0ECD" w:rsidP="00F25601" w14:paraId="69F40F42" w14:textId="77777777">
            <w:pPr>
              <w:widowControl/>
              <w:rPr>
                <w:b/>
                <w:szCs w:val="22"/>
              </w:rPr>
            </w:pPr>
            <w:r>
              <w:rPr>
                <w:b/>
                <w:szCs w:val="22"/>
              </w:rPr>
              <w:t>FCC Forms</w:t>
            </w:r>
          </w:p>
        </w:tc>
        <w:tc>
          <w:tcPr>
            <w:tcW w:w="4860" w:type="dxa"/>
          </w:tcPr>
          <w:p w:rsidR="00ED0ECD" w:rsidP="00F25601" w14:paraId="52FA3828" w14:textId="77777777">
            <w:pPr>
              <w:widowControl/>
              <w:rPr>
                <w:szCs w:val="22"/>
              </w:rPr>
            </w:pPr>
            <w:r>
              <w:rPr>
                <w:szCs w:val="22"/>
              </w:rPr>
              <w:t xml:space="preserve">(800) 418-3676 (outside Washington, DC) </w:t>
            </w:r>
          </w:p>
          <w:p w:rsidR="00ED0ECD" w:rsidP="00F25601" w14:paraId="644946EC" w14:textId="77777777">
            <w:pPr>
              <w:widowControl/>
              <w:rPr>
                <w:szCs w:val="22"/>
              </w:rPr>
            </w:pPr>
            <w:r>
              <w:rPr>
                <w:szCs w:val="22"/>
              </w:rPr>
              <w:t>(202) 418-3676 (in the Washington area)</w:t>
            </w:r>
          </w:p>
          <w:p w:rsidR="00ED0ECD" w:rsidP="00F25601" w14:paraId="6A32B741" w14:textId="77777777">
            <w:pPr>
              <w:widowControl/>
              <w:rPr>
                <w:szCs w:val="22"/>
              </w:rPr>
            </w:pPr>
            <w:hyperlink r:id="rId9" w:history="1">
              <w:r>
                <w:rPr>
                  <w:rStyle w:val="Hyperlink"/>
                  <w:szCs w:val="22"/>
                </w:rPr>
                <w:t>http://www.fcc.gov/formpage.html</w:t>
              </w:r>
            </w:hyperlink>
          </w:p>
        </w:tc>
      </w:tr>
      <w:tr w14:paraId="097E1AC9" w14:textId="77777777" w:rsidTr="00ED0ECD">
        <w:tblPrEx>
          <w:tblW w:w="9828" w:type="dxa"/>
          <w:tblLayout w:type="fixed"/>
          <w:tblLook w:val="0000"/>
        </w:tblPrEx>
        <w:trPr>
          <w:cantSplit/>
          <w:trHeight w:val="1106"/>
        </w:trPr>
        <w:tc>
          <w:tcPr>
            <w:tcW w:w="4968" w:type="dxa"/>
          </w:tcPr>
          <w:p w:rsidR="00ED0ECD" w:rsidP="00F25601" w14:paraId="2C6CB27D" w14:textId="77777777">
            <w:pPr>
              <w:widowControl/>
              <w:rPr>
                <w:b/>
                <w:szCs w:val="22"/>
              </w:rPr>
            </w:pPr>
            <w:r>
              <w:rPr>
                <w:b/>
                <w:szCs w:val="22"/>
              </w:rPr>
              <w:t>Accessible Formats</w:t>
            </w:r>
          </w:p>
          <w:p w:rsidR="00ED0ECD" w:rsidP="00F25601" w14:paraId="61083F53" w14:textId="77777777">
            <w:pPr>
              <w:widowControl/>
              <w:ind w:left="360"/>
              <w:rPr>
                <w:szCs w:val="22"/>
              </w:rPr>
            </w:pPr>
            <w:r>
              <w:rPr>
                <w:szCs w:val="22"/>
              </w:rPr>
              <w:t xml:space="preserve">Braille, large print, electronic files, or </w:t>
            </w:r>
          </w:p>
          <w:p w:rsidR="00ED0ECD" w:rsidP="00F25601" w14:paraId="14722BCC" w14:textId="77777777">
            <w:pPr>
              <w:widowControl/>
              <w:ind w:left="360"/>
              <w:rPr>
                <w:b/>
                <w:szCs w:val="22"/>
              </w:rPr>
            </w:pPr>
            <w:r>
              <w:rPr>
                <w:szCs w:val="22"/>
              </w:rPr>
              <w:t>audio format for people with disabilities</w:t>
            </w:r>
          </w:p>
        </w:tc>
        <w:tc>
          <w:tcPr>
            <w:tcW w:w="4860" w:type="dxa"/>
          </w:tcPr>
          <w:p w:rsidR="00ED0ECD" w:rsidP="00F25601" w14:paraId="7B06E003" w14:textId="77777777">
            <w:pPr>
              <w:widowControl/>
              <w:rPr>
                <w:b/>
                <w:szCs w:val="22"/>
              </w:rPr>
            </w:pPr>
            <w:r>
              <w:rPr>
                <w:b/>
                <w:szCs w:val="22"/>
              </w:rPr>
              <w:t>Consumer and Governmental Affairs Bureau</w:t>
            </w:r>
          </w:p>
          <w:p w:rsidR="00ED0ECD" w:rsidP="00F25601" w14:paraId="51CCC80D" w14:textId="77777777">
            <w:pPr>
              <w:widowControl/>
              <w:rPr>
                <w:szCs w:val="22"/>
              </w:rPr>
            </w:pPr>
            <w:r>
              <w:rPr>
                <w:szCs w:val="22"/>
              </w:rPr>
              <w:t>(202) 418-0530 or (202) 418-0432 (TTY)</w:t>
            </w:r>
          </w:p>
          <w:p w:rsidR="00ED0ECD" w:rsidP="00F25601" w14:paraId="38238964" w14:textId="77777777">
            <w:pPr>
              <w:widowControl/>
              <w:rPr>
                <w:szCs w:val="22"/>
              </w:rPr>
            </w:pPr>
            <w:hyperlink r:id="rId10" w:history="1">
              <w:r>
                <w:rPr>
                  <w:rStyle w:val="Hyperlink"/>
                  <w:szCs w:val="22"/>
                </w:rPr>
                <w:t>fcc504@fcc.gov</w:t>
              </w:r>
            </w:hyperlink>
          </w:p>
          <w:p w:rsidR="00ED0ECD" w:rsidP="00F25601" w14:paraId="465AA608" w14:textId="77777777">
            <w:pPr>
              <w:widowControl/>
              <w:rPr>
                <w:szCs w:val="22"/>
              </w:rPr>
            </w:pPr>
          </w:p>
          <w:p w:rsidR="00ED0ECD" w:rsidP="00F25601" w14:paraId="1EA05F8B" w14:textId="77777777">
            <w:pPr>
              <w:widowControl/>
              <w:rPr>
                <w:b/>
                <w:szCs w:val="22"/>
              </w:rPr>
            </w:pPr>
          </w:p>
        </w:tc>
      </w:tr>
      <w:tr w14:paraId="524CCAC5" w14:textId="77777777" w:rsidTr="00ED0ECD">
        <w:tblPrEx>
          <w:tblW w:w="9828" w:type="dxa"/>
          <w:tblLayout w:type="fixed"/>
          <w:tblLook w:val="0000"/>
        </w:tblPrEx>
        <w:trPr>
          <w:cantSplit/>
          <w:trHeight w:val="1106"/>
        </w:trPr>
        <w:tc>
          <w:tcPr>
            <w:tcW w:w="4968" w:type="dxa"/>
          </w:tcPr>
          <w:p w:rsidR="00ED0ECD" w:rsidP="00F25601" w14:paraId="45D648D7" w14:textId="77777777">
            <w:pPr>
              <w:widowControl/>
              <w:autoSpaceDE w:val="0"/>
              <w:autoSpaceDN w:val="0"/>
              <w:adjustRightInd w:val="0"/>
              <w:rPr>
                <w:b/>
                <w:bCs/>
                <w:snapToGrid/>
                <w:szCs w:val="22"/>
              </w:rPr>
            </w:pPr>
            <w:r>
              <w:rPr>
                <w:b/>
                <w:bCs/>
                <w:snapToGrid/>
                <w:szCs w:val="22"/>
              </w:rPr>
              <w:t>Small Businesses</w:t>
            </w:r>
          </w:p>
          <w:p w:rsidR="00ED0ECD" w:rsidP="00F25601" w14:paraId="48B5464F" w14:textId="77777777">
            <w:pPr>
              <w:widowControl/>
              <w:autoSpaceDE w:val="0"/>
              <w:autoSpaceDN w:val="0"/>
              <w:adjustRightInd w:val="0"/>
              <w:ind w:left="360"/>
              <w:rPr>
                <w:snapToGrid/>
                <w:szCs w:val="22"/>
              </w:rPr>
            </w:pPr>
            <w:r>
              <w:rPr>
                <w:snapToGrid/>
                <w:szCs w:val="22"/>
              </w:rPr>
              <w:t>Additional information for small and disadvantaged businesses</w:t>
            </w:r>
          </w:p>
          <w:p w:rsidR="00ED0ECD" w:rsidP="00F25601" w14:paraId="6D57153F" w14:textId="77777777">
            <w:pPr>
              <w:widowControl/>
              <w:rPr>
                <w:b/>
                <w:szCs w:val="22"/>
              </w:rPr>
            </w:pPr>
          </w:p>
        </w:tc>
        <w:tc>
          <w:tcPr>
            <w:tcW w:w="4860" w:type="dxa"/>
          </w:tcPr>
          <w:p w:rsidR="00ED0ECD" w:rsidP="00F25601" w14:paraId="40D6F5D7" w14:textId="77777777">
            <w:pPr>
              <w:widowControl/>
              <w:autoSpaceDE w:val="0"/>
              <w:autoSpaceDN w:val="0"/>
              <w:adjustRightInd w:val="0"/>
              <w:rPr>
                <w:snapToGrid/>
                <w:szCs w:val="22"/>
              </w:rPr>
            </w:pPr>
            <w:r>
              <w:rPr>
                <w:b/>
                <w:bCs/>
                <w:snapToGrid/>
                <w:szCs w:val="22"/>
              </w:rPr>
              <w:t>Office of Communications Business Opportunities</w:t>
            </w:r>
          </w:p>
          <w:p w:rsidR="00ED0ECD" w:rsidP="00F25601" w14:paraId="11A21EF0" w14:textId="77777777">
            <w:pPr>
              <w:widowControl/>
              <w:autoSpaceDE w:val="0"/>
              <w:autoSpaceDN w:val="0"/>
              <w:adjustRightInd w:val="0"/>
              <w:rPr>
                <w:snapToGrid/>
                <w:szCs w:val="22"/>
              </w:rPr>
            </w:pPr>
            <w:r>
              <w:rPr>
                <w:snapToGrid/>
                <w:szCs w:val="22"/>
              </w:rPr>
              <w:t>(202) 418-0990</w:t>
            </w:r>
          </w:p>
          <w:p w:rsidR="00ED0ECD" w:rsidP="00F25601" w14:paraId="13898AE6" w14:textId="77777777">
            <w:pPr>
              <w:widowControl/>
              <w:autoSpaceDE w:val="0"/>
              <w:autoSpaceDN w:val="0"/>
              <w:adjustRightInd w:val="0"/>
              <w:rPr>
                <w:snapToGrid/>
                <w:szCs w:val="22"/>
              </w:rPr>
            </w:pPr>
            <w:hyperlink r:id="rId11" w:history="1">
              <w:r>
                <w:rPr>
                  <w:snapToGrid/>
                  <w:color w:val="0000FF"/>
                  <w:szCs w:val="22"/>
                  <w:u w:val="single"/>
                </w:rPr>
                <w:t>http://www.fcc.gov/ocbo/</w:t>
              </w:r>
            </w:hyperlink>
          </w:p>
          <w:p w:rsidR="00ED0ECD" w:rsidP="00F25601" w14:paraId="1EA24564" w14:textId="77777777">
            <w:pPr>
              <w:widowControl/>
              <w:rPr>
                <w:b/>
                <w:szCs w:val="22"/>
              </w:rPr>
            </w:pPr>
          </w:p>
        </w:tc>
      </w:tr>
    </w:tbl>
    <w:p w:rsidR="00ED0ECD" w:rsidRPr="00E7285F" w:rsidP="00ED0ECD" w14:paraId="670BBF4E" w14:textId="77777777">
      <w:pPr>
        <w:pStyle w:val="ParaNum"/>
        <w:widowControl/>
        <w:numPr>
          <w:ilvl w:val="0"/>
          <w:numId w:val="0"/>
        </w:numPr>
        <w:ind w:firstLine="720"/>
        <w:rPr>
          <w:szCs w:val="22"/>
        </w:rPr>
      </w:pPr>
    </w:p>
    <w:p w:rsidR="00ED0ECD" w:rsidRPr="0038667B" w:rsidP="00ED0ECD" w14:paraId="48B70813" w14:textId="77777777">
      <w:pPr>
        <w:pStyle w:val="ParaNum"/>
        <w:widowControl/>
        <w:rPr>
          <w:szCs w:val="22"/>
        </w:rPr>
      </w:pPr>
      <w:r w:rsidRPr="0038667B">
        <w:t xml:space="preserve">To request materials in accessible formats (Braille, large print, electronic files, audio format) for people with disabilities, send an email to </w:t>
      </w:r>
      <w:hyperlink r:id="rId10" w:history="1">
        <w:r w:rsidRPr="0038667B">
          <w:rPr>
            <w:rStyle w:val="Hyperlink"/>
          </w:rPr>
          <w:t>fcc504@fcc.gov</w:t>
        </w:r>
      </w:hyperlink>
      <w:r w:rsidRPr="0038667B">
        <w:t xml:space="preserve"> or call the Consumer and Governmental Affairs Bureau at (202) 418-0530 or (202) 418-0432 (TTY).</w:t>
      </w:r>
    </w:p>
    <w:p w:rsidR="00ED0ECD" w:rsidRPr="0038667B" w:rsidP="00ED0ECD" w14:paraId="30BD9A98" w14:textId="77777777">
      <w:pPr>
        <w:widowControl/>
        <w:suppressAutoHyphens/>
        <w:rPr>
          <w:szCs w:val="22"/>
        </w:rPr>
      </w:pPr>
    </w:p>
    <w:p w:rsidR="00ED0ECD" w:rsidRPr="00412FC5" w:rsidP="00ED0ECD" w14:paraId="74E07CF3" w14:textId="77777777">
      <w:pPr>
        <w:widowControl/>
        <w:suppressAutoHyphens/>
        <w:jc w:val="center"/>
      </w:pPr>
      <w:r w:rsidRPr="0038667B">
        <w:rPr>
          <w:b/>
        </w:rPr>
        <w:t>–FCC–</w:t>
      </w:r>
    </w:p>
    <w:p w:rsidR="00ED0ECD" w:rsidRPr="000C7C13" w:rsidP="00ED0ECD" w14:paraId="63267E45" w14:textId="77777777">
      <w:pPr>
        <w:pStyle w:val="ParaNum"/>
        <w:numPr>
          <w:ilvl w:val="0"/>
          <w:numId w:val="0"/>
        </w:numPr>
        <w:ind w:firstLine="720"/>
      </w:pPr>
    </w:p>
    <w:p w:rsidR="002215C8" w:rsidP="00D91E04" w14:paraId="6AD6AC37" w14:textId="77777777">
      <w:pPr>
        <w:rPr>
          <w:b/>
          <w:sz w:val="24"/>
          <w:szCs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4BE4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D788E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4F7B4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C02FD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3CC" w14:paraId="7CC134FE" w14:textId="77777777">
      <w:r>
        <w:separator/>
      </w:r>
    </w:p>
  </w:footnote>
  <w:footnote w:type="continuationSeparator" w:id="1">
    <w:p w:rsidR="00F473CC" w14:paraId="72BA6E4E" w14:textId="77777777">
      <w:pPr>
        <w:rPr>
          <w:sz w:val="20"/>
        </w:rPr>
      </w:pPr>
      <w:r>
        <w:rPr>
          <w:sz w:val="20"/>
        </w:rPr>
        <w:t xml:space="preserve">(Continued from previous page)  </w:t>
      </w:r>
      <w:r>
        <w:rPr>
          <w:sz w:val="20"/>
        </w:rPr>
        <w:separator/>
      </w:r>
    </w:p>
  </w:footnote>
  <w:footnote w:type="continuationNotice" w:id="2">
    <w:p w:rsidR="00F473CC" w:rsidP="00910F12" w14:paraId="658AFC91" w14:textId="77777777">
      <w:pPr>
        <w:jc w:val="right"/>
        <w:rPr>
          <w:sz w:val="20"/>
        </w:rPr>
      </w:pPr>
      <w:r>
        <w:rPr>
          <w:sz w:val="20"/>
        </w:rPr>
        <w:t>(continued….)</w:t>
      </w:r>
    </w:p>
  </w:footnote>
  <w:footnote w:id="3">
    <w:p w:rsidR="00ED0ECD" w:rsidRPr="00D95F8A" w:rsidP="00ED0ECD" w14:paraId="56C710FB" w14:textId="77777777">
      <w:pPr>
        <w:pStyle w:val="FootnoteText"/>
      </w:pPr>
      <w:r>
        <w:rPr>
          <w:rStyle w:val="FootnoteReference"/>
        </w:rPr>
        <w:footnoteRef/>
      </w:r>
      <w:r w:rsidRPr="00C37E87">
        <w:rPr>
          <w:i/>
          <w:iCs/>
        </w:rPr>
        <w:t xml:space="preserve"> </w:t>
      </w:r>
      <w:r>
        <w:rPr>
          <w:i/>
          <w:iCs/>
        </w:rPr>
        <w:t>Uniendo</w:t>
      </w:r>
      <w:r>
        <w:rPr>
          <w:i/>
          <w:iCs/>
        </w:rPr>
        <w:t xml:space="preserve"> a Puerto Rico Fund and Connect USVI Fund Notice and Filing Requirements and Other Procedures for Stage 2 Fixed Competitive Proposal Process</w:t>
      </w:r>
      <w:r>
        <w:t>, Public Notice, WC Docket Nos. 18-143, 10-90, 14-58, 35 FCC Rcd 218, 228, 251, paras. 29, 122 (Feb. 5, 2020) (</w:t>
      </w:r>
      <w:r w:rsidRPr="00C37E87">
        <w:rPr>
          <w:i/>
          <w:iCs/>
        </w:rPr>
        <w:t>Stage 2</w:t>
      </w:r>
      <w:r>
        <w:rPr>
          <w:i/>
          <w:iCs/>
        </w:rPr>
        <w:t xml:space="preserve"> Procedures Public Notice</w:t>
      </w:r>
      <w:r>
        <w:t>).</w:t>
      </w:r>
    </w:p>
  </w:footnote>
  <w:footnote w:id="4">
    <w:p w:rsidR="00ED0ECD" w:rsidP="00ED0ECD" w14:paraId="2DE346F3" w14:textId="77777777">
      <w:pPr>
        <w:pStyle w:val="FootnoteText"/>
      </w:pPr>
      <w:r>
        <w:rPr>
          <w:rStyle w:val="FootnoteReference"/>
        </w:rPr>
        <w:footnoteRef/>
      </w:r>
      <w:r>
        <w:t xml:space="preserve"> </w:t>
      </w:r>
      <w:r w:rsidRPr="005E482A">
        <w:rPr>
          <w:i/>
          <w:iCs/>
        </w:rPr>
        <w:t xml:space="preserve">Wireline Competition Bureau Announces Application Window for Stage 2 of the </w:t>
      </w:r>
      <w:r w:rsidRPr="005E482A">
        <w:rPr>
          <w:i/>
          <w:iCs/>
        </w:rPr>
        <w:t>Uniendo</w:t>
      </w:r>
      <w:r w:rsidRPr="005E482A">
        <w:rPr>
          <w:i/>
          <w:iCs/>
        </w:rPr>
        <w:t xml:space="preserve"> a Puerto Rico Fund and Connect USVI Fund</w:t>
      </w:r>
      <w:r>
        <w:t>, Public Notice, WC Docket Nos. 18-143, 10-90, DA 20-844 (Aug. 6, 2020) (</w:t>
      </w:r>
      <w:r w:rsidRPr="005E482A">
        <w:rPr>
          <w:i/>
          <w:iCs/>
        </w:rPr>
        <w:t>Stage 2 Application Window P</w:t>
      </w:r>
      <w:r>
        <w:rPr>
          <w:i/>
          <w:iCs/>
        </w:rPr>
        <w:t xml:space="preserve">ublic </w:t>
      </w:r>
      <w:r w:rsidRPr="005E482A">
        <w:rPr>
          <w:i/>
          <w:iCs/>
        </w:rPr>
        <w:t>N</w:t>
      </w:r>
      <w:r>
        <w:rPr>
          <w:i/>
          <w:iCs/>
        </w:rPr>
        <w:t>otice</w:t>
      </w:r>
      <w:r>
        <w:t>).</w:t>
      </w:r>
    </w:p>
  </w:footnote>
  <w:footnote w:id="5">
    <w:p w:rsidR="00ED0ECD" w:rsidRPr="009E21DB" w:rsidP="00ED0ECD" w14:paraId="0325A2FC" w14:textId="77777777">
      <w:pPr>
        <w:pStyle w:val="FootnoteText"/>
      </w:pPr>
      <w:r>
        <w:rPr>
          <w:rStyle w:val="FootnoteReference"/>
        </w:rPr>
        <w:footnoteRef/>
      </w:r>
      <w:r>
        <w:t xml:space="preserve"> </w:t>
      </w:r>
      <w:r w:rsidRPr="009E21DB">
        <w:rPr>
          <w:i/>
          <w:iCs/>
        </w:rPr>
        <w:t>See</w:t>
      </w:r>
      <w:r>
        <w:t xml:space="preserve"> </w:t>
      </w:r>
      <w:r w:rsidRPr="00C37E87">
        <w:rPr>
          <w:i/>
          <w:iCs/>
        </w:rPr>
        <w:t>Stage 2 Competition</w:t>
      </w:r>
      <w:r>
        <w:rPr>
          <w:i/>
          <w:iCs/>
        </w:rPr>
        <w:t xml:space="preserve"> Procedures PN</w:t>
      </w:r>
      <w:r>
        <w:t>, 35 FCC Rcd at paras. 225-251 (Section II. Applying to Compete in the Stage 2 Competition).</w:t>
      </w:r>
    </w:p>
  </w:footnote>
  <w:footnote w:id="6">
    <w:p w:rsidR="00ED0ECD" w:rsidP="00ED0ECD" w14:paraId="55EA54B1" w14:textId="77777777">
      <w:pPr>
        <w:pStyle w:val="FootnoteText"/>
      </w:pPr>
      <w:r>
        <w:rPr>
          <w:rStyle w:val="FootnoteReference"/>
        </w:rPr>
        <w:footnoteRef/>
      </w:r>
      <w:r>
        <w:t xml:space="preserve"> </w:t>
      </w:r>
      <w:r w:rsidRPr="009E21DB">
        <w:rPr>
          <w:i/>
          <w:iCs/>
        </w:rPr>
        <w:t>See</w:t>
      </w:r>
      <w:r>
        <w:t xml:space="preserve"> </w:t>
      </w:r>
      <w:r>
        <w:rPr>
          <w:i/>
          <w:iCs/>
        </w:rPr>
        <w:t>id.</w:t>
      </w:r>
      <w:r>
        <w:t xml:space="preserve"> at 228, 251, paras. 29, 121.</w:t>
      </w:r>
    </w:p>
  </w:footnote>
  <w:footnote w:id="7">
    <w:p w:rsidR="00ED0ECD" w:rsidP="00ED0ECD" w14:paraId="19BFFE85" w14:textId="77777777">
      <w:pPr>
        <w:pStyle w:val="FootnoteText"/>
      </w:pPr>
      <w:r>
        <w:rPr>
          <w:rStyle w:val="FootnoteReference"/>
        </w:rPr>
        <w:footnoteRef/>
      </w:r>
      <w:r>
        <w:t xml:space="preserve"> Although Blackburn Technologies II, LLC (Blackburn) </w:t>
      </w:r>
      <w:r>
        <w:t>submitted an application</w:t>
      </w:r>
      <w:r>
        <w:t>, it has been found to be ineligible for the Stage 2 Competitive Process.</w:t>
      </w:r>
      <w:r w:rsidRPr="0014726C">
        <w:t xml:space="preserve"> </w:t>
      </w:r>
      <w:r>
        <w:t xml:space="preserve"> Blackburn has a pending petition for reconsideration of the decision.  Petition for Reconsideration of Blackburn Technologies II LLC, WC Docket No. 18-143 (filed Aug. 26, 2020).  By filing an application, Blackburn is still subject to the same prohibition against certain communications as other applicants, as explained below.</w:t>
      </w:r>
    </w:p>
  </w:footnote>
  <w:footnote w:id="8">
    <w:p w:rsidR="00ED0ECD" w:rsidRPr="007B34F3" w:rsidP="00ED0ECD" w14:paraId="7593F43A" w14:textId="77777777">
      <w:pPr>
        <w:pStyle w:val="FootnoteText"/>
        <w:widowControl w:val="0"/>
      </w:pPr>
      <w:r w:rsidRPr="00F00D0B">
        <w:rPr>
          <w:rStyle w:val="FootnoteReference"/>
          <w:sz w:val="20"/>
        </w:rPr>
        <w:footnoteRef/>
      </w:r>
      <w:r w:rsidRPr="007B34F3">
        <w:t xml:space="preserve"> In no event, however, will the Commission send </w:t>
      </w:r>
      <w:r>
        <w:t>application</w:t>
      </w:r>
      <w:r w:rsidRPr="007B34F3">
        <w:t xml:space="preserve"> materials to anyone other than the contact person listed on the applicant’s FCC Form </w:t>
      </w:r>
      <w:r>
        <w:t>5634</w:t>
      </w:r>
      <w:r w:rsidRPr="007B34F3">
        <w:t xml:space="preserve"> or respond to a request for materials from anyone other than the authorized </w:t>
      </w:r>
      <w:r>
        <w:t>applicant</w:t>
      </w:r>
      <w:r w:rsidRPr="007B34F3">
        <w:t>, contact person, or certifying official listed on the applicant’s Form</w:t>
      </w:r>
      <w:r>
        <w:t> 5634</w:t>
      </w:r>
      <w:r w:rsidRPr="007B34F3">
        <w:t>.</w:t>
      </w:r>
      <w:r>
        <w:t xml:space="preserve">  </w:t>
      </w:r>
      <w:r w:rsidRPr="00FD0777">
        <w:rPr>
          <w:i/>
          <w:iCs/>
        </w:rPr>
        <w:t>See</w:t>
      </w:r>
      <w:r>
        <w:t xml:space="preserve"> </w:t>
      </w:r>
      <w:r>
        <w:rPr>
          <w:i/>
          <w:iCs/>
        </w:rPr>
        <w:t>Stage 2 Procedures Public Notice</w:t>
      </w:r>
      <w:r>
        <w:t xml:space="preserve">, 35 FCC Rcd at 241-43, paras. 82-86 (Section </w:t>
      </w:r>
      <w:r>
        <w:t>II.D</w:t>
      </w:r>
      <w:r>
        <w:t>. Procedures for Limited Disclosure of Application Information).</w:t>
      </w:r>
    </w:p>
  </w:footnote>
  <w:footnote w:id="9">
    <w:p w:rsidR="00ED0ECD" w:rsidP="00ED0ECD" w14:paraId="480D52F3" w14:textId="77777777">
      <w:pPr>
        <w:pStyle w:val="FootnoteText"/>
      </w:pPr>
      <w:r w:rsidRPr="001B3916">
        <w:rPr>
          <w:rStyle w:val="FootnoteReference"/>
          <w:sz w:val="20"/>
        </w:rPr>
        <w:footnoteRef/>
      </w:r>
      <w:r>
        <w:t xml:space="preserve"> </w:t>
      </w:r>
      <w:r w:rsidRPr="009E21DB">
        <w:rPr>
          <w:i/>
          <w:iCs/>
        </w:rPr>
        <w:t>See</w:t>
      </w:r>
      <w:r>
        <w:t xml:space="preserve"> </w:t>
      </w:r>
      <w:r>
        <w:rPr>
          <w:i/>
          <w:iCs/>
        </w:rPr>
        <w:t>id.</w:t>
      </w:r>
      <w:r>
        <w:t xml:space="preserve"> at 229-30, paras. 35-37.</w:t>
      </w:r>
    </w:p>
  </w:footnote>
  <w:footnote w:id="10">
    <w:p w:rsidR="00ED0ECD" w:rsidP="00ED0ECD" w14:paraId="4234141C" w14:textId="77777777">
      <w:pPr>
        <w:pStyle w:val="FootnoteText"/>
      </w:pPr>
      <w:r w:rsidRPr="002F30A4">
        <w:rPr>
          <w:rStyle w:val="FootnoteReference"/>
          <w:sz w:val="20"/>
        </w:rPr>
        <w:footnoteRef/>
      </w:r>
      <w:r w:rsidRPr="00B83E78">
        <w:t xml:space="preserve"> </w:t>
      </w:r>
      <w:r>
        <w:rPr>
          <w:i/>
          <w:iCs/>
        </w:rPr>
        <w:t>Id</w:t>
      </w:r>
      <w:r>
        <w:t>.</w:t>
      </w:r>
    </w:p>
  </w:footnote>
  <w:footnote w:id="11">
    <w:p w:rsidR="00ED0ECD" w:rsidRPr="001109A9" w:rsidP="00ED0ECD" w14:paraId="62F45C39" w14:textId="77777777">
      <w:pPr>
        <w:pStyle w:val="FootnoteText"/>
      </w:pPr>
      <w:r w:rsidRPr="00F00D0B">
        <w:rPr>
          <w:rStyle w:val="FootnoteReference"/>
          <w:sz w:val="20"/>
        </w:rPr>
        <w:footnoteRef/>
      </w:r>
      <w:r w:rsidRPr="007B34F3">
        <w:t xml:space="preserve"> </w:t>
      </w:r>
      <w:r w:rsidRPr="00B83E78">
        <w:rPr>
          <w:i/>
          <w:iCs/>
        </w:rPr>
        <w:t>S</w:t>
      </w:r>
      <w:r w:rsidRPr="00F13FBC">
        <w:rPr>
          <w:i/>
          <w:iCs/>
        </w:rPr>
        <w:t>ee</w:t>
      </w:r>
      <w:r>
        <w:rPr>
          <w:i/>
          <w:iCs/>
        </w:rPr>
        <w:t xml:space="preserve"> </w:t>
      </w:r>
      <w:r>
        <w:t xml:space="preserve">47 CFR </w:t>
      </w:r>
      <w:r w:rsidRPr="007B34F3">
        <w:t>§</w:t>
      </w:r>
      <w:r>
        <w:t xml:space="preserve"> 1.21001(d)(4).</w:t>
      </w:r>
      <w:r>
        <w:rPr>
          <w:i/>
        </w:rPr>
        <w:t xml:space="preserve"> See also </w:t>
      </w:r>
      <w:r>
        <w:rPr>
          <w:i/>
          <w:iCs/>
        </w:rPr>
        <w:t>Stage 2 Procedures Public Notice</w:t>
      </w:r>
      <w:r>
        <w:t>, 35 FCC Rcd at 230, paras. 38-41.</w:t>
      </w:r>
    </w:p>
  </w:footnote>
  <w:footnote w:id="12">
    <w:p w:rsidR="00ED0ECD" w:rsidRPr="007B34F3" w:rsidP="00ED0ECD" w14:paraId="5382DFAE" w14:textId="77777777">
      <w:pPr>
        <w:pStyle w:val="FootnoteText"/>
      </w:pPr>
      <w:r w:rsidRPr="00F00D0B">
        <w:rPr>
          <w:rStyle w:val="FootnoteReference"/>
          <w:sz w:val="20"/>
        </w:rPr>
        <w:footnoteRef/>
      </w:r>
      <w:r w:rsidRPr="007B34F3">
        <w:t xml:space="preserve"> </w:t>
      </w:r>
      <w:r w:rsidRPr="009E21DB">
        <w:rPr>
          <w:i/>
          <w:iCs/>
        </w:rPr>
        <w:t>See</w:t>
      </w:r>
      <w:r>
        <w:t xml:space="preserve"> </w:t>
      </w:r>
      <w:r>
        <w:rPr>
          <w:i/>
          <w:iCs/>
        </w:rPr>
        <w:t>Stage 2 Procedures Public Notice</w:t>
      </w:r>
      <w:r>
        <w:t xml:space="preserve">, 35 FCC Rcd at 229-30, para. 37.  </w:t>
      </w:r>
      <w:r w:rsidRPr="007B34F3">
        <w:t>We remind any applicant that has a transaction pending before the Commission that any such transaction effecting an assignment or transfer of control</w:t>
      </w:r>
      <w:r>
        <w:t>,</w:t>
      </w:r>
      <w:r w:rsidRPr="007B34F3">
        <w:t xml:space="preserve"> if consummated, would, constitute a major amendment of the application and disqualify any affected applicant from participation in the bidding</w:t>
      </w:r>
      <w:r>
        <w:t xml:space="preserve">, </w:t>
      </w:r>
      <w:r w:rsidRPr="007B34F3">
        <w:t>absent a waiver of section 1.21001(d)(4) of the Commission’s rules.</w:t>
      </w:r>
    </w:p>
  </w:footnote>
  <w:footnote w:id="13">
    <w:p w:rsidR="00ED0ECD" w:rsidP="00ED0ECD" w14:paraId="5ECC0268" w14:textId="77777777">
      <w:pPr>
        <w:pStyle w:val="FootnoteText"/>
      </w:pPr>
      <w:r>
        <w:rPr>
          <w:rStyle w:val="FootnoteReference"/>
        </w:rPr>
        <w:footnoteRef/>
      </w:r>
      <w:r>
        <w:t xml:space="preserve"> </w:t>
      </w:r>
      <w:r w:rsidRPr="009E21DB">
        <w:rPr>
          <w:i/>
          <w:iCs/>
        </w:rPr>
        <w:t>See</w:t>
      </w:r>
      <w:r>
        <w:t xml:space="preserve"> </w:t>
      </w:r>
      <w:r>
        <w:rPr>
          <w:i/>
          <w:iCs/>
        </w:rPr>
        <w:t>id</w:t>
      </w:r>
      <w:r>
        <w:t>.</w:t>
      </w:r>
    </w:p>
  </w:footnote>
  <w:footnote w:id="14">
    <w:p w:rsidR="00ED0ECD" w:rsidRPr="001109A9" w:rsidP="00ED0ECD" w14:paraId="538534B5" w14:textId="77777777">
      <w:pPr>
        <w:pStyle w:val="FootnoteText"/>
      </w:pPr>
      <w:r w:rsidRPr="0081386D">
        <w:rPr>
          <w:rStyle w:val="FootnoteReference"/>
          <w:sz w:val="20"/>
        </w:rPr>
        <w:footnoteRef/>
      </w:r>
      <w:r w:rsidRPr="0081386D">
        <w:t xml:space="preserve"> </w:t>
      </w:r>
      <w:r w:rsidRPr="0081386D">
        <w:rPr>
          <w:i/>
        </w:rPr>
        <w:t xml:space="preserve">See </w:t>
      </w:r>
      <w:r>
        <w:rPr>
          <w:i/>
          <w:iCs/>
        </w:rPr>
        <w:t>Stage 2 Procedures Public Notice</w:t>
      </w:r>
      <w:r>
        <w:t>, 35 FCC Rcd</w:t>
      </w:r>
      <w:r w:rsidRPr="0081386D">
        <w:t xml:space="preserve"> at 228, 255-56, paras. 28, 136-39.</w:t>
      </w:r>
    </w:p>
  </w:footnote>
  <w:footnote w:id="15">
    <w:p w:rsidR="00ED0ECD" w:rsidRPr="007B34F3" w:rsidP="00ED0ECD" w14:paraId="3843F74B" w14:textId="77777777">
      <w:pPr>
        <w:pStyle w:val="FootnoteText"/>
      </w:pPr>
      <w:r w:rsidRPr="007B34F3">
        <w:rPr>
          <w:rStyle w:val="FootnoteReference"/>
          <w:sz w:val="20"/>
        </w:rPr>
        <w:footnoteRef/>
      </w:r>
      <w:r w:rsidRPr="007B34F3">
        <w:t xml:space="preserve"> </w:t>
      </w:r>
      <w:r w:rsidRPr="009113B3">
        <w:rPr>
          <w:i/>
          <w:iCs/>
        </w:rPr>
        <w:t>See</w:t>
      </w:r>
      <w:r>
        <w:t xml:space="preserve"> </w:t>
      </w:r>
      <w:r>
        <w:rPr>
          <w:i/>
          <w:iCs/>
        </w:rPr>
        <w:t>id.</w:t>
      </w:r>
      <w:r>
        <w:t xml:space="preserve"> at 230, paras. 38-41</w:t>
      </w:r>
      <w:r w:rsidRPr="007B34F3">
        <w:t>.</w:t>
      </w:r>
    </w:p>
  </w:footnote>
  <w:footnote w:id="16">
    <w:p w:rsidR="00ED0ECD" w:rsidRPr="007B34F3" w:rsidP="00ED0ECD" w14:paraId="2272D589" w14:textId="77777777">
      <w:pPr>
        <w:pStyle w:val="FootnoteText"/>
      </w:pPr>
      <w:r w:rsidRPr="007B34F3">
        <w:rPr>
          <w:rStyle w:val="FootnoteReference"/>
          <w:sz w:val="20"/>
        </w:rPr>
        <w:footnoteRef/>
      </w:r>
      <w:r>
        <w:t xml:space="preserve"> </w:t>
      </w:r>
      <w:r w:rsidRPr="009113B3">
        <w:rPr>
          <w:i/>
          <w:iCs/>
        </w:rPr>
        <w:t>See</w:t>
      </w:r>
      <w:r>
        <w:t xml:space="preserve"> </w:t>
      </w:r>
      <w:r>
        <w:rPr>
          <w:i/>
          <w:iCs/>
        </w:rPr>
        <w:t>id.</w:t>
      </w:r>
      <w:r>
        <w:t xml:space="preserve"> at 230, para. 38.</w:t>
      </w:r>
    </w:p>
  </w:footnote>
  <w:footnote w:id="17">
    <w:p w:rsidR="00ED0ECD" w:rsidRPr="007B34F3" w:rsidP="00ED0ECD" w14:paraId="2A76A1B7" w14:textId="77777777">
      <w:pPr>
        <w:pStyle w:val="FootnoteText"/>
      </w:pPr>
      <w:r w:rsidRPr="007B34F3">
        <w:rPr>
          <w:rStyle w:val="FootnoteReference"/>
          <w:sz w:val="20"/>
        </w:rPr>
        <w:footnoteRef/>
      </w:r>
      <w:r w:rsidRPr="007B34F3">
        <w:t xml:space="preserve"> </w:t>
      </w:r>
      <w:r>
        <w:rPr>
          <w:i/>
          <w:iCs/>
        </w:rPr>
        <w:t>Id.</w:t>
      </w:r>
      <w:r>
        <w:t xml:space="preserve"> at 243-50, paras. </w:t>
      </w:r>
      <w:r w:rsidRPr="00905D52">
        <w:t>87-114</w:t>
      </w:r>
      <w:r>
        <w:t xml:space="preserve"> (Section </w:t>
      </w:r>
      <w:r>
        <w:t>II.E</w:t>
      </w:r>
      <w:r>
        <w:t xml:space="preserve">. Prohibited Communication and Compliance with Antitrust Laws); </w:t>
      </w:r>
      <w:r w:rsidRPr="003901C5">
        <w:rPr>
          <w:i/>
          <w:iCs/>
        </w:rPr>
        <w:t>see</w:t>
      </w:r>
      <w:r>
        <w:t xml:space="preserve"> </w:t>
      </w:r>
      <w:r w:rsidRPr="007B34F3">
        <w:t>47 CFR § 1.21002</w:t>
      </w:r>
      <w:r>
        <w:t>.</w:t>
      </w:r>
    </w:p>
  </w:footnote>
  <w:footnote w:id="18">
    <w:p w:rsidR="00ED0ECD" w:rsidRPr="007B34F3" w:rsidP="00ED0ECD" w14:paraId="2426C51F" w14:textId="77777777">
      <w:pPr>
        <w:pStyle w:val="FootnoteText"/>
      </w:pPr>
      <w:r w:rsidRPr="007B34F3">
        <w:rPr>
          <w:rStyle w:val="FootnoteReference"/>
          <w:sz w:val="20"/>
        </w:rPr>
        <w:footnoteRef/>
      </w:r>
      <w:r w:rsidRPr="007B34F3">
        <w:t xml:space="preserve"> </w:t>
      </w:r>
      <w:r>
        <w:rPr>
          <w:i/>
          <w:iCs/>
        </w:rPr>
        <w:t>Id.</w:t>
      </w:r>
      <w:r>
        <w:t xml:space="preserve"> at 243, para. 87; </w:t>
      </w:r>
      <w:r w:rsidRPr="00520633">
        <w:rPr>
          <w:i/>
          <w:iCs/>
        </w:rPr>
        <w:t>see</w:t>
      </w:r>
      <w:r>
        <w:t xml:space="preserve"> </w:t>
      </w:r>
      <w:r>
        <w:rPr>
          <w:iCs/>
        </w:rPr>
        <w:t>47 CFR</w:t>
      </w:r>
      <w:r w:rsidRPr="007B34F3">
        <w:t xml:space="preserve"> § 1.21002.</w:t>
      </w:r>
    </w:p>
  </w:footnote>
  <w:footnote w:id="19">
    <w:p w:rsidR="00ED0ECD" w:rsidP="00ED0ECD" w14:paraId="7E64EF5B" w14:textId="77777777">
      <w:pPr>
        <w:pStyle w:val="FootnoteText"/>
      </w:pPr>
      <w:r>
        <w:rPr>
          <w:rStyle w:val="FootnoteReference"/>
        </w:rPr>
        <w:footnoteRef/>
      </w:r>
      <w:r>
        <w:t xml:space="preserve"> </w:t>
      </w:r>
      <w:r>
        <w:rPr>
          <w:i/>
          <w:iCs/>
        </w:rPr>
        <w:t>Stage 2 Procedures Public Notice</w:t>
      </w:r>
      <w:r>
        <w:t>, 35 FCC Rcd at 245, para. 93.</w:t>
      </w:r>
    </w:p>
  </w:footnote>
  <w:footnote w:id="20">
    <w:p w:rsidR="00ED0ECD" w:rsidRPr="001109A9" w:rsidP="00ED0ECD" w14:paraId="013F5FA3" w14:textId="77777777">
      <w:pPr>
        <w:pStyle w:val="FootnoteText"/>
      </w:pPr>
      <w:r w:rsidRPr="007B34F3">
        <w:rPr>
          <w:rStyle w:val="FootnoteReference"/>
          <w:sz w:val="20"/>
        </w:rPr>
        <w:footnoteRef/>
      </w:r>
      <w:r w:rsidRPr="007B34F3">
        <w:t xml:space="preserve"> </w:t>
      </w:r>
      <w:r>
        <w:rPr>
          <w:i/>
          <w:iCs/>
        </w:rPr>
        <w:t>Id.</w:t>
      </w:r>
      <w:r>
        <w:t xml:space="preserve"> at 244, para. 89.  </w:t>
      </w:r>
      <w:r w:rsidRPr="007B34F3">
        <w:t xml:space="preserve">A party that </w:t>
      </w:r>
      <w:r w:rsidRPr="007B34F3">
        <w:t>submits an application</w:t>
      </w:r>
      <w:r w:rsidRPr="007B34F3">
        <w:t xml:space="preserve"> becomes an “applicant” under the rule at the application filing deadline and that status does not change based on subsequent developments.  </w:t>
      </w:r>
      <w:r w:rsidRPr="007B34F3">
        <w:rPr>
          <w:i/>
        </w:rPr>
        <w:t>See</w:t>
      </w:r>
      <w:r w:rsidRPr="002F30A4">
        <w:rPr>
          <w:iCs/>
        </w:rPr>
        <w:t xml:space="preserve"> </w:t>
      </w:r>
      <w:r w:rsidRPr="00F13FBC">
        <w:rPr>
          <w:iCs/>
        </w:rPr>
        <w:t>47 CFR</w:t>
      </w:r>
      <w:r>
        <w:rPr>
          <w:i/>
        </w:rPr>
        <w:t xml:space="preserve"> </w:t>
      </w:r>
      <w:r w:rsidRPr="007B34F3">
        <w:t>§</w:t>
      </w:r>
      <w:r>
        <w:t xml:space="preserve"> 1.21001(a). </w:t>
      </w:r>
    </w:p>
  </w:footnote>
  <w:footnote w:id="21">
    <w:p w:rsidR="00ED0ECD" w:rsidRPr="007B34F3" w:rsidP="00ED0ECD" w14:paraId="7744A124" w14:textId="77777777">
      <w:pPr>
        <w:pStyle w:val="FootnoteText"/>
      </w:pPr>
      <w:r w:rsidRPr="00F00D0B">
        <w:rPr>
          <w:rStyle w:val="FootnoteReference"/>
          <w:sz w:val="20"/>
        </w:rPr>
        <w:footnoteRef/>
      </w:r>
      <w:r w:rsidRPr="007B34F3">
        <w:t xml:space="preserve"> </w:t>
      </w:r>
      <w:r>
        <w:rPr>
          <w:i/>
          <w:iCs/>
        </w:rPr>
        <w:t>Stage 2 Procedures Public Notice</w:t>
      </w:r>
      <w:r>
        <w:t xml:space="preserve">, 35 FCC Rcd at 244, para. 90; </w:t>
      </w:r>
      <w:r w:rsidRPr="007B34F3">
        <w:t>47 CFR § 1.21002(a).</w:t>
      </w:r>
    </w:p>
  </w:footnote>
  <w:footnote w:id="22">
    <w:p w:rsidR="00ED0ECD" w:rsidRPr="007B34F3" w:rsidP="00ED0ECD" w14:paraId="1EE6D360" w14:textId="77777777">
      <w:pPr>
        <w:pStyle w:val="FootnoteText"/>
      </w:pPr>
      <w:r w:rsidRPr="00F00D0B">
        <w:rPr>
          <w:rStyle w:val="FootnoteReference"/>
          <w:sz w:val="20"/>
        </w:rPr>
        <w:footnoteRef/>
      </w:r>
      <w:r w:rsidRPr="007B34F3">
        <w:t xml:space="preserve"> </w:t>
      </w:r>
      <w:r>
        <w:rPr>
          <w:i/>
          <w:iCs/>
        </w:rPr>
        <w:t>Id.</w:t>
      </w:r>
      <w:r>
        <w:t xml:space="preserve"> at 244-45, para. 91.</w:t>
      </w:r>
    </w:p>
  </w:footnote>
  <w:footnote w:id="23">
    <w:p w:rsidR="00ED0ECD" w:rsidRPr="002D1A93" w:rsidP="00ED0ECD" w14:paraId="1847BB1B" w14:textId="77777777">
      <w:pPr>
        <w:pStyle w:val="FootnoteText"/>
      </w:pPr>
      <w:r w:rsidRPr="00FB2E99">
        <w:rPr>
          <w:rStyle w:val="FootnoteReference"/>
          <w:sz w:val="20"/>
        </w:rPr>
        <w:footnoteRef/>
      </w:r>
      <w:r w:rsidRPr="002D1A93">
        <w:t xml:space="preserve"> </w:t>
      </w:r>
      <w:r>
        <w:rPr>
          <w:i/>
          <w:iCs/>
        </w:rPr>
        <w:t xml:space="preserve">Id.  </w:t>
      </w:r>
      <w:r w:rsidRPr="002D1A93">
        <w:t xml:space="preserve">The Commission has long warned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2D1A93">
        <w:rPr>
          <w:i/>
        </w:rPr>
        <w:t>See Wireless Telecommunications Bureau Responds to Questions About the Local Multipoint Distribution Service Auction</w:t>
      </w:r>
      <w:r w:rsidRPr="002D1A93">
        <w:t>, Public Notice, 13 FCC Rcd 341, 347-48 (</w:t>
      </w:r>
      <w:r w:rsidRPr="002D1A93">
        <w:t>WTB</w:t>
      </w:r>
      <w:r w:rsidRPr="002D1A93">
        <w:t xml:space="preserve"> 1998) (“Public statements can give rise to collusion concerns.  This has occurred in the antitrust context, where certain public statements can support other evidence which tends to indicate the existence of a conspiracy.”).</w:t>
      </w:r>
    </w:p>
  </w:footnote>
  <w:footnote w:id="24">
    <w:p w:rsidR="00ED0ECD" w:rsidRPr="007B34F3" w:rsidP="00ED0ECD" w14:paraId="12E1BB40" w14:textId="77777777">
      <w:pPr>
        <w:pStyle w:val="FootnoteText"/>
      </w:pPr>
      <w:r w:rsidRPr="00F00D0B">
        <w:rPr>
          <w:rStyle w:val="FootnoteReference"/>
          <w:sz w:val="20"/>
        </w:rPr>
        <w:footnoteRef/>
      </w:r>
      <w:r w:rsidRPr="007B34F3">
        <w:t xml:space="preserve"> </w:t>
      </w:r>
      <w:r>
        <w:rPr>
          <w:i/>
          <w:iCs/>
        </w:rPr>
        <w:t>Stage 2 Procedures Public Notice</w:t>
      </w:r>
      <w:r>
        <w:t xml:space="preserve">, 35 FCC Rcd at 244-45, para. 106; </w:t>
      </w:r>
      <w:r w:rsidRPr="007B34F3">
        <w:t>47 CFR § 1.21002(c</w:t>
      </w:r>
      <w:r>
        <w:t>).</w:t>
      </w:r>
    </w:p>
  </w:footnote>
  <w:footnote w:id="25">
    <w:p w:rsidR="00ED0ECD" w:rsidRPr="007B34F3" w:rsidP="00ED0ECD" w14:paraId="78D941D1" w14:textId="77777777">
      <w:pPr>
        <w:pStyle w:val="FootnoteText"/>
      </w:pPr>
      <w:r w:rsidRPr="00F00D0B">
        <w:rPr>
          <w:rStyle w:val="FootnoteReference"/>
          <w:sz w:val="20"/>
        </w:rPr>
        <w:footnoteRef/>
      </w:r>
      <w:r w:rsidRPr="007B34F3">
        <w:t xml:space="preserve"> </w:t>
      </w:r>
      <w:r w:rsidRPr="007B34F3">
        <w:rPr>
          <w:i/>
        </w:rPr>
        <w:t>Id</w:t>
      </w:r>
      <w:r w:rsidRPr="007B34F3">
        <w:t>.</w:t>
      </w:r>
    </w:p>
  </w:footnote>
  <w:footnote w:id="26">
    <w:p w:rsidR="00ED0ECD" w:rsidRPr="007B34F3" w:rsidP="00ED0ECD" w14:paraId="41BED846" w14:textId="77777777">
      <w:pPr>
        <w:pStyle w:val="FootnoteText"/>
      </w:pPr>
      <w:r w:rsidRPr="00F00D0B">
        <w:rPr>
          <w:rStyle w:val="FootnoteReference"/>
          <w:sz w:val="20"/>
        </w:rPr>
        <w:footnoteRef/>
      </w:r>
      <w:r w:rsidRPr="007B34F3">
        <w:t xml:space="preserve"> </w:t>
      </w:r>
      <w:r>
        <w:rPr>
          <w:i/>
          <w:iCs/>
        </w:rPr>
        <w:t>Id.</w:t>
      </w:r>
      <w:r>
        <w:t xml:space="preserve"> at 247-48, paras. 109-111.</w:t>
      </w:r>
      <w:r w:rsidRPr="007B34F3">
        <w:t xml:space="preserve"> </w:t>
      </w:r>
      <w:r>
        <w:t xml:space="preserve"> </w:t>
      </w:r>
      <w:r w:rsidRPr="007B34F3">
        <w:t xml:space="preserve">This process differs from filing procedures used in connection with other Commission rules and processes, which may call for submission of filings to the Commission’s Office of the Secretary or </w:t>
      </w:r>
      <w:r w:rsidRPr="007B34F3">
        <w:t>ECFS</w:t>
      </w:r>
      <w:r w:rsidRPr="007B34F3">
        <w:t xml:space="preserve">.  Filing through the Office of Secretary or </w:t>
      </w:r>
      <w:r w:rsidRPr="007B34F3">
        <w:t>ECFS</w:t>
      </w:r>
      <w:r w:rsidRPr="007B34F3">
        <w:t xml:space="preserve"> could allow the report to become publicly available and might result in the communication of prohibited information to other auction applicants.</w:t>
      </w:r>
    </w:p>
  </w:footnote>
  <w:footnote w:id="27">
    <w:p w:rsidR="00ED0ECD" w:rsidRPr="007B34F3" w:rsidP="00ED0ECD" w14:paraId="517BDE41" w14:textId="77777777">
      <w:pPr>
        <w:pStyle w:val="FootnoteText"/>
      </w:pPr>
      <w:r w:rsidRPr="00F00D0B">
        <w:rPr>
          <w:rStyle w:val="FootnoteReference"/>
          <w:sz w:val="20"/>
        </w:rPr>
        <w:footnoteRef/>
      </w:r>
      <w:r w:rsidRPr="007B34F3">
        <w:t xml:space="preserve"> </w:t>
      </w:r>
      <w:r>
        <w:rPr>
          <w:i/>
          <w:iCs/>
        </w:rPr>
        <w:t>Id.</w:t>
      </w:r>
      <w:r>
        <w:t xml:space="preserve"> at 248, para. 110.  </w:t>
      </w:r>
      <w:r w:rsidRPr="007B34F3">
        <w:t xml:space="preserve">A party reporting any prohibited communication must take care to ensure that any report of a prohibited communication does not itself give rise to a violation of </w:t>
      </w:r>
      <w:r>
        <w:t>the rule</w:t>
      </w:r>
      <w:r w:rsidRPr="007B34F3">
        <w:t xml:space="preserve">.  For example, a party’s report of a prohibited communication could violate the rule by communicating prohibited information to other applicants </w:t>
      </w:r>
      <w:r w:rsidRPr="007B34F3">
        <w:t>through the use of</w:t>
      </w:r>
      <w:r w:rsidRPr="007B34F3">
        <w:t xml:space="preserve"> Commission filing procedures that would allow such materials to be made available for public inspection.</w:t>
      </w:r>
    </w:p>
  </w:footnote>
  <w:footnote w:id="28">
    <w:p w:rsidR="00ED0ECD" w:rsidRPr="007B34F3" w:rsidP="00ED0ECD" w14:paraId="180A41E0" w14:textId="77777777">
      <w:pPr>
        <w:pStyle w:val="FootnoteText"/>
      </w:pPr>
      <w:r w:rsidRPr="00F00D0B">
        <w:rPr>
          <w:rStyle w:val="FootnoteReference"/>
          <w:sz w:val="20"/>
        </w:rPr>
        <w:footnoteRef/>
      </w:r>
      <w:r w:rsidRPr="007B34F3">
        <w:t xml:space="preserve"> </w:t>
      </w:r>
      <w:r>
        <w:rPr>
          <w:i/>
          <w:iCs/>
        </w:rPr>
        <w:t>Id</w:t>
      </w:r>
      <w:r>
        <w:t>.</w:t>
      </w:r>
    </w:p>
  </w:footnote>
  <w:footnote w:id="29">
    <w:p w:rsidR="00ED0ECD" w:rsidRPr="007B34F3" w:rsidP="00ED0ECD" w14:paraId="5C8DF52E" w14:textId="77777777">
      <w:pPr>
        <w:pStyle w:val="FootnoteText"/>
      </w:pPr>
      <w:r w:rsidRPr="00F00D0B">
        <w:rPr>
          <w:rStyle w:val="FootnoteReference"/>
          <w:sz w:val="20"/>
        </w:rPr>
        <w:footnoteRef/>
      </w:r>
      <w:r w:rsidRPr="007B34F3">
        <w:t xml:space="preserve"> </w:t>
      </w:r>
      <w:r>
        <w:rPr>
          <w:i/>
        </w:rPr>
        <w:t>Id.</w:t>
      </w:r>
      <w:r>
        <w:t xml:space="preserve"> at 248, para. 111; </w:t>
      </w:r>
      <w:r w:rsidRPr="007B34F3">
        <w:t xml:space="preserve">47 CFR § 0.459.  Filers requesting confidential treatment of documents must be sure that the cover page of the filing prominently displays </w:t>
      </w:r>
      <w:r>
        <w:t>the request for</w:t>
      </w:r>
      <w:r w:rsidRPr="007B34F3">
        <w:t xml:space="preserve"> confidential treatment.  For example, a filing might include a cover page stamped with “Request for Confidential Treatment Attached” or “Not for Public Inspection.”  Any such request must cover all the material to which the request applies.  </w:t>
      </w:r>
      <w:r w:rsidRPr="007B34F3">
        <w:rPr>
          <w:i/>
        </w:rPr>
        <w:t xml:space="preserve">See </w:t>
      </w:r>
      <w:r w:rsidRPr="00FC52C6">
        <w:rPr>
          <w:i/>
        </w:rPr>
        <w:t>id</w:t>
      </w:r>
      <w:r>
        <w:rPr>
          <w:iCs/>
        </w:rPr>
        <w:t>.</w:t>
      </w:r>
      <w:r w:rsidRPr="007B34F3">
        <w:t xml:space="preserve"> § 0.459(a).</w:t>
      </w:r>
    </w:p>
  </w:footnote>
  <w:footnote w:id="30">
    <w:p w:rsidR="00ED0ECD" w:rsidRPr="007B34F3" w:rsidP="00ED0ECD" w14:paraId="4D03D880" w14:textId="77777777">
      <w:pPr>
        <w:pStyle w:val="FootnoteText"/>
      </w:pPr>
      <w:r w:rsidRPr="007B34F3">
        <w:rPr>
          <w:rStyle w:val="FootnoteReference"/>
          <w:sz w:val="20"/>
        </w:rPr>
        <w:footnoteRef/>
      </w:r>
      <w:r w:rsidRPr="007B34F3">
        <w:rPr>
          <w:i/>
        </w:rPr>
        <w:t xml:space="preserve"> </w:t>
      </w:r>
      <w:r>
        <w:rPr>
          <w:i/>
          <w:iCs/>
        </w:rPr>
        <w:t>Stage 2 Procedures Public Notice</w:t>
      </w:r>
      <w:r>
        <w:t xml:space="preserve"> at 247, paras. 104-105; </w:t>
      </w:r>
      <w:r>
        <w:rPr>
          <w:i/>
        </w:rPr>
        <w:t>s</w:t>
      </w:r>
      <w:r w:rsidRPr="007B34F3">
        <w:rPr>
          <w:i/>
        </w:rPr>
        <w:t>ee</w:t>
      </w:r>
      <w:r w:rsidRPr="007B34F3">
        <w:t xml:space="preserve">, </w:t>
      </w:r>
      <w:r w:rsidRPr="007B34F3">
        <w:rPr>
          <w:i/>
        </w:rPr>
        <w:t>e</w:t>
      </w:r>
      <w:r w:rsidRPr="007B34F3">
        <w:t>.</w:t>
      </w:r>
      <w:r w:rsidRPr="007B34F3">
        <w:rPr>
          <w:i/>
        </w:rPr>
        <w:t>g</w:t>
      </w:r>
      <w:r w:rsidRPr="007B34F3">
        <w:t>.,</w:t>
      </w:r>
      <w:r>
        <w:rPr>
          <w:i/>
          <w:iCs/>
        </w:rPr>
        <w:t xml:space="preserve"> </w:t>
      </w:r>
      <w:r>
        <w:t>47 CFR</w:t>
      </w:r>
      <w:r w:rsidRPr="007B34F3">
        <w:t xml:space="preserve"> § 1.2109(d)</w:t>
      </w:r>
      <w:r>
        <w:t>.</w:t>
      </w:r>
    </w:p>
  </w:footnote>
  <w:footnote w:id="31">
    <w:p w:rsidR="00ED0ECD" w:rsidRPr="00336AA1" w:rsidP="00ED0ECD" w14:paraId="27958AD5" w14:textId="77777777">
      <w:pPr>
        <w:pStyle w:val="FootnoteText"/>
      </w:pPr>
      <w:r w:rsidRPr="007B34F3">
        <w:rPr>
          <w:rStyle w:val="FootnoteReference"/>
          <w:sz w:val="20"/>
        </w:rPr>
        <w:footnoteRef/>
      </w:r>
      <w:r w:rsidRPr="007B34F3">
        <w:rPr>
          <w:i/>
        </w:rPr>
        <w:t xml:space="preserve"> See</w:t>
      </w:r>
      <w:r>
        <w:t xml:space="preserve"> </w:t>
      </w:r>
      <w:r>
        <w:rPr>
          <w:i/>
          <w:iCs/>
        </w:rPr>
        <w:t>Stage 2 Procedures Public Notice</w:t>
      </w:r>
      <w:r>
        <w:t xml:space="preserve"> at 249, para. 114, n. 174.</w:t>
      </w:r>
    </w:p>
  </w:footnote>
  <w:footnote w:id="32">
    <w:p w:rsidR="00ED0ECD" w:rsidRPr="001109A9" w:rsidP="00ED0ECD" w14:paraId="2EFBC92C" w14:textId="77777777">
      <w:pPr>
        <w:pStyle w:val="FootnoteText"/>
      </w:pPr>
      <w:r w:rsidRPr="007B34F3">
        <w:rPr>
          <w:rStyle w:val="FootnoteReference"/>
          <w:sz w:val="20"/>
        </w:rPr>
        <w:footnoteRef/>
      </w:r>
      <w:r w:rsidRPr="007B34F3">
        <w:t xml:space="preserve"> </w:t>
      </w:r>
      <w:r>
        <w:rPr>
          <w:i/>
          <w:iCs/>
        </w:rPr>
        <w:t>Id.</w:t>
      </w:r>
      <w:r>
        <w:t xml:space="preserve"> at 250, para. 115.</w:t>
      </w:r>
    </w:p>
  </w:footnote>
  <w:footnote w:id="33">
    <w:p w:rsidR="00ED0ECD" w:rsidRPr="00336AA1" w:rsidP="00ED0ECD" w14:paraId="0C6174E1" w14:textId="77777777">
      <w:pPr>
        <w:pStyle w:val="FootnoteText"/>
      </w:pPr>
      <w:r w:rsidRPr="007B34F3">
        <w:rPr>
          <w:rStyle w:val="FootnoteReference"/>
          <w:sz w:val="20"/>
        </w:rPr>
        <w:footnoteRef/>
      </w:r>
      <w:r w:rsidRPr="007B34F3">
        <w:t xml:space="preserve"> </w:t>
      </w:r>
      <w:r w:rsidRPr="007B34F3">
        <w:rPr>
          <w:i/>
        </w:rPr>
        <w:t xml:space="preserve">See </w:t>
      </w:r>
      <w:r>
        <w:rPr>
          <w:i/>
          <w:iCs/>
        </w:rPr>
        <w:t>Stage 2 Procedures Public Notice</w:t>
      </w:r>
      <w:r>
        <w:t>, 35 FCC Rcd at 241-43, paras. 82-86.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CB2A439" w14:textId="6A5C946D">
    <w:pPr>
      <w:tabs>
        <w:tab w:val="center" w:pos="4680"/>
        <w:tab w:val="right" w:pos="9360"/>
      </w:tabs>
    </w:pPr>
    <w:r w:rsidRPr="009838BC">
      <w:rPr>
        <w:b/>
      </w:rPr>
      <w:tab/>
      <w:t>Federal Communications Commission</w:t>
    </w:r>
    <w:r w:rsidRPr="009838BC">
      <w:rPr>
        <w:b/>
      </w:rPr>
      <w:tab/>
    </w:r>
    <w:r w:rsidR="006D1658">
      <w:rPr>
        <w:b/>
      </w:rPr>
      <w:t>DA 20-1090</w:t>
    </w:r>
  </w:p>
  <w:p w:rsidR="009838BC" w:rsidRPr="009838BC" w:rsidP="009838BC" w14:paraId="7C530F6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9829D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AA0D2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25EAFD5" w14:textId="77777777">
                <w:pPr>
                  <w:rPr>
                    <w:rFonts w:ascii="Arial" w:hAnsi="Arial"/>
                    <w:b/>
                  </w:rPr>
                </w:pPr>
                <w:r>
                  <w:rPr>
                    <w:rFonts w:ascii="Arial" w:hAnsi="Arial"/>
                    <w:b/>
                  </w:rPr>
                  <w:t>Federal Communications Commission</w:t>
                </w:r>
              </w:p>
              <w:p w:rsidR="009838BC" w:rsidP="009838BC" w14:paraId="758C51E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32FB8E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3C7F27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7FA2368" w14:textId="77777777">
                <w:pPr>
                  <w:spacing w:before="40"/>
                  <w:jc w:val="right"/>
                  <w:rPr>
                    <w:rFonts w:ascii="Arial" w:hAnsi="Arial"/>
                    <w:b/>
                    <w:sz w:val="16"/>
                  </w:rPr>
                </w:pPr>
                <w:r>
                  <w:rPr>
                    <w:rFonts w:ascii="Arial" w:hAnsi="Arial"/>
                    <w:b/>
                    <w:sz w:val="16"/>
                  </w:rPr>
                  <w:t>News Media Information 202 / 418-0500</w:t>
                </w:r>
              </w:p>
              <w:p w:rsidR="009838BC" w:rsidP="009838BC" w14:paraId="222D055B"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4332CDB" w14:textId="77777777">
                <w:pPr>
                  <w:jc w:val="right"/>
                </w:pPr>
                <w:r>
                  <w:rPr>
                    <w:rFonts w:ascii="Arial" w:hAnsi="Arial"/>
                    <w:b/>
                    <w:sz w:val="16"/>
                  </w:rPr>
                  <w:t>TTY: 1-888-835-5322</w:t>
                </w:r>
              </w:p>
            </w:txbxContent>
          </v:textbox>
        </v:shape>
      </w:pict>
    </w:r>
  </w:p>
  <w:p w:rsidR="006F7393" w:rsidRPr="009838BC" w:rsidP="009838BC" w14:paraId="58AE139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C"/>
    <w:rsid w:val="000072CE"/>
    <w:rsid w:val="00010E50"/>
    <w:rsid w:val="00013A8B"/>
    <w:rsid w:val="0001639F"/>
    <w:rsid w:val="00021445"/>
    <w:rsid w:val="00036039"/>
    <w:rsid w:val="00037F90"/>
    <w:rsid w:val="000875BF"/>
    <w:rsid w:val="00096D8C"/>
    <w:rsid w:val="000C0B65"/>
    <w:rsid w:val="000C7C13"/>
    <w:rsid w:val="000E3D42"/>
    <w:rsid w:val="000E5884"/>
    <w:rsid w:val="000E6534"/>
    <w:rsid w:val="001109A9"/>
    <w:rsid w:val="00122BD5"/>
    <w:rsid w:val="001245E8"/>
    <w:rsid w:val="0014726C"/>
    <w:rsid w:val="001979D9"/>
    <w:rsid w:val="001D6BCF"/>
    <w:rsid w:val="001E01CA"/>
    <w:rsid w:val="002060D9"/>
    <w:rsid w:val="002215C8"/>
    <w:rsid w:val="00226822"/>
    <w:rsid w:val="00260594"/>
    <w:rsid w:val="00285017"/>
    <w:rsid w:val="002A2D2E"/>
    <w:rsid w:val="002A7BA2"/>
    <w:rsid w:val="002D1A93"/>
    <w:rsid w:val="002F30A4"/>
    <w:rsid w:val="002F4692"/>
    <w:rsid w:val="00336AA1"/>
    <w:rsid w:val="00343749"/>
    <w:rsid w:val="00357B23"/>
    <w:rsid w:val="00357D50"/>
    <w:rsid w:val="0038667B"/>
    <w:rsid w:val="003901C5"/>
    <w:rsid w:val="003925DC"/>
    <w:rsid w:val="003B0550"/>
    <w:rsid w:val="003B1319"/>
    <w:rsid w:val="003B694F"/>
    <w:rsid w:val="003E256E"/>
    <w:rsid w:val="003F143D"/>
    <w:rsid w:val="003F171C"/>
    <w:rsid w:val="004045F3"/>
    <w:rsid w:val="00412FC5"/>
    <w:rsid w:val="00422276"/>
    <w:rsid w:val="004242F1"/>
    <w:rsid w:val="00445A00"/>
    <w:rsid w:val="00451B0F"/>
    <w:rsid w:val="00457C57"/>
    <w:rsid w:val="0046125F"/>
    <w:rsid w:val="00487524"/>
    <w:rsid w:val="00496106"/>
    <w:rsid w:val="004C12D0"/>
    <w:rsid w:val="004C2EE3"/>
    <w:rsid w:val="004E4A22"/>
    <w:rsid w:val="00511968"/>
    <w:rsid w:val="00520633"/>
    <w:rsid w:val="0055614C"/>
    <w:rsid w:val="005A6AD2"/>
    <w:rsid w:val="005B2B43"/>
    <w:rsid w:val="005E482A"/>
    <w:rsid w:val="00607BA5"/>
    <w:rsid w:val="00626EB6"/>
    <w:rsid w:val="006353A3"/>
    <w:rsid w:val="00655D03"/>
    <w:rsid w:val="00657249"/>
    <w:rsid w:val="00683F84"/>
    <w:rsid w:val="006A6A81"/>
    <w:rsid w:val="006D1658"/>
    <w:rsid w:val="006E26AF"/>
    <w:rsid w:val="006F7393"/>
    <w:rsid w:val="0070224F"/>
    <w:rsid w:val="007115F7"/>
    <w:rsid w:val="00785689"/>
    <w:rsid w:val="0079754B"/>
    <w:rsid w:val="007A1E6D"/>
    <w:rsid w:val="007B34F3"/>
    <w:rsid w:val="007B3C50"/>
    <w:rsid w:val="007C532E"/>
    <w:rsid w:val="0081386D"/>
    <w:rsid w:val="00822CE0"/>
    <w:rsid w:val="00837C62"/>
    <w:rsid w:val="00841AB1"/>
    <w:rsid w:val="008435EE"/>
    <w:rsid w:val="008C22FD"/>
    <w:rsid w:val="008D128E"/>
    <w:rsid w:val="00905D52"/>
    <w:rsid w:val="00910F12"/>
    <w:rsid w:val="009113B3"/>
    <w:rsid w:val="00926503"/>
    <w:rsid w:val="00930ECF"/>
    <w:rsid w:val="009838BC"/>
    <w:rsid w:val="009B0514"/>
    <w:rsid w:val="009E21DB"/>
    <w:rsid w:val="00A45F4F"/>
    <w:rsid w:val="00A600A9"/>
    <w:rsid w:val="00A64CBC"/>
    <w:rsid w:val="00A73301"/>
    <w:rsid w:val="00A866AC"/>
    <w:rsid w:val="00A903F0"/>
    <w:rsid w:val="00AA55B7"/>
    <w:rsid w:val="00AA5B9E"/>
    <w:rsid w:val="00AB0294"/>
    <w:rsid w:val="00AB2407"/>
    <w:rsid w:val="00AB53DF"/>
    <w:rsid w:val="00B07E5C"/>
    <w:rsid w:val="00B20363"/>
    <w:rsid w:val="00B326E3"/>
    <w:rsid w:val="00B811F7"/>
    <w:rsid w:val="00B8376D"/>
    <w:rsid w:val="00B83E78"/>
    <w:rsid w:val="00BA5DC6"/>
    <w:rsid w:val="00BA6196"/>
    <w:rsid w:val="00BC6D8C"/>
    <w:rsid w:val="00C16AF2"/>
    <w:rsid w:val="00C34006"/>
    <w:rsid w:val="00C37E87"/>
    <w:rsid w:val="00C426B1"/>
    <w:rsid w:val="00C60499"/>
    <w:rsid w:val="00C82B6B"/>
    <w:rsid w:val="00C90D6A"/>
    <w:rsid w:val="00C966D3"/>
    <w:rsid w:val="00CC2B2D"/>
    <w:rsid w:val="00CC72B6"/>
    <w:rsid w:val="00CD253C"/>
    <w:rsid w:val="00D0218D"/>
    <w:rsid w:val="00D216CD"/>
    <w:rsid w:val="00D560B5"/>
    <w:rsid w:val="00D56EA4"/>
    <w:rsid w:val="00D91E04"/>
    <w:rsid w:val="00D95F8A"/>
    <w:rsid w:val="00DA2529"/>
    <w:rsid w:val="00DB130A"/>
    <w:rsid w:val="00DC10A1"/>
    <w:rsid w:val="00DC655F"/>
    <w:rsid w:val="00DD7EBD"/>
    <w:rsid w:val="00DF62B6"/>
    <w:rsid w:val="00E07225"/>
    <w:rsid w:val="00E155B7"/>
    <w:rsid w:val="00E5409F"/>
    <w:rsid w:val="00E71E31"/>
    <w:rsid w:val="00E7277E"/>
    <w:rsid w:val="00E7285F"/>
    <w:rsid w:val="00EC0185"/>
    <w:rsid w:val="00ED0ECD"/>
    <w:rsid w:val="00F00D0B"/>
    <w:rsid w:val="00F021FA"/>
    <w:rsid w:val="00F13FBC"/>
    <w:rsid w:val="00F25601"/>
    <w:rsid w:val="00F361AC"/>
    <w:rsid w:val="00F473CC"/>
    <w:rsid w:val="00F57ACA"/>
    <w:rsid w:val="00F62E97"/>
    <w:rsid w:val="00F64209"/>
    <w:rsid w:val="00F84EC7"/>
    <w:rsid w:val="00F93BF5"/>
    <w:rsid w:val="00F96F63"/>
    <w:rsid w:val="00FC52C6"/>
    <w:rsid w:val="00FD07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17E675-4DB2-41F0-A66E-672179B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D2"/>
    <w:pPr>
      <w:widowControl w:val="0"/>
    </w:pPr>
    <w:rPr>
      <w:snapToGrid w:val="0"/>
      <w:kern w:val="28"/>
      <w:sz w:val="22"/>
    </w:rPr>
  </w:style>
  <w:style w:type="paragraph" w:styleId="Heading1">
    <w:name w:val="heading 1"/>
    <w:basedOn w:val="Normal"/>
    <w:next w:val="ParaNum"/>
    <w:qFormat/>
    <w:rsid w:val="005A6A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6AD2"/>
    <w:pPr>
      <w:keepNext/>
      <w:numPr>
        <w:ilvl w:val="1"/>
        <w:numId w:val="3"/>
      </w:numPr>
      <w:spacing w:after="120"/>
      <w:outlineLvl w:val="1"/>
    </w:pPr>
    <w:rPr>
      <w:b/>
    </w:rPr>
  </w:style>
  <w:style w:type="paragraph" w:styleId="Heading3">
    <w:name w:val="heading 3"/>
    <w:basedOn w:val="Normal"/>
    <w:next w:val="ParaNum"/>
    <w:qFormat/>
    <w:rsid w:val="005A6AD2"/>
    <w:pPr>
      <w:keepNext/>
      <w:numPr>
        <w:ilvl w:val="2"/>
        <w:numId w:val="3"/>
      </w:numPr>
      <w:tabs>
        <w:tab w:val="left" w:pos="2160"/>
      </w:tabs>
      <w:spacing w:after="120"/>
      <w:outlineLvl w:val="2"/>
    </w:pPr>
    <w:rPr>
      <w:b/>
    </w:rPr>
  </w:style>
  <w:style w:type="paragraph" w:styleId="Heading4">
    <w:name w:val="heading 4"/>
    <w:basedOn w:val="Normal"/>
    <w:next w:val="ParaNum"/>
    <w:qFormat/>
    <w:rsid w:val="005A6AD2"/>
    <w:pPr>
      <w:keepNext/>
      <w:numPr>
        <w:ilvl w:val="3"/>
        <w:numId w:val="3"/>
      </w:numPr>
      <w:tabs>
        <w:tab w:val="left" w:pos="2880"/>
      </w:tabs>
      <w:spacing w:after="120"/>
      <w:outlineLvl w:val="3"/>
    </w:pPr>
    <w:rPr>
      <w:b/>
    </w:rPr>
  </w:style>
  <w:style w:type="paragraph" w:styleId="Heading5">
    <w:name w:val="heading 5"/>
    <w:basedOn w:val="Normal"/>
    <w:next w:val="ParaNum"/>
    <w:qFormat/>
    <w:rsid w:val="005A6AD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6AD2"/>
    <w:pPr>
      <w:numPr>
        <w:ilvl w:val="5"/>
        <w:numId w:val="3"/>
      </w:numPr>
      <w:tabs>
        <w:tab w:val="left" w:pos="4320"/>
      </w:tabs>
      <w:spacing w:after="120"/>
      <w:outlineLvl w:val="5"/>
    </w:pPr>
    <w:rPr>
      <w:b/>
    </w:rPr>
  </w:style>
  <w:style w:type="paragraph" w:styleId="Heading7">
    <w:name w:val="heading 7"/>
    <w:basedOn w:val="Normal"/>
    <w:next w:val="ParaNum"/>
    <w:qFormat/>
    <w:rsid w:val="005A6A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6A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6A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A6AD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A6AD2"/>
  </w:style>
  <w:style w:type="paragraph" w:customStyle="1" w:styleId="ParaNum">
    <w:name w:val="ParaNum"/>
    <w:basedOn w:val="Normal"/>
    <w:link w:val="ParaNumCharChar1"/>
    <w:rsid w:val="005A6AD2"/>
    <w:pPr>
      <w:numPr>
        <w:numId w:val="2"/>
      </w:numPr>
      <w:tabs>
        <w:tab w:val="clear" w:pos="1080"/>
        <w:tab w:val="num" w:pos="1440"/>
      </w:tabs>
      <w:spacing w:after="120"/>
    </w:pPr>
  </w:style>
  <w:style w:type="paragraph" w:styleId="EndnoteText">
    <w:name w:val="endnote text"/>
    <w:basedOn w:val="Normal"/>
    <w:semiHidden/>
    <w:rsid w:val="005A6AD2"/>
    <w:rPr>
      <w:sz w:val="20"/>
    </w:rPr>
  </w:style>
  <w:style w:type="character" w:styleId="EndnoteReference">
    <w:name w:val="endnote reference"/>
    <w:semiHidden/>
    <w:rsid w:val="005A6AD2"/>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5A6AD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A6AD2"/>
    <w:rPr>
      <w:rFonts w:ascii="Times New Roman" w:hAnsi="Times New Roman"/>
      <w:dstrike w:val="0"/>
      <w:color w:val="auto"/>
      <w:sz w:val="22"/>
      <w:vertAlign w:val="superscript"/>
    </w:rPr>
  </w:style>
  <w:style w:type="paragraph" w:styleId="TOC1">
    <w:name w:val="toc 1"/>
    <w:basedOn w:val="Normal"/>
    <w:next w:val="Normal"/>
    <w:uiPriority w:val="39"/>
    <w:rsid w:val="005A6A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6AD2"/>
    <w:pPr>
      <w:tabs>
        <w:tab w:val="left" w:pos="720"/>
        <w:tab w:val="right" w:leader="dot" w:pos="9360"/>
      </w:tabs>
      <w:suppressAutoHyphens/>
      <w:ind w:left="720" w:right="720" w:hanging="360"/>
    </w:pPr>
    <w:rPr>
      <w:noProof/>
    </w:rPr>
  </w:style>
  <w:style w:type="paragraph" w:styleId="TOC3">
    <w:name w:val="toc 3"/>
    <w:basedOn w:val="Normal"/>
    <w:next w:val="Normal"/>
    <w:semiHidden/>
    <w:rsid w:val="005A6A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6A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6A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6A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6A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6A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6A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6AD2"/>
    <w:pPr>
      <w:tabs>
        <w:tab w:val="right" w:pos="9360"/>
      </w:tabs>
      <w:suppressAutoHyphens/>
    </w:pPr>
  </w:style>
  <w:style w:type="character" w:customStyle="1" w:styleId="EquationCaption">
    <w:name w:val="_Equation Caption"/>
    <w:rsid w:val="005A6AD2"/>
  </w:style>
  <w:style w:type="paragraph" w:styleId="Header">
    <w:name w:val="header"/>
    <w:basedOn w:val="Normal"/>
    <w:autoRedefine/>
    <w:rsid w:val="005A6AD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A6AD2"/>
    <w:pPr>
      <w:tabs>
        <w:tab w:val="center" w:pos="4320"/>
        <w:tab w:val="right" w:pos="8640"/>
      </w:tabs>
    </w:pPr>
  </w:style>
  <w:style w:type="character" w:styleId="PageNumber">
    <w:name w:val="page number"/>
    <w:basedOn w:val="DefaultParagraphFont"/>
    <w:rsid w:val="005A6AD2"/>
  </w:style>
  <w:style w:type="paragraph" w:styleId="BlockText">
    <w:name w:val="Block Text"/>
    <w:basedOn w:val="Normal"/>
    <w:rsid w:val="005A6AD2"/>
    <w:pPr>
      <w:spacing w:after="240"/>
      <w:ind w:left="1440" w:right="1440"/>
    </w:pPr>
  </w:style>
  <w:style w:type="paragraph" w:customStyle="1" w:styleId="Paratitle">
    <w:name w:val="Para title"/>
    <w:basedOn w:val="Normal"/>
    <w:rsid w:val="005A6AD2"/>
    <w:pPr>
      <w:tabs>
        <w:tab w:val="center" w:pos="9270"/>
      </w:tabs>
      <w:spacing w:after="240"/>
    </w:pPr>
    <w:rPr>
      <w:spacing w:val="-2"/>
    </w:rPr>
  </w:style>
  <w:style w:type="paragraph" w:customStyle="1" w:styleId="Bullet">
    <w:name w:val="Bullet"/>
    <w:basedOn w:val="Normal"/>
    <w:rsid w:val="005A6AD2"/>
    <w:pPr>
      <w:numPr>
        <w:numId w:val="1"/>
      </w:numPr>
      <w:tabs>
        <w:tab w:val="clear" w:pos="360"/>
        <w:tab w:val="left" w:pos="2160"/>
      </w:tabs>
      <w:spacing w:after="220"/>
      <w:ind w:left="2160" w:hanging="720"/>
    </w:pPr>
  </w:style>
  <w:style w:type="paragraph" w:customStyle="1" w:styleId="TableFormat">
    <w:name w:val="TableFormat"/>
    <w:basedOn w:val="Bullet"/>
    <w:rsid w:val="005A6AD2"/>
    <w:pPr>
      <w:numPr>
        <w:numId w:val="0"/>
      </w:numPr>
      <w:tabs>
        <w:tab w:val="clear" w:pos="2160"/>
        <w:tab w:val="left" w:pos="5040"/>
      </w:tabs>
      <w:ind w:left="5040" w:hanging="3600"/>
    </w:pPr>
  </w:style>
  <w:style w:type="paragraph" w:customStyle="1" w:styleId="TOCTitle">
    <w:name w:val="TOC Title"/>
    <w:basedOn w:val="Normal"/>
    <w:rsid w:val="005A6A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6AD2"/>
    <w:pPr>
      <w:jc w:val="center"/>
    </w:pPr>
    <w:rPr>
      <w:rFonts w:ascii="Times New Roman Bold" w:hAnsi="Times New Roman Bold"/>
      <w:b/>
      <w:bCs/>
      <w:caps/>
      <w:szCs w:val="22"/>
    </w:rPr>
  </w:style>
  <w:style w:type="character" w:styleId="Hyperlink">
    <w:name w:val="Hyperlink"/>
    <w:rsid w:val="005A6AD2"/>
    <w:rPr>
      <w:color w:val="0000FF"/>
      <w:u w:val="single"/>
    </w:rPr>
  </w:style>
  <w:style w:type="character" w:customStyle="1" w:styleId="FooterChar">
    <w:name w:val="Footer Char"/>
    <w:link w:val="Footer"/>
    <w:uiPriority w:val="99"/>
    <w:rsid w:val="005A6AD2"/>
    <w:rPr>
      <w:snapToGrid w:val="0"/>
      <w:kern w:val="28"/>
      <w:sz w:val="22"/>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D91E04"/>
  </w:style>
  <w:style w:type="character" w:customStyle="1" w:styleId="ParaNumCharChar1">
    <w:name w:val="ParaNum Char Char1"/>
    <w:link w:val="ParaNum"/>
    <w:locked/>
    <w:rsid w:val="00D91E04"/>
    <w:rPr>
      <w:snapToGrid w:val="0"/>
      <w:kern w:val="28"/>
      <w:sz w:val="22"/>
    </w:rPr>
  </w:style>
  <w:style w:type="paragraph" w:styleId="BalloonText">
    <w:name w:val="Balloon Text"/>
    <w:basedOn w:val="Normal"/>
    <w:link w:val="BalloonTextChar"/>
    <w:uiPriority w:val="99"/>
    <w:semiHidden/>
    <w:unhideWhenUsed/>
    <w:rsid w:val="00221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C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ocbo/"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yperlink" Target="mailto:" TargetMode="External" /><Relationship Id="rId7" Type="http://schemas.openxmlformats.org/officeDocument/2006/relationships/hyperlink" Target="mailto:auction103@fcc.gov" TargetMode="External" /><Relationship Id="rId8" Type="http://schemas.openxmlformats.org/officeDocument/2006/relationships/hyperlink" Target="http://www.fcc.gov/" TargetMode="External" /><Relationship Id="rId9" Type="http://schemas.openxmlformats.org/officeDocument/2006/relationships/hyperlink" Target="http://www.fcc.gov/formpage.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