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RPr="0083304D" w:rsidP="005B43AB" w14:paraId="43D6BD59" w14:textId="4F4CDE50">
      <w:pPr>
        <w:jc w:val="right"/>
        <w:rPr>
          <w:b/>
          <w:bCs/>
          <w:szCs w:val="22"/>
        </w:rPr>
      </w:pPr>
      <w:bookmarkStart w:id="0" w:name="_GoBack"/>
      <w:bookmarkEnd w:id="0"/>
      <w:r w:rsidRPr="0083304D">
        <w:rPr>
          <w:b/>
          <w:bCs/>
          <w:szCs w:val="22"/>
        </w:rPr>
        <w:t xml:space="preserve">DA </w:t>
      </w:r>
      <w:r w:rsidRPr="0083304D" w:rsidR="00B635CA">
        <w:rPr>
          <w:b/>
          <w:bCs/>
          <w:szCs w:val="22"/>
        </w:rPr>
        <w:t>20-</w:t>
      </w:r>
      <w:r w:rsidR="00C04AB2">
        <w:rPr>
          <w:b/>
          <w:bCs/>
          <w:szCs w:val="22"/>
        </w:rPr>
        <w:t>1094</w:t>
      </w:r>
    </w:p>
    <w:p w:rsidR="00013A8B" w:rsidRPr="00AD34B8" w:rsidP="005B43AB" w14:paraId="6AE7886D" w14:textId="5111D3AD">
      <w:pPr>
        <w:jc w:val="right"/>
        <w:rPr>
          <w:b/>
          <w:szCs w:val="22"/>
        </w:rPr>
      </w:pPr>
      <w:r w:rsidRPr="00AD34B8">
        <w:rPr>
          <w:b/>
          <w:szCs w:val="22"/>
        </w:rPr>
        <w:t xml:space="preserve">Released:  </w:t>
      </w:r>
      <w:r w:rsidRPr="00B635CA" w:rsidR="006F5C4E">
        <w:rPr>
          <w:b/>
          <w:szCs w:val="22"/>
        </w:rPr>
        <w:t>September 16, 2020</w:t>
      </w:r>
    </w:p>
    <w:p w:rsidR="006F5C4E" w:rsidRPr="00AD34B8" w:rsidP="005B43AB" w14:paraId="4172139E" w14:textId="31A5284F">
      <w:pPr>
        <w:spacing w:before="100" w:beforeAutospacing="1" w:after="100" w:afterAutospacing="1"/>
        <w:jc w:val="center"/>
        <w:rPr>
          <w:b/>
          <w:caps/>
          <w:szCs w:val="22"/>
        </w:rPr>
      </w:pPr>
      <w:r w:rsidRPr="00AD34B8">
        <w:rPr>
          <w:b/>
          <w:caps/>
          <w:szCs w:val="22"/>
        </w:rPr>
        <w:t xml:space="preserve">International Bureau and </w:t>
      </w:r>
      <w:r w:rsidRPr="00AD34B8">
        <w:rPr>
          <w:b/>
          <w:caps/>
          <w:szCs w:val="22"/>
        </w:rPr>
        <w:t xml:space="preserve">Wireless Telecommunications Bureau Announce guidance for 3.7-4.2 ghz incumbent earth </w:t>
      </w:r>
      <w:r w:rsidRPr="00AD34B8" w:rsidR="000E2CEA">
        <w:rPr>
          <w:b/>
          <w:caps/>
          <w:szCs w:val="22"/>
        </w:rPr>
        <w:t xml:space="preserve">Station </w:t>
      </w:r>
      <w:r w:rsidRPr="00AD34B8">
        <w:rPr>
          <w:b/>
          <w:caps/>
          <w:szCs w:val="22"/>
        </w:rPr>
        <w:t>waiver requests</w:t>
      </w:r>
      <w:bookmarkStart w:id="1" w:name="TOChere"/>
    </w:p>
    <w:bookmarkEnd w:id="1"/>
    <w:p w:rsidR="00930ECF" w:rsidRPr="00AD34B8" w:rsidP="005B43AB" w14:paraId="18623E99" w14:textId="503CA7A6">
      <w:pPr>
        <w:spacing w:before="100" w:beforeAutospacing="1" w:after="100" w:afterAutospacing="1"/>
        <w:jc w:val="center"/>
        <w:rPr>
          <w:b/>
          <w:szCs w:val="22"/>
        </w:rPr>
      </w:pPr>
      <w:r w:rsidRPr="00B635CA">
        <w:rPr>
          <w:b/>
          <w:szCs w:val="22"/>
        </w:rPr>
        <w:t xml:space="preserve">GN Docket No. 18-122, IB Docket No. 20-205, </w:t>
      </w:r>
      <w:r w:rsidRPr="00B635CA" w:rsidR="00707C57">
        <w:rPr>
          <w:b/>
          <w:szCs w:val="22"/>
        </w:rPr>
        <w:t xml:space="preserve">GN </w:t>
      </w:r>
      <w:r w:rsidRPr="00B635CA" w:rsidR="000E2CEA">
        <w:rPr>
          <w:b/>
          <w:szCs w:val="22"/>
        </w:rPr>
        <w:t>Docket No. 20-</w:t>
      </w:r>
      <w:r w:rsidRPr="00B635CA" w:rsidR="00B635CA">
        <w:rPr>
          <w:b/>
          <w:szCs w:val="22"/>
        </w:rPr>
        <w:t>305</w:t>
      </w:r>
    </w:p>
    <w:p w:rsidR="00570594" w:rsidRPr="00AD34B8" w:rsidP="005B43AB" w14:paraId="07A5B549" w14:textId="0D9EBC2F">
      <w:pPr>
        <w:widowControl/>
        <w:spacing w:after="120"/>
        <w:ind w:firstLine="720"/>
        <w:contextualSpacing/>
        <w:rPr>
          <w:snapToGrid/>
          <w:color w:val="000000"/>
          <w:kern w:val="0"/>
          <w:szCs w:val="22"/>
        </w:rPr>
      </w:pPr>
      <w:r w:rsidRPr="00AD34B8">
        <w:rPr>
          <w:szCs w:val="22"/>
        </w:rPr>
        <w:t xml:space="preserve">In the </w:t>
      </w:r>
      <w:r w:rsidRPr="00AD34B8">
        <w:rPr>
          <w:i/>
          <w:iCs/>
          <w:szCs w:val="22"/>
        </w:rPr>
        <w:t>3.7 GHz Band Report and Order</w:t>
      </w:r>
      <w:r w:rsidRPr="00AD34B8">
        <w:rPr>
          <w:szCs w:val="22"/>
        </w:rPr>
        <w:t xml:space="preserve">, the Commission adopted rules to make 280 megahertz of mid-band spectrum available for flexible use, plus a 20 megahertz guard band, throughout the contiguous United States by transitioning existing </w:t>
      </w:r>
      <w:r w:rsidRPr="00AD34B8" w:rsidR="00A55F9B">
        <w:rPr>
          <w:szCs w:val="22"/>
        </w:rPr>
        <w:t>operations</w:t>
      </w:r>
      <w:r w:rsidRPr="00AD34B8">
        <w:rPr>
          <w:szCs w:val="22"/>
        </w:rPr>
        <w:t xml:space="preserve"> out of the lower portion </w:t>
      </w:r>
      <w:r w:rsidRPr="00AD34B8" w:rsidR="00A55F9B">
        <w:rPr>
          <w:szCs w:val="22"/>
        </w:rPr>
        <w:t xml:space="preserve">(3.7-4.0 GHz) </w:t>
      </w:r>
      <w:r w:rsidRPr="00AD34B8">
        <w:rPr>
          <w:szCs w:val="22"/>
        </w:rPr>
        <w:t xml:space="preserve">and into the upper 200 megahertz </w:t>
      </w:r>
      <w:r w:rsidRPr="00AD34B8" w:rsidR="00A55F9B">
        <w:rPr>
          <w:szCs w:val="22"/>
        </w:rPr>
        <w:t>(4.0-4.2 GHz) of the band</w:t>
      </w:r>
      <w:r w:rsidRPr="00AD34B8">
        <w:rPr>
          <w:szCs w:val="22"/>
        </w:rPr>
        <w:t>.</w:t>
      </w:r>
      <w:r>
        <w:rPr>
          <w:rStyle w:val="FootnoteReference"/>
          <w:szCs w:val="22"/>
        </w:rPr>
        <w:footnoteReference w:id="3"/>
      </w:r>
      <w:r w:rsidRPr="00AD34B8" w:rsidR="000B2220">
        <w:rPr>
          <w:szCs w:val="22"/>
        </w:rPr>
        <w:t xml:space="preserve">  </w:t>
      </w:r>
      <w:r w:rsidRPr="00AD34B8">
        <w:rPr>
          <w:szCs w:val="22"/>
        </w:rPr>
        <w:t xml:space="preserve">The </w:t>
      </w:r>
      <w:r w:rsidRPr="00AD34B8">
        <w:rPr>
          <w:i/>
          <w:iCs/>
          <w:szCs w:val="22"/>
        </w:rPr>
        <w:t>3.7 GHz</w:t>
      </w:r>
      <w:r w:rsidRPr="00AD34B8">
        <w:rPr>
          <w:i/>
          <w:szCs w:val="22"/>
        </w:rPr>
        <w:t xml:space="preserve"> Band </w:t>
      </w:r>
      <w:r w:rsidRPr="00AD34B8">
        <w:rPr>
          <w:i/>
          <w:iCs/>
          <w:szCs w:val="22"/>
        </w:rPr>
        <w:t>Report and Order</w:t>
      </w:r>
      <w:r w:rsidRPr="00AD34B8" w:rsidR="000B2220">
        <w:rPr>
          <w:i/>
          <w:iCs/>
          <w:szCs w:val="22"/>
        </w:rPr>
        <w:t xml:space="preserve"> </w:t>
      </w:r>
      <w:r w:rsidRPr="00AD34B8" w:rsidR="000B2220">
        <w:rPr>
          <w:szCs w:val="22"/>
        </w:rPr>
        <w:t>also</w:t>
      </w:r>
      <w:r w:rsidRPr="00AD34B8">
        <w:rPr>
          <w:i/>
          <w:iCs/>
          <w:szCs w:val="22"/>
        </w:rPr>
        <w:t xml:space="preserve"> </w:t>
      </w:r>
      <w:r w:rsidRPr="00AD34B8">
        <w:rPr>
          <w:szCs w:val="22"/>
        </w:rPr>
        <w:t>define</w:t>
      </w:r>
      <w:r w:rsidRPr="00AD34B8" w:rsidR="000B2220">
        <w:rPr>
          <w:szCs w:val="22"/>
        </w:rPr>
        <w:t>d</w:t>
      </w:r>
      <w:r w:rsidRPr="00AD34B8">
        <w:rPr>
          <w:szCs w:val="22"/>
        </w:rPr>
        <w:t xml:space="preserve"> the criteria that </w:t>
      </w:r>
      <w:r w:rsidRPr="00C83FE3" w:rsidR="00AD34B8">
        <w:rPr>
          <w:szCs w:val="22"/>
        </w:rPr>
        <w:t xml:space="preserve">Fixed Satellite Service (FSS) </w:t>
      </w:r>
      <w:r w:rsidRPr="00AD34B8" w:rsidR="00AD34B8">
        <w:rPr>
          <w:szCs w:val="22"/>
        </w:rPr>
        <w:t>earth stations</w:t>
      </w:r>
      <w:r w:rsidRPr="00AD34B8">
        <w:rPr>
          <w:szCs w:val="22"/>
        </w:rPr>
        <w:t xml:space="preserve"> must satisfy to be eligible as incumbent earth stations to receive </w:t>
      </w:r>
      <w:r w:rsidRPr="00AD34B8" w:rsidR="00A55F9B">
        <w:rPr>
          <w:szCs w:val="22"/>
        </w:rPr>
        <w:t>protection from harmful interference and reimbursement for their reasonable relocation costs.</w:t>
      </w:r>
      <w:r>
        <w:rPr>
          <w:rStyle w:val="FootnoteReference"/>
          <w:szCs w:val="22"/>
        </w:rPr>
        <w:footnoteReference w:id="4"/>
      </w:r>
      <w:r w:rsidRPr="00AD34B8">
        <w:rPr>
          <w:szCs w:val="22"/>
        </w:rPr>
        <w:t xml:space="preserve">  </w:t>
      </w:r>
      <w:r w:rsidRPr="00AD34B8" w:rsidR="000B2220">
        <w:rPr>
          <w:szCs w:val="22"/>
        </w:rPr>
        <w:t xml:space="preserve">On July 6, 2020, the International Bureau released a preliminary list of those FSS earth stations in the 3.7-4.2 GHz band in the contiguous United States that the Bureau found may satisfy the criteria to be classified as incumbent earth stations for purposes of the </w:t>
      </w:r>
      <w:r w:rsidRPr="00AD34B8" w:rsidR="000E2CEA">
        <w:rPr>
          <w:szCs w:val="22"/>
        </w:rPr>
        <w:t xml:space="preserve">3.7-4.2 GHz </w:t>
      </w:r>
      <w:r w:rsidRPr="00AD34B8" w:rsidR="000B2220">
        <w:rPr>
          <w:szCs w:val="22"/>
        </w:rPr>
        <w:t>band transition and invited comment on the preliminary list to provide minor corrections and updates.</w:t>
      </w:r>
      <w:r>
        <w:rPr>
          <w:szCs w:val="22"/>
          <w:vertAlign w:val="superscript"/>
        </w:rPr>
        <w:footnoteReference w:id="5"/>
      </w:r>
      <w:r w:rsidRPr="00AD34B8" w:rsidR="000B2220">
        <w:rPr>
          <w:szCs w:val="22"/>
        </w:rPr>
        <w:t xml:space="preserve">  On August 3, 2020, the International Burea</w:t>
      </w:r>
      <w:r w:rsidRPr="00AD34B8" w:rsidR="00186DB2">
        <w:rPr>
          <w:szCs w:val="22"/>
        </w:rPr>
        <w:t>u</w:t>
      </w:r>
      <w:r w:rsidRPr="00AD34B8" w:rsidR="000B2220">
        <w:rPr>
          <w:szCs w:val="22"/>
        </w:rPr>
        <w:t xml:space="preserve"> released </w:t>
      </w:r>
      <w:r w:rsidRPr="00AD34B8" w:rsidR="007700AB">
        <w:rPr>
          <w:szCs w:val="22"/>
        </w:rPr>
        <w:t>a</w:t>
      </w:r>
      <w:r w:rsidRPr="00AD34B8" w:rsidR="00186DB2">
        <w:rPr>
          <w:szCs w:val="22"/>
        </w:rPr>
        <w:t xml:space="preserve"> list of incumbent FSS earth stations in the 3.7-4.2 GHz band</w:t>
      </w:r>
      <w:r w:rsidRPr="00AD34B8" w:rsidR="007700AB">
        <w:rPr>
          <w:szCs w:val="22"/>
        </w:rPr>
        <w:t xml:space="preserve"> that the International Bureau found had satisfied the criteria </w:t>
      </w:r>
      <w:r w:rsidRPr="00AD34B8" w:rsidR="00051CE8">
        <w:rPr>
          <w:szCs w:val="22"/>
        </w:rPr>
        <w:t>to be classified as incumbent earth stations.</w:t>
      </w:r>
      <w:r>
        <w:rPr>
          <w:rStyle w:val="FootnoteReference"/>
          <w:szCs w:val="22"/>
        </w:rPr>
        <w:footnoteReference w:id="6"/>
      </w:r>
    </w:p>
    <w:p w:rsidR="004E4C8A" w:rsidRPr="00AD34B8" w:rsidP="005B43AB" w14:paraId="1A449B44" w14:textId="1D4D07FF">
      <w:pPr>
        <w:pStyle w:val="Default"/>
        <w:spacing w:after="120"/>
        <w:ind w:firstLine="720"/>
        <w:rPr>
          <w:szCs w:val="22"/>
        </w:rPr>
      </w:pPr>
      <w:r w:rsidRPr="00AD34B8">
        <w:rPr>
          <w:szCs w:val="22"/>
        </w:rPr>
        <w:t xml:space="preserve">On September 8, 2020, NCTA – The Internet &amp; Television Association (NCTA) and the National Association of Broadcasters (NAB) requested that the Commission provide incumbent </w:t>
      </w:r>
      <w:r w:rsidRPr="00AD34B8" w:rsidR="00186DB2">
        <w:rPr>
          <w:szCs w:val="22"/>
        </w:rPr>
        <w:t xml:space="preserve">FSS </w:t>
      </w:r>
      <w:r w:rsidRPr="00AD34B8">
        <w:rPr>
          <w:szCs w:val="22"/>
        </w:rPr>
        <w:t xml:space="preserve">earth station operators with a limited opportunity to correct their filings and register </w:t>
      </w:r>
      <w:r w:rsidRPr="00AD34B8" w:rsidR="00900DDE">
        <w:rPr>
          <w:szCs w:val="22"/>
        </w:rPr>
        <w:t>additional</w:t>
      </w:r>
      <w:r w:rsidRPr="00AD34B8">
        <w:rPr>
          <w:szCs w:val="22"/>
        </w:rPr>
        <w:t xml:space="preserve"> </w:t>
      </w:r>
      <w:r w:rsidRPr="00AD34B8" w:rsidR="00E52EE2">
        <w:rPr>
          <w:szCs w:val="22"/>
        </w:rPr>
        <w:t xml:space="preserve">existing </w:t>
      </w:r>
      <w:r w:rsidRPr="00AD34B8" w:rsidR="00900DDE">
        <w:rPr>
          <w:szCs w:val="22"/>
        </w:rPr>
        <w:t>antennas—co-located with existing registered antennas—</w:t>
      </w:r>
      <w:r w:rsidRPr="00AD34B8">
        <w:rPr>
          <w:szCs w:val="22"/>
        </w:rPr>
        <w:t>for</w:t>
      </w:r>
      <w:r w:rsidRPr="00AD34B8" w:rsidR="008822A5">
        <w:rPr>
          <w:szCs w:val="22"/>
        </w:rPr>
        <w:t xml:space="preserve"> the limited purpose of</w:t>
      </w:r>
      <w:r w:rsidRPr="00AD34B8" w:rsidR="003E1D71">
        <w:rPr>
          <w:szCs w:val="22"/>
        </w:rPr>
        <w:t xml:space="preserve"> obtaining</w:t>
      </w:r>
      <w:r w:rsidRPr="00AD34B8">
        <w:rPr>
          <w:szCs w:val="22"/>
        </w:rPr>
        <w:t xml:space="preserve"> interference protection</w:t>
      </w:r>
      <w:r w:rsidRPr="00AD34B8" w:rsidR="003E1D71">
        <w:rPr>
          <w:szCs w:val="22"/>
        </w:rPr>
        <w:t xml:space="preserve"> on par with that accorded their registered antennas</w:t>
      </w:r>
      <w:r w:rsidRPr="00AD34B8">
        <w:rPr>
          <w:szCs w:val="22"/>
        </w:rPr>
        <w:t>.</w:t>
      </w:r>
      <w:r>
        <w:rPr>
          <w:rStyle w:val="FootnoteReference"/>
          <w:szCs w:val="22"/>
        </w:rPr>
        <w:footnoteReference w:id="7"/>
      </w:r>
      <w:r w:rsidRPr="00AD34B8" w:rsidR="00900DDE">
        <w:rPr>
          <w:szCs w:val="22"/>
        </w:rPr>
        <w:t xml:space="preserve">  </w:t>
      </w:r>
      <w:r w:rsidRPr="00AD34B8" w:rsidR="00811A70">
        <w:rPr>
          <w:szCs w:val="22"/>
        </w:rPr>
        <w:t>NAB and NCTA stated that the opportunity to make corrections “would be consistent with the Commission’s goals in the C-band proceeding</w:t>
      </w:r>
      <w:r w:rsidRPr="00AD34B8" w:rsidR="00AA30A7">
        <w:rPr>
          <w:szCs w:val="22"/>
        </w:rPr>
        <w:t xml:space="preserve"> and </w:t>
      </w:r>
      <w:r w:rsidRPr="00AD34B8" w:rsidR="00811A70">
        <w:rPr>
          <w:szCs w:val="22"/>
        </w:rPr>
        <w:t>would help preserve content distribution to the public</w:t>
      </w:r>
      <w:r w:rsidRPr="00AD34B8" w:rsidR="007957A8">
        <w:rPr>
          <w:szCs w:val="22"/>
        </w:rPr>
        <w:t>.</w:t>
      </w:r>
      <w:r w:rsidRPr="00AD34B8" w:rsidR="00AA30A7">
        <w:rPr>
          <w:szCs w:val="22"/>
        </w:rPr>
        <w:t>”</w:t>
      </w:r>
      <w:r>
        <w:rPr>
          <w:rStyle w:val="FootnoteReference"/>
          <w:szCs w:val="22"/>
        </w:rPr>
        <w:footnoteReference w:id="8"/>
      </w:r>
      <w:r w:rsidRPr="00AD34B8" w:rsidR="007957A8">
        <w:rPr>
          <w:szCs w:val="22"/>
        </w:rPr>
        <w:t xml:space="preserve">  </w:t>
      </w:r>
      <w:r w:rsidR="002D28D0">
        <w:rPr>
          <w:szCs w:val="22"/>
        </w:rPr>
        <w:t>While NCTA and NAB “recognize the importan</w:t>
      </w:r>
      <w:r w:rsidR="0098435C">
        <w:rPr>
          <w:szCs w:val="22"/>
        </w:rPr>
        <w:t>ce</w:t>
      </w:r>
      <w:r w:rsidR="002D28D0">
        <w:rPr>
          <w:szCs w:val="22"/>
        </w:rPr>
        <w:t xml:space="preserve"> of </w:t>
      </w:r>
      <w:r w:rsidR="002D28D0">
        <w:rPr>
          <w:szCs w:val="22"/>
        </w:rPr>
        <w:t>promptly establishing a final list of incumbent earth stations both to provide a list upon which space station operators can rely and to ensure that there are no delays in the transition</w:t>
      </w:r>
      <w:r w:rsidR="0098435C">
        <w:rPr>
          <w:szCs w:val="22"/>
        </w:rPr>
        <w:t>—</w:t>
      </w:r>
      <w:r w:rsidR="002D28D0">
        <w:rPr>
          <w:szCs w:val="22"/>
        </w:rPr>
        <w:t>as well as to provide certainty to potential auction bidders,” they claim that a limited window would afford continuity of service while not delaying the transition or unduly burdening the Commission.</w:t>
      </w:r>
      <w:r>
        <w:rPr>
          <w:rStyle w:val="FootnoteReference"/>
          <w:szCs w:val="22"/>
        </w:rPr>
        <w:footnoteReference w:id="9"/>
      </w:r>
      <w:r w:rsidRPr="00C83FE3" w:rsidR="002D28D0">
        <w:rPr>
          <w:szCs w:val="22"/>
        </w:rPr>
        <w:t xml:space="preserve">  </w:t>
      </w:r>
      <w:r w:rsidRPr="00AD34B8" w:rsidR="00900DDE">
        <w:rPr>
          <w:szCs w:val="22"/>
        </w:rPr>
        <w:t>NCTA and NAB suggested that the Commission could limit eligibility to co</w:t>
      </w:r>
      <w:r w:rsidRPr="00AD34B8" w:rsidR="00430497">
        <w:rPr>
          <w:szCs w:val="22"/>
        </w:rPr>
        <w:t>-</w:t>
      </w:r>
      <w:r w:rsidRPr="00AD34B8" w:rsidR="00900DDE">
        <w:rPr>
          <w:szCs w:val="22"/>
        </w:rPr>
        <w:t xml:space="preserve">located antennas </w:t>
      </w:r>
      <w:r w:rsidRPr="00AD34B8" w:rsidR="00CD4206">
        <w:rPr>
          <w:szCs w:val="22"/>
        </w:rPr>
        <w:t xml:space="preserve">that are located </w:t>
      </w:r>
      <w:r w:rsidRPr="00AD34B8" w:rsidR="00900DDE">
        <w:rPr>
          <w:szCs w:val="22"/>
        </w:rPr>
        <w:t>within 150 meters of a</w:t>
      </w:r>
      <w:r w:rsidR="00F914D9">
        <w:rPr>
          <w:szCs w:val="22"/>
        </w:rPr>
        <w:t>n incumbent earth station</w:t>
      </w:r>
      <w:r w:rsidRPr="00AD34B8" w:rsidR="00900DDE">
        <w:rPr>
          <w:szCs w:val="22"/>
        </w:rPr>
        <w:t xml:space="preserve"> and that </w:t>
      </w:r>
      <w:r w:rsidRPr="00AD34B8" w:rsidR="000E2CEA">
        <w:rPr>
          <w:szCs w:val="22"/>
        </w:rPr>
        <w:t xml:space="preserve">the </w:t>
      </w:r>
      <w:r w:rsidRPr="00AD34B8" w:rsidR="00900DDE">
        <w:rPr>
          <w:szCs w:val="22"/>
        </w:rPr>
        <w:t>number of additional antennas</w:t>
      </w:r>
      <w:r w:rsidRPr="00AD34B8" w:rsidR="00FE66C1">
        <w:rPr>
          <w:szCs w:val="22"/>
        </w:rPr>
        <w:t xml:space="preserve"> that could be registered</w:t>
      </w:r>
      <w:r w:rsidRPr="00AD34B8" w:rsidR="00900DDE">
        <w:rPr>
          <w:szCs w:val="22"/>
        </w:rPr>
        <w:t xml:space="preserve"> at any given site be limited to 25 or fewer.</w:t>
      </w:r>
      <w:r>
        <w:rPr>
          <w:rStyle w:val="FootnoteReference"/>
          <w:szCs w:val="22"/>
        </w:rPr>
        <w:footnoteReference w:id="10"/>
      </w:r>
      <w:r w:rsidRPr="00AD34B8" w:rsidR="00900DDE">
        <w:rPr>
          <w:szCs w:val="22"/>
        </w:rPr>
        <w:t xml:space="preserve">  NAB and NCTA stated that they believe that these limits would “cover the great majority of cases in this class of affected earth station operators and, in combination, would ensure that additional registrations would not result in any unmanageable burdens on the Commission or undue impacts on the auction.”</w:t>
      </w:r>
      <w:r>
        <w:rPr>
          <w:rStyle w:val="FootnoteReference"/>
          <w:szCs w:val="22"/>
        </w:rPr>
        <w:footnoteReference w:id="11"/>
      </w:r>
    </w:p>
    <w:p w:rsidR="006A3BFB" w:rsidP="006A3BFB" w14:paraId="6A208EAB" w14:textId="7961FC07">
      <w:pPr>
        <w:pStyle w:val="Default"/>
        <w:spacing w:after="120"/>
        <w:ind w:firstLine="720"/>
        <w:rPr>
          <w:szCs w:val="22"/>
        </w:rPr>
      </w:pPr>
      <w:r>
        <w:rPr>
          <w:szCs w:val="22"/>
        </w:rPr>
        <w:t>T</w:t>
      </w:r>
      <w:r w:rsidRPr="00AD34B8">
        <w:rPr>
          <w:szCs w:val="22"/>
        </w:rPr>
        <w:t>he International Bureau and Wireless Telecommunications Bureau (collectively, Bureaus)</w:t>
      </w:r>
      <w:r>
        <w:rPr>
          <w:szCs w:val="22"/>
        </w:rPr>
        <w:t xml:space="preserve"> have </w:t>
      </w:r>
      <w:r w:rsidRPr="00AD34B8" w:rsidR="003B03D6">
        <w:rPr>
          <w:szCs w:val="22"/>
        </w:rPr>
        <w:t>review</w:t>
      </w:r>
      <w:r>
        <w:rPr>
          <w:szCs w:val="22"/>
        </w:rPr>
        <w:t>ed</w:t>
      </w:r>
      <w:r w:rsidRPr="00AD34B8" w:rsidR="003B03D6">
        <w:rPr>
          <w:szCs w:val="22"/>
        </w:rPr>
        <w:t xml:space="preserve"> the NAB and NCTA Letter</w:t>
      </w:r>
      <w:r>
        <w:rPr>
          <w:szCs w:val="22"/>
        </w:rPr>
        <w:t xml:space="preserve"> and</w:t>
      </w:r>
      <w:r w:rsidRPr="00AD34B8" w:rsidR="003B03D6">
        <w:rPr>
          <w:szCs w:val="22"/>
        </w:rPr>
        <w:t xml:space="preserve"> believe that</w:t>
      </w:r>
      <w:r>
        <w:rPr>
          <w:szCs w:val="22"/>
        </w:rPr>
        <w:t xml:space="preserve"> </w:t>
      </w:r>
      <w:r>
        <w:rPr>
          <w:szCs w:val="22"/>
        </w:rPr>
        <w:t xml:space="preserve">a </w:t>
      </w:r>
      <w:r>
        <w:rPr>
          <w:szCs w:val="22"/>
        </w:rPr>
        <w:t>waiver</w:t>
      </w:r>
      <w:r w:rsidRPr="00AD34B8" w:rsidR="005974EA">
        <w:rPr>
          <w:szCs w:val="22"/>
        </w:rPr>
        <w:t xml:space="preserve"> </w:t>
      </w:r>
      <w:r w:rsidRPr="00AD34B8">
        <w:rPr>
          <w:szCs w:val="22"/>
        </w:rPr>
        <w:t>may serve the public interest</w:t>
      </w:r>
      <w:r>
        <w:rPr>
          <w:szCs w:val="22"/>
        </w:rPr>
        <w:t xml:space="preserve"> </w:t>
      </w:r>
      <w:r w:rsidRPr="00AD34B8">
        <w:rPr>
          <w:szCs w:val="22"/>
        </w:rPr>
        <w:t>in certain limited circumstances</w:t>
      </w:r>
      <w:r>
        <w:rPr>
          <w:szCs w:val="22"/>
        </w:rPr>
        <w:t xml:space="preserve">.  Specifically, the Bureaus believe </w:t>
      </w:r>
      <w:r w:rsidRPr="00AD34B8">
        <w:rPr>
          <w:szCs w:val="22"/>
        </w:rPr>
        <w:t xml:space="preserve">the NAB and NCTA Letter sets forth criteria that may well justify the extraordinary relief required for grant of a </w:t>
      </w:r>
      <w:r w:rsidRPr="00AD34B8" w:rsidR="005974EA">
        <w:rPr>
          <w:szCs w:val="22"/>
        </w:rPr>
        <w:t xml:space="preserve">waiver to permit </w:t>
      </w:r>
      <w:r w:rsidRPr="00AD34B8" w:rsidR="003B03D6">
        <w:rPr>
          <w:szCs w:val="22"/>
        </w:rPr>
        <w:t>incumbent FSS earth station operators to amend their registrations to include additional, existing co-located antennas</w:t>
      </w:r>
      <w:r>
        <w:rPr>
          <w:szCs w:val="22"/>
        </w:rPr>
        <w:t xml:space="preserve"> </w:t>
      </w:r>
      <w:r w:rsidRPr="00AD34B8" w:rsidR="003B03D6">
        <w:rPr>
          <w:szCs w:val="22"/>
        </w:rPr>
        <w:t xml:space="preserve">for purposes of interference protection </w:t>
      </w:r>
      <w:r w:rsidRPr="00AD34B8" w:rsidR="005C3E50">
        <w:rPr>
          <w:szCs w:val="22"/>
        </w:rPr>
        <w:t xml:space="preserve">in the 4.0-4.2 GHz portion of the band </w:t>
      </w:r>
      <w:r w:rsidRPr="00AD34B8" w:rsidR="003B03D6">
        <w:rPr>
          <w:szCs w:val="22"/>
        </w:rPr>
        <w:t>only (i.e., not reimbursement for relocation expenses).</w:t>
      </w:r>
      <w:r>
        <w:rPr>
          <w:rStyle w:val="FootnoteReference"/>
          <w:szCs w:val="22"/>
        </w:rPr>
        <w:footnoteReference w:id="12"/>
      </w:r>
      <w:r w:rsidRPr="00AD34B8" w:rsidR="003B03D6">
        <w:rPr>
          <w:szCs w:val="22"/>
        </w:rPr>
        <w:t xml:space="preserve">  </w:t>
      </w:r>
      <w:r w:rsidRPr="00C83FE3" w:rsidR="00AD34B8">
        <w:rPr>
          <w:szCs w:val="22"/>
        </w:rPr>
        <w:t>Any incumbent earth station operator that wishes to add antennas to any existing registration must request a waiver of the applicable sections of the Commission’s rules.</w:t>
      </w:r>
      <w:r>
        <w:rPr>
          <w:rStyle w:val="FootnoteReference"/>
          <w:szCs w:val="22"/>
        </w:rPr>
        <w:footnoteReference w:id="13"/>
      </w:r>
      <w:r w:rsidRPr="00C83FE3" w:rsidR="00AD34B8">
        <w:rPr>
          <w:szCs w:val="22"/>
        </w:rPr>
        <w:t xml:space="preserve"> </w:t>
      </w:r>
      <w:r w:rsidR="00AD34B8">
        <w:rPr>
          <w:szCs w:val="22"/>
        </w:rPr>
        <w:t xml:space="preserve"> </w:t>
      </w:r>
      <w:r>
        <w:rPr>
          <w:szCs w:val="22"/>
        </w:rPr>
        <w:t xml:space="preserve">Because of the impact of this process on the upcoming deadlines for participation in the auction scheduled for this band, it is unlikely that we will be in a position to grant any such waiver requests filed after </w:t>
      </w:r>
      <w:r w:rsidRPr="0083304D">
        <w:rPr>
          <w:b/>
          <w:bCs/>
          <w:szCs w:val="22"/>
        </w:rPr>
        <w:t>September 2</w:t>
      </w:r>
      <w:r w:rsidRPr="0083304D" w:rsidR="0083304D">
        <w:rPr>
          <w:b/>
          <w:bCs/>
          <w:szCs w:val="22"/>
        </w:rPr>
        <w:t>5</w:t>
      </w:r>
      <w:r w:rsidRPr="0083304D">
        <w:rPr>
          <w:b/>
          <w:bCs/>
          <w:szCs w:val="22"/>
        </w:rPr>
        <w:t>, 2020</w:t>
      </w:r>
      <w:r w:rsidRPr="00C83FE3">
        <w:rPr>
          <w:szCs w:val="22"/>
        </w:rPr>
        <w:t>.</w:t>
      </w:r>
      <w:r>
        <w:rPr>
          <w:rStyle w:val="FootnoteReference"/>
          <w:szCs w:val="22"/>
        </w:rPr>
        <w:footnoteReference w:id="14"/>
      </w:r>
    </w:p>
    <w:p w:rsidR="006A3BFB" w:rsidRPr="00AD34B8" w:rsidP="006A3BFB" w14:paraId="32499722" w14:textId="77777777">
      <w:pPr>
        <w:widowControl/>
        <w:autoSpaceDE w:val="0"/>
        <w:autoSpaceDN w:val="0"/>
        <w:adjustRightInd w:val="0"/>
        <w:spacing w:after="120"/>
        <w:ind w:firstLine="720"/>
        <w:rPr>
          <w:snapToGrid/>
          <w:color w:val="000000"/>
          <w:kern w:val="0"/>
          <w:szCs w:val="22"/>
        </w:rPr>
      </w:pPr>
      <w:r w:rsidRPr="00AD34B8">
        <w:rPr>
          <w:snapToGrid/>
          <w:color w:val="000000"/>
          <w:kern w:val="0"/>
          <w:szCs w:val="22"/>
        </w:rPr>
        <w:t>To expedite processing, we require applicants to identify on the first page of their waiver request whether their request is consistent with the limits proposed in the NAB and NCTA letter insofar as it would (1) involve only antennas located within 150 meters of an incumbent earth station; (2)</w:t>
      </w:r>
      <w:r>
        <w:rPr>
          <w:snapToGrid/>
          <w:color w:val="000000"/>
          <w:kern w:val="0"/>
          <w:szCs w:val="22"/>
        </w:rPr>
        <w:t> </w:t>
      </w:r>
      <w:r w:rsidRPr="00AD34B8">
        <w:rPr>
          <w:snapToGrid/>
          <w:color w:val="000000"/>
          <w:kern w:val="0"/>
          <w:szCs w:val="22"/>
        </w:rPr>
        <w:t>would request a waiver for no more than 25 additional antennas per registrant at any given site; and (3) would seek interference protection only and would disavow any claim to reimbursement for the antennas for which a waiver is sought.</w:t>
      </w:r>
    </w:p>
    <w:p w:rsidR="002429B2" w:rsidRPr="00AD34B8" w:rsidP="005B43AB" w14:paraId="16CBB6BE" w14:textId="62589F06">
      <w:pPr>
        <w:pStyle w:val="Default"/>
        <w:spacing w:after="120"/>
        <w:ind w:firstLine="720"/>
        <w:rPr>
          <w:szCs w:val="22"/>
        </w:rPr>
      </w:pPr>
      <w:r>
        <w:rPr>
          <w:szCs w:val="22"/>
        </w:rPr>
        <w:t xml:space="preserve">While each such waiver will be evaluated </w:t>
      </w:r>
      <w:r>
        <w:rPr>
          <w:szCs w:val="22"/>
        </w:rPr>
        <w:t>in light of</w:t>
      </w:r>
      <w:r>
        <w:rPr>
          <w:szCs w:val="22"/>
        </w:rPr>
        <w:t xml:space="preserve"> the particular facts and circumstances set forth in the waiver request, the Bureaus are providing this guidance to set forth some of the factors that may be considered in evaluating such requests.  </w:t>
      </w:r>
      <w:r w:rsidRPr="00AD34B8" w:rsidR="003B03D6">
        <w:rPr>
          <w:szCs w:val="22"/>
        </w:rPr>
        <w:t xml:space="preserve">Such waiver requests must: (1) be </w:t>
      </w:r>
      <w:r w:rsidR="006A3BFB">
        <w:rPr>
          <w:szCs w:val="22"/>
        </w:rPr>
        <w:t>pleaded</w:t>
      </w:r>
      <w:r w:rsidRPr="00AD34B8" w:rsidR="003B03D6">
        <w:rPr>
          <w:szCs w:val="22"/>
        </w:rPr>
        <w:t xml:space="preserve"> with specificity; (2) provide detailed information regarding the individual circumstances of the applicant and the registration information for each new antenna; and (</w:t>
      </w:r>
      <w:r w:rsidRPr="00AD34B8">
        <w:rPr>
          <w:szCs w:val="22"/>
        </w:rPr>
        <w:t>3</w:t>
      </w:r>
      <w:r w:rsidRPr="00AD34B8" w:rsidR="003B03D6">
        <w:rPr>
          <w:szCs w:val="22"/>
        </w:rPr>
        <w:t>) otherwise comport with the Commission’s rules governing waiver requests.</w:t>
      </w:r>
      <w:r w:rsidRPr="00AD34B8" w:rsidR="009F7147">
        <w:rPr>
          <w:szCs w:val="22"/>
        </w:rPr>
        <w:t xml:space="preserve">  In each case, we would</w:t>
      </w:r>
      <w:r w:rsidRPr="00AD34B8" w:rsidR="00135675">
        <w:rPr>
          <w:szCs w:val="22"/>
        </w:rPr>
        <w:t xml:space="preserve"> expect to</w:t>
      </w:r>
      <w:r w:rsidRPr="00AD34B8" w:rsidR="009F7147">
        <w:rPr>
          <w:szCs w:val="22"/>
        </w:rPr>
        <w:t xml:space="preserve"> </w:t>
      </w:r>
      <w:r w:rsidRPr="00AD34B8" w:rsidR="00DF340D">
        <w:rPr>
          <w:szCs w:val="22"/>
        </w:rPr>
        <w:t>take into account</w:t>
      </w:r>
      <w:r w:rsidRPr="00AD34B8" w:rsidR="00DF340D">
        <w:rPr>
          <w:szCs w:val="22"/>
        </w:rPr>
        <w:t xml:space="preserve"> the following considerations</w:t>
      </w:r>
      <w:r w:rsidRPr="00AD34B8" w:rsidR="00135675">
        <w:rPr>
          <w:szCs w:val="22"/>
        </w:rPr>
        <w:t>, among others</w:t>
      </w:r>
      <w:r w:rsidRPr="00AD34B8" w:rsidR="00DF340D">
        <w:rPr>
          <w:szCs w:val="22"/>
        </w:rPr>
        <w:t>:</w:t>
      </w:r>
      <w:r w:rsidRPr="00AD34B8">
        <w:rPr>
          <w:szCs w:val="22"/>
        </w:rPr>
        <w:t xml:space="preserve">  </w:t>
      </w:r>
    </w:p>
    <w:p w:rsidR="003B03D6" w:rsidRPr="00AD34B8" w:rsidP="005B43AB" w14:paraId="07BA1FBF" w14:textId="6121C81B">
      <w:pPr>
        <w:widowControl/>
        <w:numPr>
          <w:ilvl w:val="0"/>
          <w:numId w:val="10"/>
        </w:numPr>
        <w:autoSpaceDE w:val="0"/>
        <w:autoSpaceDN w:val="0"/>
        <w:adjustRightInd w:val="0"/>
        <w:spacing w:after="120"/>
        <w:rPr>
          <w:snapToGrid/>
          <w:color w:val="000000"/>
          <w:kern w:val="0"/>
          <w:szCs w:val="22"/>
        </w:rPr>
      </w:pPr>
      <w:r w:rsidRPr="00AD34B8">
        <w:rPr>
          <w:snapToGrid/>
          <w:color w:val="000000"/>
          <w:kern w:val="0"/>
          <w:szCs w:val="22"/>
        </w:rPr>
        <w:t>Whether the a</w:t>
      </w:r>
      <w:r w:rsidRPr="00AD34B8" w:rsidR="009D7B24">
        <w:rPr>
          <w:snapToGrid/>
          <w:color w:val="000000"/>
          <w:kern w:val="0"/>
          <w:szCs w:val="22"/>
        </w:rPr>
        <w:t>ntenna</w:t>
      </w:r>
      <w:r w:rsidRPr="00AD34B8">
        <w:rPr>
          <w:snapToGrid/>
          <w:color w:val="000000"/>
          <w:kern w:val="0"/>
          <w:szCs w:val="22"/>
        </w:rPr>
        <w:t xml:space="preserve"> w</w:t>
      </w:r>
      <w:r w:rsidRPr="00AD34B8">
        <w:rPr>
          <w:snapToGrid/>
          <w:color w:val="000000"/>
          <w:kern w:val="0"/>
          <w:szCs w:val="22"/>
        </w:rPr>
        <w:t xml:space="preserve">ould have been eligible for incumbent protection when the filing window closed on November 7, 2018; </w:t>
      </w:r>
    </w:p>
    <w:p w:rsidR="003B03D6" w:rsidRPr="00AD34B8" w:rsidP="005B43AB" w14:paraId="0A60A05B" w14:textId="5755D4D0">
      <w:pPr>
        <w:widowControl/>
        <w:numPr>
          <w:ilvl w:val="0"/>
          <w:numId w:val="10"/>
        </w:numPr>
        <w:autoSpaceDE w:val="0"/>
        <w:autoSpaceDN w:val="0"/>
        <w:adjustRightInd w:val="0"/>
        <w:spacing w:after="120"/>
        <w:rPr>
          <w:snapToGrid/>
          <w:color w:val="000000"/>
          <w:kern w:val="0"/>
          <w:szCs w:val="22"/>
        </w:rPr>
      </w:pPr>
      <w:r w:rsidRPr="00AD34B8">
        <w:rPr>
          <w:snapToGrid/>
          <w:color w:val="000000"/>
          <w:kern w:val="0"/>
          <w:szCs w:val="22"/>
        </w:rPr>
        <w:t>Whether the request involves</w:t>
      </w:r>
      <w:r w:rsidRPr="00AD34B8">
        <w:rPr>
          <w:snapToGrid/>
          <w:color w:val="000000"/>
          <w:kern w:val="0"/>
          <w:szCs w:val="22"/>
        </w:rPr>
        <w:t xml:space="preserve"> a site or facility with one or more incumbent earth stations in the 3.7-4.2 GHz band</w:t>
      </w:r>
      <w:r w:rsidRPr="00AD34B8" w:rsidR="00C83FE3">
        <w:rPr>
          <w:snapToGrid/>
          <w:color w:val="000000"/>
          <w:kern w:val="0"/>
          <w:szCs w:val="22"/>
        </w:rPr>
        <w:t xml:space="preserve"> (</w:t>
      </w:r>
      <w:r w:rsidRPr="00AD34B8">
        <w:rPr>
          <w:snapToGrid/>
          <w:color w:val="000000"/>
          <w:kern w:val="0"/>
          <w:szCs w:val="22"/>
        </w:rPr>
        <w:t xml:space="preserve">providing the specific Callsign, </w:t>
      </w:r>
      <w:r w:rsidRPr="00AD34B8">
        <w:rPr>
          <w:snapToGrid/>
          <w:color w:val="000000"/>
          <w:kern w:val="0"/>
          <w:szCs w:val="22"/>
        </w:rPr>
        <w:t>SiteID</w:t>
      </w:r>
      <w:r w:rsidRPr="00AD34B8">
        <w:rPr>
          <w:snapToGrid/>
          <w:color w:val="000000"/>
          <w:kern w:val="0"/>
          <w:szCs w:val="22"/>
        </w:rPr>
        <w:t xml:space="preserve">, and </w:t>
      </w:r>
      <w:r w:rsidRPr="00AD34B8">
        <w:rPr>
          <w:snapToGrid/>
          <w:color w:val="000000"/>
          <w:kern w:val="0"/>
          <w:szCs w:val="22"/>
        </w:rPr>
        <w:t>AntID</w:t>
      </w:r>
      <w:r w:rsidRPr="00AD34B8">
        <w:rPr>
          <w:snapToGrid/>
          <w:color w:val="000000"/>
          <w:kern w:val="0"/>
          <w:szCs w:val="22"/>
        </w:rPr>
        <w:t xml:space="preserve"> of the</w:t>
      </w:r>
      <w:r w:rsidRPr="00AD34B8" w:rsidR="009D7B24">
        <w:rPr>
          <w:snapToGrid/>
          <w:color w:val="000000"/>
          <w:kern w:val="0"/>
          <w:szCs w:val="22"/>
        </w:rPr>
        <w:t xml:space="preserve"> </w:t>
      </w:r>
      <w:r w:rsidRPr="00AD34B8">
        <w:rPr>
          <w:snapToGrid/>
          <w:color w:val="000000"/>
          <w:kern w:val="0"/>
          <w:szCs w:val="22"/>
        </w:rPr>
        <w:t>incumbent earth station(s)</w:t>
      </w:r>
      <w:r w:rsidRPr="00AD34B8" w:rsidR="009E4F71">
        <w:rPr>
          <w:snapToGrid/>
          <w:color w:val="000000"/>
          <w:kern w:val="0"/>
          <w:szCs w:val="22"/>
        </w:rPr>
        <w:t>)</w:t>
      </w:r>
      <w:r w:rsidRPr="00AD34B8" w:rsidR="00C83FE3">
        <w:rPr>
          <w:snapToGrid/>
          <w:color w:val="000000"/>
          <w:kern w:val="0"/>
          <w:szCs w:val="22"/>
        </w:rPr>
        <w:t>;</w:t>
      </w:r>
    </w:p>
    <w:p w:rsidR="003B03D6" w:rsidRPr="00AD34B8" w:rsidP="005B43AB" w14:paraId="37F47EDA" w14:textId="2F388466">
      <w:pPr>
        <w:widowControl/>
        <w:numPr>
          <w:ilvl w:val="0"/>
          <w:numId w:val="10"/>
        </w:numPr>
        <w:autoSpaceDE w:val="0"/>
        <w:autoSpaceDN w:val="0"/>
        <w:adjustRightInd w:val="0"/>
        <w:spacing w:after="120"/>
        <w:rPr>
          <w:snapToGrid/>
          <w:color w:val="000000"/>
          <w:kern w:val="0"/>
          <w:szCs w:val="22"/>
        </w:rPr>
      </w:pPr>
      <w:r w:rsidRPr="00AD34B8">
        <w:rPr>
          <w:snapToGrid/>
          <w:color w:val="000000"/>
          <w:kern w:val="0"/>
          <w:szCs w:val="22"/>
        </w:rPr>
        <w:t xml:space="preserve">How far away the additional antennas are </w:t>
      </w:r>
      <w:r w:rsidRPr="00AD34B8">
        <w:rPr>
          <w:snapToGrid/>
          <w:color w:val="000000"/>
          <w:kern w:val="0"/>
          <w:szCs w:val="22"/>
        </w:rPr>
        <w:t>from an incumbent earth station</w:t>
      </w:r>
      <w:r w:rsidRPr="00AD34B8" w:rsidR="00C83FE3">
        <w:rPr>
          <w:snapToGrid/>
          <w:color w:val="000000"/>
          <w:kern w:val="0"/>
          <w:szCs w:val="22"/>
        </w:rPr>
        <w:t xml:space="preserve"> (</w:t>
      </w:r>
      <w:r w:rsidRPr="00AD34B8">
        <w:rPr>
          <w:snapToGrid/>
          <w:color w:val="000000"/>
          <w:kern w:val="0"/>
          <w:szCs w:val="22"/>
        </w:rPr>
        <w:t>providing the specific</w:t>
      </w:r>
      <w:r w:rsidRPr="00AD34B8" w:rsidR="002727F3">
        <w:rPr>
          <w:snapToGrid/>
          <w:color w:val="000000"/>
          <w:kern w:val="0"/>
          <w:szCs w:val="22"/>
        </w:rPr>
        <w:t xml:space="preserve"> </w:t>
      </w:r>
      <w:r w:rsidRPr="00AD34B8">
        <w:rPr>
          <w:snapToGrid/>
          <w:color w:val="000000"/>
          <w:kern w:val="0"/>
          <w:szCs w:val="22"/>
        </w:rPr>
        <w:t xml:space="preserve">Callsign, </w:t>
      </w:r>
      <w:r w:rsidRPr="00AD34B8">
        <w:rPr>
          <w:snapToGrid/>
          <w:color w:val="000000"/>
          <w:kern w:val="0"/>
          <w:szCs w:val="22"/>
        </w:rPr>
        <w:t>SiteID</w:t>
      </w:r>
      <w:r w:rsidRPr="00AD34B8">
        <w:rPr>
          <w:snapToGrid/>
          <w:color w:val="000000"/>
          <w:kern w:val="0"/>
          <w:szCs w:val="22"/>
        </w:rPr>
        <w:t xml:space="preserve">, </w:t>
      </w:r>
      <w:r w:rsidRPr="00AD34B8">
        <w:rPr>
          <w:snapToGrid/>
          <w:color w:val="000000"/>
          <w:kern w:val="0"/>
          <w:szCs w:val="22"/>
        </w:rPr>
        <w:t>AntID</w:t>
      </w:r>
      <w:r w:rsidRPr="00AD34B8">
        <w:rPr>
          <w:snapToGrid/>
          <w:color w:val="000000"/>
          <w:kern w:val="0"/>
          <w:szCs w:val="22"/>
        </w:rPr>
        <w:t xml:space="preserve">, </w:t>
      </w:r>
      <w:r w:rsidRPr="00AD34B8" w:rsidR="009D7B24">
        <w:rPr>
          <w:snapToGrid/>
          <w:color w:val="000000"/>
          <w:kern w:val="0"/>
          <w:szCs w:val="22"/>
        </w:rPr>
        <w:t xml:space="preserve">and GPS coordinates </w:t>
      </w:r>
      <w:r w:rsidRPr="00AD34B8">
        <w:rPr>
          <w:snapToGrid/>
          <w:color w:val="000000"/>
          <w:kern w:val="0"/>
          <w:szCs w:val="22"/>
        </w:rPr>
        <w:t xml:space="preserve">of </w:t>
      </w:r>
      <w:r w:rsidRPr="00AD34B8" w:rsidR="005C3E50">
        <w:rPr>
          <w:snapToGrid/>
          <w:color w:val="000000"/>
          <w:kern w:val="0"/>
          <w:szCs w:val="22"/>
        </w:rPr>
        <w:t>each</w:t>
      </w:r>
      <w:r w:rsidRPr="00AD34B8">
        <w:rPr>
          <w:snapToGrid/>
          <w:color w:val="000000"/>
          <w:kern w:val="0"/>
          <w:szCs w:val="22"/>
        </w:rPr>
        <w:t xml:space="preserve"> antenna</w:t>
      </w:r>
      <w:r w:rsidRPr="00AD34B8" w:rsidR="00C83FE3">
        <w:rPr>
          <w:snapToGrid/>
          <w:color w:val="000000"/>
          <w:kern w:val="0"/>
          <w:szCs w:val="22"/>
        </w:rPr>
        <w:t>)</w:t>
      </w:r>
      <w:r w:rsidRPr="00AD34B8">
        <w:rPr>
          <w:snapToGrid/>
          <w:color w:val="000000"/>
          <w:kern w:val="0"/>
          <w:szCs w:val="22"/>
        </w:rPr>
        <w:t>;</w:t>
      </w:r>
      <w:r w:rsidRPr="00AD34B8" w:rsidR="00C83FE3">
        <w:rPr>
          <w:snapToGrid/>
          <w:color w:val="000000"/>
          <w:kern w:val="0"/>
          <w:szCs w:val="22"/>
        </w:rPr>
        <w:t xml:space="preserve"> </w:t>
      </w:r>
    </w:p>
    <w:p w:rsidR="009F7147" w:rsidRPr="00AD34B8" w:rsidP="005B43AB" w14:paraId="586FCF89" w14:textId="0CFD5695">
      <w:pPr>
        <w:widowControl/>
        <w:numPr>
          <w:ilvl w:val="0"/>
          <w:numId w:val="10"/>
        </w:numPr>
        <w:autoSpaceDE w:val="0"/>
        <w:autoSpaceDN w:val="0"/>
        <w:adjustRightInd w:val="0"/>
        <w:spacing w:after="120"/>
        <w:rPr>
          <w:snapToGrid/>
          <w:color w:val="000000"/>
          <w:kern w:val="0"/>
          <w:szCs w:val="22"/>
        </w:rPr>
      </w:pPr>
      <w:r w:rsidRPr="00AD34B8">
        <w:rPr>
          <w:snapToGrid/>
          <w:color w:val="000000"/>
          <w:kern w:val="0"/>
          <w:szCs w:val="22"/>
        </w:rPr>
        <w:t xml:space="preserve">How many </w:t>
      </w:r>
      <w:r w:rsidRPr="00AD34B8" w:rsidR="003B03D6">
        <w:rPr>
          <w:snapToGrid/>
          <w:color w:val="000000"/>
          <w:kern w:val="0"/>
          <w:szCs w:val="22"/>
        </w:rPr>
        <w:t>additional antennas per registrant at any given site</w:t>
      </w:r>
      <w:r w:rsidRPr="00AD34B8" w:rsidR="0037630B">
        <w:rPr>
          <w:snapToGrid/>
          <w:color w:val="000000"/>
          <w:kern w:val="0"/>
          <w:szCs w:val="22"/>
        </w:rPr>
        <w:t xml:space="preserve">; </w:t>
      </w:r>
      <w:r w:rsidRPr="00AD34B8" w:rsidR="00DF340D">
        <w:rPr>
          <w:snapToGrid/>
          <w:color w:val="000000"/>
          <w:kern w:val="0"/>
          <w:szCs w:val="22"/>
        </w:rPr>
        <w:t>and</w:t>
      </w:r>
    </w:p>
    <w:p w:rsidR="00DF340D" w:rsidRPr="00AD34B8" w:rsidP="005B43AB" w14:paraId="6225ACC5" w14:textId="75C246B2">
      <w:pPr>
        <w:widowControl/>
        <w:numPr>
          <w:ilvl w:val="0"/>
          <w:numId w:val="10"/>
        </w:numPr>
        <w:autoSpaceDE w:val="0"/>
        <w:autoSpaceDN w:val="0"/>
        <w:adjustRightInd w:val="0"/>
        <w:spacing w:after="120"/>
        <w:rPr>
          <w:snapToGrid/>
          <w:color w:val="000000"/>
          <w:kern w:val="0"/>
          <w:szCs w:val="22"/>
        </w:rPr>
      </w:pPr>
      <w:r w:rsidRPr="00AD34B8">
        <w:rPr>
          <w:snapToGrid/>
          <w:color w:val="000000"/>
          <w:kern w:val="0"/>
          <w:szCs w:val="22"/>
        </w:rPr>
        <w:t xml:space="preserve">Whether grant of the waiver would require </w:t>
      </w:r>
      <w:r w:rsidRPr="00AD34B8" w:rsidR="005C3E50">
        <w:rPr>
          <w:snapToGrid/>
          <w:color w:val="000000"/>
          <w:kern w:val="0"/>
          <w:szCs w:val="22"/>
        </w:rPr>
        <w:t xml:space="preserve">reimbursement </w:t>
      </w:r>
      <w:r w:rsidRPr="00AD34B8">
        <w:rPr>
          <w:snapToGrid/>
          <w:color w:val="000000"/>
          <w:kern w:val="0"/>
          <w:szCs w:val="22"/>
        </w:rPr>
        <w:t xml:space="preserve">of additional </w:t>
      </w:r>
      <w:r w:rsidRPr="00AD34B8" w:rsidR="005C3E50">
        <w:rPr>
          <w:snapToGrid/>
          <w:color w:val="000000"/>
          <w:kern w:val="0"/>
          <w:szCs w:val="22"/>
        </w:rPr>
        <w:t>relocation expenses</w:t>
      </w:r>
      <w:r w:rsidRPr="00AD34B8">
        <w:rPr>
          <w:snapToGrid/>
          <w:color w:val="000000"/>
          <w:kern w:val="0"/>
          <w:szCs w:val="22"/>
        </w:rPr>
        <w:t xml:space="preserve"> to the applicant</w:t>
      </w:r>
      <w:r w:rsidRPr="00AD34B8">
        <w:rPr>
          <w:snapToGrid/>
          <w:color w:val="000000"/>
          <w:kern w:val="0"/>
          <w:szCs w:val="22"/>
        </w:rPr>
        <w:t>.</w:t>
      </w:r>
    </w:p>
    <w:p w:rsidR="0078421A" w:rsidRPr="00AD34B8" w:rsidP="00F6231F" w14:paraId="526CEC92" w14:textId="3F0E997F">
      <w:pPr>
        <w:widowControl/>
        <w:autoSpaceDE w:val="0"/>
        <w:autoSpaceDN w:val="0"/>
        <w:adjustRightInd w:val="0"/>
        <w:spacing w:after="120"/>
        <w:rPr>
          <w:snapToGrid/>
          <w:color w:val="000000"/>
          <w:kern w:val="0"/>
          <w:szCs w:val="22"/>
        </w:rPr>
      </w:pPr>
      <w:bookmarkStart w:id="3" w:name="_Hlk51084312"/>
      <w:r w:rsidRPr="00AD34B8">
        <w:rPr>
          <w:snapToGrid/>
          <w:color w:val="000000"/>
          <w:kern w:val="0"/>
          <w:szCs w:val="22"/>
        </w:rPr>
        <w:t>G</w:t>
      </w:r>
      <w:r w:rsidRPr="00AD34B8" w:rsidR="003B03D6">
        <w:rPr>
          <w:snapToGrid/>
          <w:color w:val="000000"/>
          <w:kern w:val="0"/>
          <w:szCs w:val="22"/>
        </w:rPr>
        <w:t xml:space="preserve">iven the timing of Auction 107 and the clear public interest benefits in ensuring that prospective bidders have complete information about incumbent operations in the band, waiver requests </w:t>
      </w:r>
      <w:r w:rsidRPr="00AD34B8" w:rsidR="005C3E50">
        <w:rPr>
          <w:snapToGrid/>
          <w:color w:val="000000"/>
          <w:kern w:val="0"/>
          <w:szCs w:val="22"/>
        </w:rPr>
        <w:t>must</w:t>
      </w:r>
      <w:r w:rsidRPr="00AD34B8" w:rsidR="00D24F70">
        <w:rPr>
          <w:snapToGrid/>
          <w:color w:val="000000"/>
          <w:kern w:val="0"/>
          <w:szCs w:val="22"/>
        </w:rPr>
        <w:t xml:space="preserve"> </w:t>
      </w:r>
      <w:r w:rsidRPr="00AD34B8" w:rsidR="003B03D6">
        <w:rPr>
          <w:snapToGrid/>
          <w:color w:val="000000"/>
          <w:kern w:val="0"/>
          <w:szCs w:val="22"/>
        </w:rPr>
        <w:t xml:space="preserve">be submitted in </w:t>
      </w:r>
      <w:r w:rsidRPr="0083304D" w:rsidR="00B635CA">
        <w:rPr>
          <w:b/>
          <w:bCs/>
          <w:snapToGrid/>
          <w:color w:val="000000"/>
          <w:kern w:val="0"/>
          <w:szCs w:val="22"/>
        </w:rPr>
        <w:t>GN</w:t>
      </w:r>
      <w:r w:rsidRPr="0083304D" w:rsidR="00B635CA">
        <w:rPr>
          <w:snapToGrid/>
          <w:color w:val="000000"/>
          <w:kern w:val="0"/>
          <w:szCs w:val="22"/>
        </w:rPr>
        <w:t xml:space="preserve"> </w:t>
      </w:r>
      <w:r w:rsidRPr="0083304D" w:rsidR="003B03D6">
        <w:rPr>
          <w:b/>
          <w:bCs/>
          <w:snapToGrid/>
          <w:color w:val="000000"/>
          <w:kern w:val="0"/>
          <w:szCs w:val="22"/>
        </w:rPr>
        <w:t>Docket No. 20-</w:t>
      </w:r>
      <w:r w:rsidRPr="0083304D" w:rsidR="00B635CA">
        <w:rPr>
          <w:b/>
          <w:bCs/>
          <w:snapToGrid/>
          <w:color w:val="000000"/>
          <w:kern w:val="0"/>
          <w:szCs w:val="22"/>
        </w:rPr>
        <w:t>305</w:t>
      </w:r>
      <w:r w:rsidRPr="00AD34B8" w:rsidR="003B03D6">
        <w:rPr>
          <w:snapToGrid/>
          <w:color w:val="000000"/>
          <w:kern w:val="0"/>
          <w:szCs w:val="22"/>
        </w:rPr>
        <w:t xml:space="preserve"> on or before </w:t>
      </w:r>
      <w:r w:rsidRPr="0083304D" w:rsidR="003B03D6">
        <w:rPr>
          <w:b/>
          <w:bCs/>
          <w:snapToGrid/>
          <w:color w:val="000000"/>
          <w:kern w:val="0"/>
          <w:szCs w:val="22"/>
        </w:rPr>
        <w:t>September 2</w:t>
      </w:r>
      <w:r w:rsidRPr="0083304D" w:rsidR="0083304D">
        <w:rPr>
          <w:b/>
          <w:bCs/>
          <w:snapToGrid/>
          <w:color w:val="000000"/>
          <w:kern w:val="0"/>
          <w:szCs w:val="22"/>
        </w:rPr>
        <w:t>5</w:t>
      </w:r>
      <w:r w:rsidRPr="0083304D" w:rsidR="003B03D6">
        <w:rPr>
          <w:b/>
          <w:bCs/>
          <w:snapToGrid/>
          <w:color w:val="000000"/>
          <w:kern w:val="0"/>
          <w:szCs w:val="22"/>
        </w:rPr>
        <w:t>, 2020</w:t>
      </w:r>
      <w:r w:rsidRPr="0083304D" w:rsidR="003B03D6">
        <w:rPr>
          <w:snapToGrid/>
          <w:color w:val="000000"/>
          <w:kern w:val="0"/>
          <w:szCs w:val="22"/>
        </w:rPr>
        <w:t>.</w:t>
      </w:r>
      <w:r>
        <w:rPr>
          <w:rStyle w:val="FootnoteReference"/>
          <w:snapToGrid/>
          <w:kern w:val="0"/>
          <w:szCs w:val="22"/>
        </w:rPr>
        <w:footnoteReference w:id="15"/>
      </w:r>
      <w:r w:rsidRPr="00AD34B8" w:rsidR="003B03D6">
        <w:rPr>
          <w:snapToGrid/>
          <w:color w:val="000000"/>
          <w:kern w:val="0"/>
          <w:szCs w:val="22"/>
        </w:rPr>
        <w:t xml:space="preserve">  </w:t>
      </w:r>
      <w:bookmarkEnd w:id="3"/>
    </w:p>
    <w:p w:rsidR="00186DB2" w:rsidRPr="00AD34B8" w:rsidP="005B43AB" w14:paraId="5DCFB2A7" w14:textId="4839C3EC">
      <w:pPr>
        <w:pStyle w:val="Paranum0"/>
        <w:widowControl/>
        <w:spacing w:after="120"/>
        <w:jc w:val="center"/>
        <w:rPr>
          <w:szCs w:val="22"/>
        </w:rPr>
      </w:pPr>
      <w:r w:rsidRPr="00AD34B8">
        <w:rPr>
          <w:szCs w:val="22"/>
        </w:rPr>
        <w:t>***</w:t>
      </w:r>
    </w:p>
    <w:p w:rsidR="00D51116" w:rsidRPr="00AD34B8" w:rsidP="005B43AB" w14:paraId="7B8F4E61" w14:textId="577C494F">
      <w:pPr>
        <w:spacing w:after="120"/>
        <w:ind w:firstLine="720"/>
        <w:rPr>
          <w:szCs w:val="22"/>
        </w:rPr>
      </w:pPr>
      <w:r w:rsidRPr="00AD34B8">
        <w:rPr>
          <w:i/>
          <w:szCs w:val="22"/>
        </w:rPr>
        <w:t xml:space="preserve">Filing Requirements.  </w:t>
      </w:r>
      <w:r w:rsidRPr="00AD34B8" w:rsidR="00F70881">
        <w:rPr>
          <w:b/>
          <w:bCs/>
          <w:iCs/>
          <w:szCs w:val="22"/>
        </w:rPr>
        <w:t xml:space="preserve">Applicants are required </w:t>
      </w:r>
      <w:r w:rsidRPr="00AD34B8" w:rsidR="00F70881">
        <w:rPr>
          <w:b/>
          <w:bCs/>
          <w:snapToGrid/>
          <w:color w:val="000000"/>
          <w:kern w:val="0"/>
          <w:szCs w:val="22"/>
        </w:rPr>
        <w:t>to identify on the first page of their waiver request whether their request is consistent with the criteria set forth in the NAB and NCTA letter insofar as it would (1) involve only antennas located within 150 meters of a registered antenna; (2)</w:t>
      </w:r>
      <w:r w:rsidRPr="00AD34B8" w:rsidR="00AD34B8">
        <w:rPr>
          <w:b/>
          <w:bCs/>
          <w:snapToGrid/>
          <w:color w:val="000000"/>
          <w:kern w:val="0"/>
          <w:szCs w:val="22"/>
        </w:rPr>
        <w:t> </w:t>
      </w:r>
      <w:r w:rsidRPr="00AD34B8" w:rsidR="00F70881">
        <w:rPr>
          <w:b/>
          <w:bCs/>
          <w:snapToGrid/>
          <w:color w:val="000000"/>
          <w:kern w:val="0"/>
          <w:szCs w:val="22"/>
        </w:rPr>
        <w:t xml:space="preserve">would request a waiver for no more than 25 additional antennas per registrant at any given site; and (3) would seek interference protection only, and would disavow any claim to reimbursement for the antennas for which a waiver is sought. </w:t>
      </w:r>
      <w:r w:rsidRPr="00AD34B8" w:rsidR="00F70881">
        <w:rPr>
          <w:snapToGrid/>
          <w:color w:val="000000"/>
          <w:kern w:val="0"/>
          <w:szCs w:val="22"/>
        </w:rPr>
        <w:t xml:space="preserve"> </w:t>
      </w:r>
      <w:r w:rsidRPr="00AD34B8">
        <w:rPr>
          <w:iCs/>
          <w:szCs w:val="22"/>
        </w:rPr>
        <w:t xml:space="preserve">All filings must reference </w:t>
      </w:r>
      <w:r w:rsidRPr="0083304D" w:rsidR="00B635CA">
        <w:rPr>
          <w:b/>
          <w:bCs/>
          <w:iCs/>
          <w:szCs w:val="22"/>
        </w:rPr>
        <w:t>GN</w:t>
      </w:r>
      <w:r w:rsidRPr="0083304D" w:rsidR="00B635CA">
        <w:rPr>
          <w:iCs/>
          <w:szCs w:val="22"/>
        </w:rPr>
        <w:t xml:space="preserve"> </w:t>
      </w:r>
      <w:r w:rsidRPr="0083304D">
        <w:rPr>
          <w:b/>
          <w:bCs/>
          <w:iCs/>
          <w:szCs w:val="22"/>
        </w:rPr>
        <w:t>Docket No. 20-</w:t>
      </w:r>
      <w:r w:rsidRPr="0083304D" w:rsidR="00B635CA">
        <w:rPr>
          <w:b/>
          <w:bCs/>
          <w:iCs/>
          <w:szCs w:val="22"/>
        </w:rPr>
        <w:t>305</w:t>
      </w:r>
      <w:r w:rsidRPr="00AD34B8">
        <w:rPr>
          <w:iCs/>
          <w:szCs w:val="22"/>
        </w:rPr>
        <w:t xml:space="preserve"> and </w:t>
      </w:r>
      <w:r w:rsidRPr="00AD34B8">
        <w:rPr>
          <w:szCs w:val="22"/>
        </w:rPr>
        <w:t xml:space="preserve">may be filed using the Commission’s Electronic Comment Filing System (ECFS). </w:t>
      </w:r>
    </w:p>
    <w:p w:rsidR="00D51116" w:rsidRPr="00AD34B8" w:rsidP="005B43AB" w14:paraId="3E0E1579" w14:textId="73BDF81C">
      <w:pPr>
        <w:pStyle w:val="ListParagraph"/>
        <w:numPr>
          <w:ilvl w:val="0"/>
          <w:numId w:val="14"/>
        </w:numPr>
        <w:spacing w:after="120"/>
        <w:rPr>
          <w:szCs w:val="22"/>
        </w:rPr>
      </w:pPr>
      <w:r w:rsidRPr="00AD34B8">
        <w:rPr>
          <w:szCs w:val="22"/>
        </w:rPr>
        <w:t>Electronic Filers:  Comments may be filed electronically using the Internet by accessing the ECFS:  http</w:t>
      </w:r>
      <w:r w:rsidRPr="00AD34B8" w:rsidR="001B5A4B">
        <w:rPr>
          <w:szCs w:val="22"/>
        </w:rPr>
        <w:t>s</w:t>
      </w:r>
      <w:r w:rsidRPr="00AD34B8">
        <w:rPr>
          <w:szCs w:val="22"/>
        </w:rPr>
        <w:t>://</w:t>
      </w:r>
      <w:r w:rsidRPr="00AD34B8" w:rsidR="001B5A4B">
        <w:rPr>
          <w:szCs w:val="22"/>
        </w:rPr>
        <w:t>www</w:t>
      </w:r>
      <w:r w:rsidRPr="00AD34B8">
        <w:rPr>
          <w:szCs w:val="22"/>
        </w:rPr>
        <w:t xml:space="preserve">.fcc.gov/ecfs/.  </w:t>
      </w:r>
    </w:p>
    <w:p w:rsidR="00D51116" w:rsidRPr="00AD34B8" w:rsidP="005B43AB" w14:paraId="319B733E" w14:textId="77777777">
      <w:pPr>
        <w:pStyle w:val="ListParagraph"/>
        <w:numPr>
          <w:ilvl w:val="0"/>
          <w:numId w:val="14"/>
        </w:numPr>
        <w:spacing w:after="120"/>
        <w:rPr>
          <w:szCs w:val="22"/>
        </w:rPr>
      </w:pPr>
      <w:r w:rsidRPr="00AD34B8">
        <w:rPr>
          <w:szCs w:val="22"/>
        </w:rPr>
        <w:t>Paper Filers:  Parties who choose to file by paper must file an original and one copy of each filing.</w:t>
      </w:r>
    </w:p>
    <w:p w:rsidR="00D51116" w:rsidRPr="00AD34B8" w:rsidP="005B43AB" w14:paraId="568C0D46" w14:textId="77777777">
      <w:pPr>
        <w:pStyle w:val="ListParagraph"/>
        <w:numPr>
          <w:ilvl w:val="0"/>
          <w:numId w:val="14"/>
        </w:numPr>
        <w:spacing w:after="120"/>
        <w:rPr>
          <w:szCs w:val="22"/>
        </w:rPr>
      </w:pPr>
      <w:r w:rsidRPr="00AD34B8">
        <w:rPr>
          <w:szCs w:val="22"/>
        </w:rPr>
        <w:t>Filings can be sent by commercial overnight courier, or by first-class or overnight U.S. Postal Service mail. All filings must be addressed to the Commission’s Secretary, Office of the Secretary, Federal Communications Commission.</w:t>
      </w:r>
    </w:p>
    <w:p w:rsidR="00D51116" w:rsidRPr="00AD34B8" w:rsidP="005B43AB" w14:paraId="157EFDFD" w14:textId="34DA76B2">
      <w:pPr>
        <w:pStyle w:val="ListParagraph"/>
        <w:numPr>
          <w:ilvl w:val="0"/>
          <w:numId w:val="14"/>
        </w:numPr>
        <w:spacing w:after="120"/>
        <w:rPr>
          <w:szCs w:val="22"/>
        </w:rPr>
      </w:pPr>
      <w:r w:rsidRPr="00AD34B8">
        <w:rPr>
          <w:szCs w:val="22"/>
        </w:rPr>
        <w:t>Commercial overnight mail (other than U.S. Postal Service Express Mail and Priority Mail) must be sent to 9050 Junction Drive, Annapolis Junction, MD 20701.U.S. Postal Service first-class, Express, and Priority mail must be addressed to 445 12th Street, SW, Washington DC  20554.</w:t>
      </w:r>
    </w:p>
    <w:p w:rsidR="00D51116" w:rsidRPr="00AD34B8" w:rsidP="005B43AB" w14:paraId="46EFC8FD" w14:textId="1083D7C9">
      <w:pPr>
        <w:pStyle w:val="ListParagraph"/>
        <w:numPr>
          <w:ilvl w:val="0"/>
          <w:numId w:val="14"/>
        </w:numPr>
        <w:spacing w:after="120"/>
        <w:rPr>
          <w:b/>
          <w:bCs/>
          <w:szCs w:val="22"/>
        </w:rPr>
      </w:pPr>
      <w:r w:rsidRPr="00AD34B8">
        <w:rPr>
          <w:b/>
          <w:bCs/>
          <w:szCs w:val="22"/>
        </w:rPr>
        <w:t>Effective March 19, 2020, and until further notice, the Commission no longer accepts any hand or messenger delivered filings.</w:t>
      </w:r>
      <w:r w:rsidR="00F6231F">
        <w:rPr>
          <w:b/>
          <w:bCs/>
          <w:szCs w:val="22"/>
        </w:rPr>
        <w:t xml:space="preserve"> </w:t>
      </w:r>
      <w:r w:rsidRPr="00AD34B8">
        <w:rPr>
          <w:b/>
          <w:bCs/>
          <w:szCs w:val="22"/>
        </w:rPr>
        <w:t xml:space="preserve">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5" w:history="1">
        <w:r w:rsidRPr="00AD34B8">
          <w:rPr>
            <w:b/>
            <w:bCs/>
            <w:szCs w:val="22"/>
          </w:rPr>
          <w:t>https://www.fcc.gov/document/fcc-closes-headquarters-open-window-and-changes-hand-delivery-policy</w:t>
        </w:r>
      </w:hyperlink>
    </w:p>
    <w:p w:rsidR="00186DB2" w:rsidRPr="00AD34B8" w:rsidP="005B43AB" w14:paraId="7F04483A" w14:textId="77777777">
      <w:pPr>
        <w:spacing w:after="120"/>
        <w:ind w:firstLine="720"/>
        <w:rPr>
          <w:szCs w:val="22"/>
        </w:rPr>
      </w:pPr>
      <w:r w:rsidRPr="00AD34B8">
        <w:rPr>
          <w:i/>
          <w:iCs/>
          <w:szCs w:val="22"/>
        </w:rPr>
        <w:t>People with Disabilities</w:t>
      </w:r>
      <w:r w:rsidRPr="00AD34B8">
        <w:rPr>
          <w:szCs w:val="22"/>
        </w:rPr>
        <w:t xml:space="preserve">:  To request materials in accessible formats for people with disabilities (braille, large print, electronic files, audio format), send an e-mail to </w:t>
      </w:r>
      <w:hyperlink r:id="rId6" w:history="1">
        <w:r w:rsidRPr="00AD34B8">
          <w:rPr>
            <w:color w:val="0000FF"/>
            <w:szCs w:val="22"/>
            <w:u w:val="single"/>
          </w:rPr>
          <w:t>fcc504@fcc.gov</w:t>
        </w:r>
      </w:hyperlink>
      <w:r w:rsidRPr="00AD34B8">
        <w:rPr>
          <w:szCs w:val="22"/>
        </w:rPr>
        <w:t xml:space="preserve"> or call the Consumer &amp; Government Affairs Bureau at 202-418-0530 (voice, 202-418-0432 (</w:t>
      </w:r>
      <w:r w:rsidRPr="00AD34B8">
        <w:rPr>
          <w:szCs w:val="22"/>
        </w:rPr>
        <w:t>tty</w:t>
      </w:r>
      <w:r w:rsidRPr="00AD34B8">
        <w:rPr>
          <w:szCs w:val="22"/>
        </w:rPr>
        <w:t xml:space="preserve">). </w:t>
      </w:r>
    </w:p>
    <w:p w:rsidR="00186DB2" w:rsidRPr="00AD34B8" w:rsidP="005B43AB" w14:paraId="46FC7601" w14:textId="6B476233">
      <w:pPr>
        <w:spacing w:after="120"/>
        <w:ind w:firstLine="720"/>
        <w:rPr>
          <w:szCs w:val="22"/>
        </w:rPr>
      </w:pPr>
      <w:r w:rsidRPr="00AD34B8">
        <w:rPr>
          <w:i/>
          <w:iCs/>
          <w:szCs w:val="22"/>
        </w:rPr>
        <w:t xml:space="preserve">Ex </w:t>
      </w:r>
      <w:r w:rsidRPr="00AD34B8">
        <w:rPr>
          <w:i/>
          <w:iCs/>
          <w:szCs w:val="22"/>
        </w:rPr>
        <w:t>Parte</w:t>
      </w:r>
      <w:r w:rsidRPr="00AD34B8">
        <w:rPr>
          <w:i/>
          <w:iCs/>
          <w:szCs w:val="22"/>
        </w:rPr>
        <w:t xml:space="preserve"> Rules</w:t>
      </w:r>
      <w:r w:rsidRPr="00AD34B8">
        <w:rPr>
          <w:szCs w:val="22"/>
        </w:rPr>
        <w:t xml:space="preserve">.  This proceeding shall be treated as a “permit-but-disclose” proceeding in accordance with the Commission’s </w:t>
      </w:r>
      <w:r w:rsidRPr="00AD34B8">
        <w:rPr>
          <w:i/>
          <w:iCs/>
          <w:szCs w:val="22"/>
        </w:rPr>
        <w:t xml:space="preserve">ex </w:t>
      </w:r>
      <w:r w:rsidRPr="00AD34B8">
        <w:rPr>
          <w:i/>
          <w:iCs/>
          <w:szCs w:val="22"/>
        </w:rPr>
        <w:t>parte</w:t>
      </w:r>
      <w:r w:rsidRPr="00AD34B8">
        <w:rPr>
          <w:szCs w:val="22"/>
        </w:rPr>
        <w:t xml:space="preserve"> rules.</w:t>
      </w:r>
      <w:r>
        <w:rPr>
          <w:szCs w:val="22"/>
          <w:vertAlign w:val="superscript"/>
        </w:rPr>
        <w:footnoteReference w:id="16"/>
      </w:r>
      <w:r w:rsidRPr="00AD34B8">
        <w:rPr>
          <w:szCs w:val="22"/>
        </w:rPr>
        <w:t xml:space="preserve">  Persons making </w:t>
      </w:r>
      <w:r w:rsidRPr="00AD34B8">
        <w:rPr>
          <w:i/>
          <w:iCs/>
          <w:szCs w:val="22"/>
        </w:rPr>
        <w:t xml:space="preserve">ex </w:t>
      </w:r>
      <w:r w:rsidRPr="00AD34B8">
        <w:rPr>
          <w:i/>
          <w:iCs/>
          <w:szCs w:val="22"/>
        </w:rPr>
        <w:t>parte</w:t>
      </w:r>
      <w:r w:rsidRPr="00AD34B8">
        <w:rPr>
          <w:szCs w:val="22"/>
        </w:rPr>
        <w:t xml:space="preserve"> presentations must file a </w:t>
      </w:r>
      <w:r w:rsidRPr="00AD34B8">
        <w:rPr>
          <w:szCs w:val="22"/>
        </w:rPr>
        <w:t xml:space="preserve">copy of any written presentation or a memorandum summarizing any oral presentation within two business days after the presentation (unless a different deadline applicable to the Sunshine period applies).  Persons making oral </w:t>
      </w:r>
      <w:r w:rsidRPr="00AD34B8">
        <w:rPr>
          <w:i/>
          <w:iCs/>
          <w:szCs w:val="22"/>
        </w:rPr>
        <w:t xml:space="preserve">ex </w:t>
      </w:r>
      <w:r w:rsidRPr="00AD34B8">
        <w:rPr>
          <w:i/>
          <w:iCs/>
          <w:szCs w:val="22"/>
        </w:rPr>
        <w:t>parte</w:t>
      </w:r>
      <w:r w:rsidRPr="00AD34B8">
        <w:rPr>
          <w:szCs w:val="22"/>
        </w:rPr>
        <w:t xml:space="preserve"> presentations are reminded that memoranda summarizing the presentation must: (1) list all persons attending or otherwise participating in the meeting at which the </w:t>
      </w:r>
      <w:r w:rsidRPr="00AD34B8">
        <w:rPr>
          <w:i/>
          <w:iCs/>
          <w:szCs w:val="22"/>
        </w:rPr>
        <w:t xml:space="preserve">ex </w:t>
      </w:r>
      <w:r w:rsidRPr="00AD34B8">
        <w:rPr>
          <w:i/>
          <w:iCs/>
          <w:szCs w:val="22"/>
        </w:rPr>
        <w:t>parte</w:t>
      </w:r>
      <w:r w:rsidRPr="00AD34B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34B8">
        <w:rPr>
          <w:i/>
          <w:iCs/>
          <w:szCs w:val="22"/>
        </w:rPr>
        <w:t xml:space="preserve">ex </w:t>
      </w:r>
      <w:r w:rsidRPr="00AD34B8">
        <w:rPr>
          <w:i/>
          <w:iCs/>
          <w:szCs w:val="22"/>
        </w:rPr>
        <w:t>parte</w:t>
      </w:r>
      <w:r w:rsidRPr="00AD34B8">
        <w:rPr>
          <w:szCs w:val="22"/>
        </w:rPr>
        <w:t xml:space="preserve"> meetings are deemed to be written </w:t>
      </w:r>
      <w:r w:rsidRPr="00AD34B8">
        <w:rPr>
          <w:i/>
          <w:iCs/>
          <w:szCs w:val="22"/>
        </w:rPr>
        <w:t xml:space="preserve">ex </w:t>
      </w:r>
      <w:r w:rsidRPr="00AD34B8">
        <w:rPr>
          <w:i/>
          <w:iCs/>
          <w:szCs w:val="22"/>
        </w:rPr>
        <w:t>parte</w:t>
      </w:r>
      <w:r w:rsidRPr="00AD34B8">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AD34B8">
        <w:rPr>
          <w:i/>
          <w:iCs/>
          <w:szCs w:val="22"/>
        </w:rPr>
        <w:t xml:space="preserve">ex </w:t>
      </w:r>
      <w:r w:rsidRPr="00AD34B8">
        <w:rPr>
          <w:i/>
          <w:iCs/>
          <w:szCs w:val="22"/>
        </w:rPr>
        <w:t>parte</w:t>
      </w:r>
      <w:r w:rsidRPr="00AD34B8">
        <w:rPr>
          <w:szCs w:val="22"/>
        </w:rPr>
        <w:t xml:space="preserve"> presentations and memoranda summarizing oral </w:t>
      </w:r>
      <w:r w:rsidRPr="00AD34B8">
        <w:rPr>
          <w:i/>
          <w:iCs/>
          <w:szCs w:val="22"/>
        </w:rPr>
        <w:t xml:space="preserve">ex </w:t>
      </w:r>
      <w:r w:rsidRPr="00AD34B8">
        <w:rPr>
          <w:i/>
          <w:iCs/>
          <w:szCs w:val="22"/>
        </w:rPr>
        <w:t>parte</w:t>
      </w:r>
      <w:r w:rsidRPr="00AD34B8">
        <w:rPr>
          <w:i/>
          <w:iCs/>
          <w:szCs w:val="22"/>
        </w:rPr>
        <w:t xml:space="preserve"> </w:t>
      </w:r>
      <w:r w:rsidRPr="00AD34B8">
        <w:rPr>
          <w:szCs w:val="22"/>
        </w:rPr>
        <w:t>presentations, and all attachments thereto, must be filed through the electronic comment filing system available for that proceeding, and must be filed in their native format (</w:t>
      </w:r>
      <w:r w:rsidRPr="00AD34B8">
        <w:rPr>
          <w:i/>
          <w:iCs/>
          <w:szCs w:val="22"/>
        </w:rPr>
        <w:t>e.g.</w:t>
      </w:r>
      <w:r w:rsidRPr="00AD34B8">
        <w:rPr>
          <w:szCs w:val="22"/>
        </w:rPr>
        <w:t>, .doc, .xml., .ppt, searchable .pdf).</w:t>
      </w:r>
      <w:r>
        <w:rPr>
          <w:szCs w:val="22"/>
          <w:vertAlign w:val="superscript"/>
        </w:rPr>
        <w:footnoteReference w:id="17"/>
      </w:r>
      <w:r w:rsidRPr="00AD34B8">
        <w:rPr>
          <w:szCs w:val="22"/>
        </w:rPr>
        <w:t xml:space="preserve">  Participants in this proceeding should familiarize themselves with the Commission’s </w:t>
      </w:r>
      <w:r w:rsidRPr="00AD34B8">
        <w:rPr>
          <w:i/>
          <w:iCs/>
          <w:szCs w:val="22"/>
        </w:rPr>
        <w:t xml:space="preserve">ex </w:t>
      </w:r>
      <w:r w:rsidRPr="00AD34B8">
        <w:rPr>
          <w:i/>
          <w:iCs/>
          <w:szCs w:val="22"/>
        </w:rPr>
        <w:t>parte</w:t>
      </w:r>
      <w:r w:rsidRPr="00AD34B8">
        <w:rPr>
          <w:szCs w:val="22"/>
        </w:rPr>
        <w:t xml:space="preserve"> rules.</w:t>
      </w:r>
    </w:p>
    <w:p w:rsidR="00186DB2" w:rsidRPr="00AD34B8" w:rsidP="005B43AB" w14:paraId="5E47E8EA" w14:textId="19086A41">
      <w:pPr>
        <w:spacing w:after="120"/>
        <w:ind w:firstLine="720"/>
        <w:rPr>
          <w:szCs w:val="22"/>
        </w:rPr>
      </w:pPr>
      <w:r w:rsidRPr="00AD34B8">
        <w:rPr>
          <w:i/>
          <w:iCs/>
          <w:szCs w:val="22"/>
        </w:rPr>
        <w:t xml:space="preserve">Additional Information.  </w:t>
      </w:r>
      <w:r w:rsidRPr="00AD34B8">
        <w:rPr>
          <w:szCs w:val="22"/>
        </w:rPr>
        <w:t xml:space="preserve">For further information regarding this public notice, please </w:t>
      </w:r>
      <w:r w:rsidRPr="0083304D">
        <w:rPr>
          <w:szCs w:val="22"/>
        </w:rPr>
        <w:t xml:space="preserve">email </w:t>
      </w:r>
      <w:r w:rsidRPr="0083304D" w:rsidR="00CB3D5A">
        <w:rPr>
          <w:b/>
          <w:bCs/>
          <w:szCs w:val="22"/>
        </w:rPr>
        <w:t>ESWaiverInfo</w:t>
      </w:r>
      <w:r w:rsidRPr="0083304D">
        <w:rPr>
          <w:b/>
          <w:bCs/>
          <w:szCs w:val="22"/>
        </w:rPr>
        <w:t>@fcc.gov</w:t>
      </w:r>
      <w:r w:rsidRPr="00AD34B8">
        <w:rPr>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7FBB4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E365F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B2" w:rsidP="00FF6C45" w14:paraId="3BD91F49" w14:textId="2373151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DB2" w14:paraId="15FA5657" w14:textId="58C45C88">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1F9B" w14:paraId="32113410" w14:textId="77777777">
      <w:r>
        <w:separator/>
      </w:r>
    </w:p>
  </w:footnote>
  <w:footnote w:type="continuationSeparator" w:id="1">
    <w:p w:rsidR="00631F9B" w14:paraId="00E15B80" w14:textId="77777777">
      <w:pPr>
        <w:rPr>
          <w:sz w:val="20"/>
        </w:rPr>
      </w:pPr>
      <w:r>
        <w:rPr>
          <w:sz w:val="20"/>
        </w:rPr>
        <w:t xml:space="preserve">(Continued from previous page)  </w:t>
      </w:r>
      <w:r>
        <w:rPr>
          <w:sz w:val="20"/>
        </w:rPr>
        <w:separator/>
      </w:r>
    </w:p>
  </w:footnote>
  <w:footnote w:type="continuationNotice" w:id="2">
    <w:p w:rsidR="00631F9B" w:rsidP="00910F12" w14:paraId="27CAF2CE" w14:textId="77777777">
      <w:pPr>
        <w:jc w:val="right"/>
        <w:rPr>
          <w:sz w:val="20"/>
        </w:rPr>
      </w:pPr>
      <w:r>
        <w:rPr>
          <w:sz w:val="20"/>
        </w:rPr>
        <w:t>(continued….)</w:t>
      </w:r>
    </w:p>
  </w:footnote>
  <w:footnote w:id="3">
    <w:p w:rsidR="000B2220" w:rsidRPr="002D4711" w:rsidP="00176995" w14:paraId="399EB0A2" w14:textId="7EA266C6">
      <w:pPr>
        <w:pStyle w:val="FootnoteText"/>
      </w:pPr>
      <w:r w:rsidRPr="002D4711">
        <w:rPr>
          <w:rStyle w:val="FootnoteReference"/>
          <w:sz w:val="20"/>
        </w:rPr>
        <w:footnoteRef/>
      </w:r>
      <w:r w:rsidRPr="002D4711">
        <w:t xml:space="preserve"> </w:t>
      </w:r>
      <w:r w:rsidRPr="002D4711" w:rsidR="00713CB5">
        <w:rPr>
          <w:i/>
          <w:iCs/>
        </w:rPr>
        <w:t>Expanding Flexible Use of the 3.7 to 4.2 GHz Band</w:t>
      </w:r>
      <w:r w:rsidRPr="002D4711" w:rsidR="00713CB5">
        <w:t xml:space="preserve">, Report and Order and Order of Proposed Modification, 35 FCC </w:t>
      </w:r>
      <w:r w:rsidRPr="002D4711" w:rsidR="00713CB5">
        <w:t>Rcd</w:t>
      </w:r>
      <w:r w:rsidRPr="002D4711" w:rsidR="00713CB5">
        <w:t xml:space="preserve"> 2343, </w:t>
      </w:r>
      <w:r w:rsidRPr="002D4711" w:rsidR="00BF626D">
        <w:t>2345, para. 4</w:t>
      </w:r>
      <w:r w:rsidR="00556140">
        <w:t xml:space="preserve"> (</w:t>
      </w:r>
      <w:r w:rsidR="00BE3E6A">
        <w:rPr>
          <w:i/>
          <w:iCs/>
        </w:rPr>
        <w:t>3.7 GHz Report and Order</w:t>
      </w:r>
      <w:r w:rsidR="00BE3E6A">
        <w:t>)</w:t>
      </w:r>
      <w:r w:rsidRPr="002D4711" w:rsidR="00BF626D">
        <w:t>.</w:t>
      </w:r>
    </w:p>
  </w:footnote>
  <w:footnote w:id="4">
    <w:p w:rsidR="00A55F9B" w:rsidRPr="002D4711" w:rsidP="00176995" w14:paraId="120A3E9D" w14:textId="60AD9B96">
      <w:pPr>
        <w:widowControl/>
        <w:spacing w:after="120"/>
        <w:contextualSpacing/>
        <w:rPr>
          <w:sz w:val="20"/>
        </w:rPr>
      </w:pPr>
      <w:r w:rsidRPr="002D4711">
        <w:rPr>
          <w:rStyle w:val="FootnoteReference"/>
          <w:sz w:val="20"/>
        </w:rPr>
        <w:footnoteRef/>
      </w:r>
      <w:r w:rsidRPr="002D4711">
        <w:rPr>
          <w:sz w:val="20"/>
        </w:rPr>
        <w:t xml:space="preserve"> </w:t>
      </w:r>
      <w:r w:rsidR="002D4711">
        <w:rPr>
          <w:i/>
          <w:iCs/>
          <w:sz w:val="20"/>
        </w:rPr>
        <w:t xml:space="preserve">See </w:t>
      </w:r>
      <w:r w:rsidRPr="002D4711" w:rsidR="002D4711">
        <w:rPr>
          <w:i/>
          <w:iCs/>
          <w:sz w:val="20"/>
        </w:rPr>
        <w:t>3.7 GHz Report and Order</w:t>
      </w:r>
      <w:r w:rsidRPr="00AD34B8" w:rsidR="002D4711">
        <w:rPr>
          <w:sz w:val="20"/>
        </w:rPr>
        <w:t xml:space="preserve">, </w:t>
      </w:r>
      <w:r w:rsidRPr="002D4711" w:rsidR="002D4711">
        <w:rPr>
          <w:sz w:val="20"/>
        </w:rPr>
        <w:t xml:space="preserve">35 FCC </w:t>
      </w:r>
      <w:r w:rsidRPr="002D4711" w:rsidR="002D4711">
        <w:rPr>
          <w:sz w:val="20"/>
        </w:rPr>
        <w:t>Rcd</w:t>
      </w:r>
      <w:r w:rsidRPr="002D4711" w:rsidR="002D4711">
        <w:rPr>
          <w:sz w:val="20"/>
        </w:rPr>
        <w:t xml:space="preserve"> at</w:t>
      </w:r>
      <w:r w:rsidR="002D4711">
        <w:rPr>
          <w:sz w:val="20"/>
        </w:rPr>
        <w:t xml:space="preserve"> 239</w:t>
      </w:r>
      <w:r w:rsidR="00176995">
        <w:rPr>
          <w:sz w:val="20"/>
        </w:rPr>
        <w:t>2</w:t>
      </w:r>
      <w:r w:rsidR="002D4711">
        <w:rPr>
          <w:sz w:val="20"/>
        </w:rPr>
        <w:t>, paras. 116-117.</w:t>
      </w:r>
    </w:p>
  </w:footnote>
  <w:footnote w:id="5">
    <w:p w:rsidR="000B2220" w:rsidRPr="002D4711" w:rsidP="00176995" w14:paraId="1889A18B" w14:textId="30F9A24A">
      <w:pPr>
        <w:pStyle w:val="FootnoteText"/>
      </w:pPr>
      <w:r w:rsidRPr="002D4711">
        <w:rPr>
          <w:rStyle w:val="FootnoteReference"/>
          <w:sz w:val="20"/>
        </w:rPr>
        <w:footnoteRef/>
      </w:r>
      <w:r w:rsidRPr="002D4711">
        <w:t xml:space="preserve"> </w:t>
      </w:r>
      <w:bookmarkStart w:id="2" w:name="_Hlk46959883"/>
      <w:r w:rsidRPr="002D4711">
        <w:rPr>
          <w:i/>
          <w:iCs/>
        </w:rPr>
        <w:t xml:space="preserve">See </w:t>
      </w:r>
      <w:bookmarkEnd w:id="2"/>
      <w:r w:rsidRPr="002D4711" w:rsidR="005B43AB">
        <w:rPr>
          <w:i/>
          <w:iCs/>
        </w:rPr>
        <w:t>International Bureau Releases Preliminary List of Incumbent Earth Stations in the 3.7-4.2 GHz Band in the Contiguous United States</w:t>
      </w:r>
      <w:r w:rsidRPr="002D4711" w:rsidR="005B43AB">
        <w:t>, IB Docket No. 20-205, Public Notice, DA 20-703 (IB July 6, 2020) (</w:t>
      </w:r>
      <w:r w:rsidRPr="002D4711" w:rsidR="005B43AB">
        <w:rPr>
          <w:i/>
          <w:iCs/>
        </w:rPr>
        <w:t>Preliminary Incumbent Earth Station List Public Notice</w:t>
      </w:r>
      <w:r w:rsidRPr="002D4711" w:rsidR="005B43AB">
        <w:t>)</w:t>
      </w:r>
      <w:r w:rsidRPr="002D4711" w:rsidR="00BF626D">
        <w:t>.</w:t>
      </w:r>
    </w:p>
  </w:footnote>
  <w:footnote w:id="6">
    <w:p w:rsidR="00186DB2" w:rsidRPr="002D4711" w:rsidP="00176995" w14:paraId="3DC44D12" w14:textId="40EA4C62">
      <w:pPr>
        <w:pStyle w:val="FootnoteText"/>
        <w:rPr>
          <w:i/>
          <w:iCs/>
        </w:rPr>
      </w:pPr>
      <w:r w:rsidRPr="002D4711">
        <w:rPr>
          <w:rStyle w:val="FootnoteReference"/>
          <w:sz w:val="20"/>
        </w:rPr>
        <w:footnoteRef/>
      </w:r>
      <w:r w:rsidRPr="002D4711">
        <w:t xml:space="preserve"> </w:t>
      </w:r>
      <w:r w:rsidR="002D4711">
        <w:rPr>
          <w:i/>
          <w:iCs/>
        </w:rPr>
        <w:t xml:space="preserve">See </w:t>
      </w:r>
      <w:r w:rsidRPr="005B43AB" w:rsidR="005B43AB">
        <w:rPr>
          <w:i/>
          <w:iCs/>
        </w:rPr>
        <w:t>International Bureau Releases List of Incumbent Earth Stations in the 3.7-4.2 GHz Band in the Contiguous United States</w:t>
      </w:r>
      <w:r w:rsidRPr="005B43AB" w:rsidR="005B43AB">
        <w:t>, IB Docket No. 20-205, Public Notice, DA 20-823 (IB Aug</w:t>
      </w:r>
      <w:r w:rsidR="005B43AB">
        <w:t>.</w:t>
      </w:r>
      <w:r w:rsidRPr="005B43AB" w:rsidR="005B43AB">
        <w:t xml:space="preserve"> 3, 2020) (</w:t>
      </w:r>
      <w:r w:rsidRPr="005B43AB" w:rsidR="005B43AB">
        <w:rPr>
          <w:i/>
          <w:iCs/>
        </w:rPr>
        <w:t>Incumbent Earth Station List Public Notice</w:t>
      </w:r>
      <w:r w:rsidRPr="005B43AB" w:rsidR="005B43AB">
        <w:t>)</w:t>
      </w:r>
      <w:r w:rsidR="002D4711">
        <w:rPr>
          <w:i/>
          <w:iCs/>
        </w:rPr>
        <w:t>.</w:t>
      </w:r>
    </w:p>
  </w:footnote>
  <w:footnote w:id="7">
    <w:p w:rsidR="00900DDE" w:rsidRPr="00A62E72" w:rsidP="00176995" w14:paraId="5C3DAC1A" w14:textId="3FADFE8C">
      <w:pPr>
        <w:pStyle w:val="FootnoteText"/>
      </w:pPr>
      <w:r w:rsidRPr="002D4711">
        <w:rPr>
          <w:rStyle w:val="FootnoteReference"/>
          <w:sz w:val="20"/>
        </w:rPr>
        <w:footnoteRef/>
      </w:r>
      <w:r w:rsidRPr="002D4711">
        <w:t xml:space="preserve"> </w:t>
      </w:r>
      <w:r w:rsidR="00A62E72">
        <w:rPr>
          <w:i/>
          <w:iCs/>
        </w:rPr>
        <w:t xml:space="preserve">See </w:t>
      </w:r>
      <w:r w:rsidR="00A62E72">
        <w:t xml:space="preserve">Letter from Patrick McFadden, National Association of Broadcasters, and Jared Sher, Danielle </w:t>
      </w:r>
      <w:r w:rsidR="00A62E72">
        <w:t>Pineres</w:t>
      </w:r>
      <w:r w:rsidR="00A62E72">
        <w:t xml:space="preserve">, and Jacqueline Clary, NCTA – The Internet and Television Association to Marlene H. Dortch, Secretary, FCC, GN Docket No. 18-122, IB Docket No. 20-205 (filed </w:t>
      </w:r>
      <w:r w:rsidR="00D51116">
        <w:t>September</w:t>
      </w:r>
      <w:r w:rsidR="00A62E72">
        <w:t xml:space="preserve"> 8, 2020) (NCTA and NAB Letter)</w:t>
      </w:r>
      <w:r w:rsidR="00D51116">
        <w:t>.</w:t>
      </w:r>
    </w:p>
  </w:footnote>
  <w:footnote w:id="8">
    <w:p w:rsidR="007957A8" w14:paraId="51036DA7" w14:textId="235FCD24">
      <w:pPr>
        <w:pStyle w:val="FootnoteText"/>
      </w:pPr>
      <w:r>
        <w:rPr>
          <w:rStyle w:val="FootnoteReference"/>
        </w:rPr>
        <w:footnoteRef/>
      </w:r>
      <w:r>
        <w:t xml:space="preserve"> </w:t>
      </w:r>
      <w:r w:rsidRPr="004D12FB" w:rsidR="00494A67">
        <w:rPr>
          <w:i/>
          <w:iCs/>
        </w:rPr>
        <w:t>Id.</w:t>
      </w:r>
      <w:r w:rsidR="00494A67">
        <w:t xml:space="preserve"> at </w:t>
      </w:r>
      <w:r w:rsidR="0068245B">
        <w:t>2.</w:t>
      </w:r>
    </w:p>
  </w:footnote>
  <w:footnote w:id="9">
    <w:p w:rsidR="002D28D0" w:rsidP="002D28D0" w14:paraId="19567C62" w14:textId="001EBEA1">
      <w:pPr>
        <w:pStyle w:val="FootnoteText"/>
      </w:pPr>
      <w:r>
        <w:rPr>
          <w:rStyle w:val="FootnoteReference"/>
        </w:rPr>
        <w:footnoteRef/>
      </w:r>
      <w:r>
        <w:t xml:space="preserve"> </w:t>
      </w:r>
      <w:r w:rsidRPr="002D4711" w:rsidR="00FF6C45">
        <w:t>NCTA and NAB Letter</w:t>
      </w:r>
      <w:r>
        <w:t xml:space="preserve"> at 2-3.</w:t>
      </w:r>
    </w:p>
  </w:footnote>
  <w:footnote w:id="10">
    <w:p w:rsidR="00900DDE" w:rsidRPr="002D4711" w:rsidP="00176995" w14:paraId="22BDE3EB" w14:textId="3683C536">
      <w:pPr>
        <w:pStyle w:val="FootnoteText"/>
      </w:pPr>
      <w:r w:rsidRPr="002D4711">
        <w:rPr>
          <w:rStyle w:val="FootnoteReference"/>
          <w:sz w:val="20"/>
        </w:rPr>
        <w:footnoteRef/>
      </w:r>
      <w:r w:rsidRPr="002D4711">
        <w:t xml:space="preserve"> </w:t>
      </w:r>
      <w:r w:rsidR="00FF6C45">
        <w:rPr>
          <w:i/>
          <w:iCs/>
        </w:rPr>
        <w:t xml:space="preserve">Id. </w:t>
      </w:r>
      <w:r w:rsidRPr="002D4711">
        <w:t>at 3.</w:t>
      </w:r>
    </w:p>
  </w:footnote>
  <w:footnote w:id="11">
    <w:p w:rsidR="00900DDE" w:rsidRPr="002D4711" w:rsidP="00176995" w14:paraId="6B342277" w14:textId="35225C69">
      <w:pPr>
        <w:pStyle w:val="FootnoteText"/>
      </w:pPr>
      <w:r w:rsidRPr="002D4711">
        <w:rPr>
          <w:rStyle w:val="FootnoteReference"/>
          <w:sz w:val="20"/>
        </w:rPr>
        <w:footnoteRef/>
      </w:r>
      <w:r w:rsidRPr="002D4711">
        <w:t xml:space="preserve"> </w:t>
      </w:r>
      <w:r w:rsidRPr="006A3BFB" w:rsidR="006A3BFB">
        <w:rPr>
          <w:i/>
          <w:iCs/>
        </w:rPr>
        <w:t>Id</w:t>
      </w:r>
      <w:r w:rsidRPr="002D4711">
        <w:t>.</w:t>
      </w:r>
    </w:p>
  </w:footnote>
  <w:footnote w:id="12">
    <w:p w:rsidR="005B43AB" w:rsidRPr="005B43AB" w14:paraId="7E7C3DE6" w14:textId="0F345F6C">
      <w:pPr>
        <w:pStyle w:val="FootnoteText"/>
      </w:pPr>
      <w:r>
        <w:rPr>
          <w:rStyle w:val="FootnoteReference"/>
        </w:rPr>
        <w:footnoteRef/>
      </w:r>
      <w:r>
        <w:t xml:space="preserve"> </w:t>
      </w:r>
      <w:r w:rsidRPr="005B43AB">
        <w:t xml:space="preserve">For this purpose, incumbent earth stations are those FSS earth stations that the International Bureau has found satisfy the criteria to be classified as incumbent earth stations for purposes of the 3.7-4.2 GHz band (C-band) transition.  </w:t>
      </w:r>
      <w:r w:rsidRPr="005B43AB">
        <w:rPr>
          <w:i/>
          <w:iCs/>
        </w:rPr>
        <w:t>See Incumbent Earth Station List Public Notice</w:t>
      </w:r>
      <w:r>
        <w:t>;</w:t>
      </w:r>
      <w:r w:rsidRPr="005B43AB">
        <w:t xml:space="preserve"> </w:t>
      </w:r>
      <w:r>
        <w:rPr>
          <w:i/>
          <w:iCs/>
        </w:rPr>
        <w:t>s</w:t>
      </w:r>
      <w:r w:rsidRPr="005B43AB">
        <w:rPr>
          <w:i/>
          <w:iCs/>
        </w:rPr>
        <w:t>ee also</w:t>
      </w:r>
      <w:r w:rsidRPr="005B43AB">
        <w:rPr>
          <w:i/>
        </w:rPr>
        <w:t xml:space="preserve"> </w:t>
      </w:r>
      <w:r w:rsidRPr="005B43AB">
        <w:t>47 CFR §§ 25.121, 25.138, 27.1411(b)(3).</w:t>
      </w:r>
    </w:p>
  </w:footnote>
  <w:footnote w:id="13">
    <w:p w:rsidR="00AD34B8" w:rsidRPr="002D4711" w:rsidP="00AD34B8" w14:paraId="6F0A0BA4" w14:textId="3234A576">
      <w:pPr>
        <w:pStyle w:val="FootnoteText"/>
      </w:pPr>
      <w:r w:rsidRPr="002D4711">
        <w:rPr>
          <w:rStyle w:val="FootnoteReference"/>
          <w:sz w:val="20"/>
        </w:rPr>
        <w:footnoteRef/>
      </w:r>
      <w:r w:rsidRPr="002D4711">
        <w:t xml:space="preserve"> </w:t>
      </w:r>
      <w:r w:rsidRPr="002D4711">
        <w:rPr>
          <w:i/>
          <w:iCs/>
        </w:rPr>
        <w:t>See</w:t>
      </w:r>
      <w:r w:rsidR="006A3BFB">
        <w:rPr>
          <w:i/>
          <w:iCs/>
        </w:rPr>
        <w:t>,</w:t>
      </w:r>
      <w:r w:rsidRPr="002D4711">
        <w:rPr>
          <w:i/>
          <w:iCs/>
        </w:rPr>
        <w:t xml:space="preserve"> e.g.</w:t>
      </w:r>
      <w:r w:rsidRPr="006A3BFB">
        <w:t>,</w:t>
      </w:r>
      <w:r w:rsidRPr="002D4711">
        <w:rPr>
          <w:i/>
          <w:iCs/>
        </w:rPr>
        <w:t xml:space="preserve"> </w:t>
      </w:r>
      <w:r w:rsidRPr="002D4711">
        <w:t xml:space="preserve">47 CFR </w:t>
      </w:r>
      <w:r w:rsidRPr="002D4711" w:rsidR="006A3BFB">
        <w:t>§</w:t>
      </w:r>
      <w:r w:rsidRPr="002D4711">
        <w:t>§ 25.138</w:t>
      </w:r>
      <w:r>
        <w:t>, 27.1411(b)(3).</w:t>
      </w:r>
    </w:p>
  </w:footnote>
  <w:footnote w:id="14">
    <w:p w:rsidR="006A3BFB" w:rsidRPr="002D4711" w:rsidP="006A3BFB" w14:paraId="376F95AD" w14:textId="77777777">
      <w:pPr>
        <w:pStyle w:val="FootnoteText"/>
      </w:pPr>
      <w:r w:rsidRPr="002D4711">
        <w:rPr>
          <w:rStyle w:val="FootnoteReference"/>
          <w:sz w:val="20"/>
        </w:rPr>
        <w:footnoteRef/>
      </w:r>
      <w:r w:rsidRPr="002D4711">
        <w:t xml:space="preserve"> </w:t>
      </w:r>
      <w:r w:rsidRPr="002D4711">
        <w:rPr>
          <w:i/>
          <w:iCs/>
        </w:rPr>
        <w:t xml:space="preserve">See </w:t>
      </w:r>
      <w:r w:rsidRPr="002D4711">
        <w:t xml:space="preserve">47 CFR § </w:t>
      </w:r>
      <w:r>
        <w:t>1.3.</w:t>
      </w:r>
    </w:p>
  </w:footnote>
  <w:footnote w:id="15">
    <w:p w:rsidR="00484D95" w14:paraId="1826CBA8" w14:textId="263C10D4">
      <w:pPr>
        <w:pStyle w:val="FootnoteText"/>
      </w:pPr>
      <w:r>
        <w:rPr>
          <w:rStyle w:val="FootnoteReference"/>
        </w:rPr>
        <w:footnoteRef/>
      </w:r>
      <w:r>
        <w:t xml:space="preserve"> </w:t>
      </w:r>
      <w:r w:rsidR="005F0ED8">
        <w:rPr>
          <w:snapToGrid w:val="0"/>
        </w:rPr>
        <w:t xml:space="preserve">Applicants should not </w:t>
      </w:r>
      <w:r w:rsidR="00F92A7B">
        <w:rPr>
          <w:snapToGrid w:val="0"/>
        </w:rPr>
        <w:t>make new filings</w:t>
      </w:r>
      <w:r w:rsidR="005F0ED8">
        <w:rPr>
          <w:snapToGrid w:val="0"/>
        </w:rPr>
        <w:t xml:space="preserve"> in IBFS in conjunction with their waiver requests.  Commission staff will later instruct any operators that receive waivers on how to make the filings in IBFS necessary to implement the specific scope of the relief granted.</w:t>
      </w:r>
    </w:p>
  </w:footnote>
  <w:footnote w:id="16">
    <w:p w:rsidR="00186DB2" w:rsidRPr="002D4711" w:rsidP="00176995" w14:paraId="77BFF0EA" w14:textId="77777777">
      <w:pPr>
        <w:pStyle w:val="FootnoteText"/>
        <w:rPr>
          <w:i/>
          <w:iCs/>
        </w:rPr>
      </w:pPr>
      <w:r w:rsidRPr="002D4711">
        <w:rPr>
          <w:rStyle w:val="FootnoteReference"/>
          <w:sz w:val="20"/>
        </w:rPr>
        <w:footnoteRef/>
      </w:r>
      <w:r w:rsidRPr="002D4711">
        <w:t xml:space="preserve"> </w:t>
      </w:r>
      <w:r w:rsidRPr="002D4711">
        <w:rPr>
          <w:i/>
          <w:iCs/>
        </w:rPr>
        <w:t xml:space="preserve">See </w:t>
      </w:r>
      <w:r w:rsidRPr="002D4711">
        <w:t xml:space="preserve">47 CFR § 1.1200 </w:t>
      </w:r>
      <w:r w:rsidRPr="002D4711">
        <w:rPr>
          <w:i/>
          <w:iCs/>
        </w:rPr>
        <w:t>et seq.</w:t>
      </w:r>
    </w:p>
  </w:footnote>
  <w:footnote w:id="17">
    <w:p w:rsidR="00186DB2" w:rsidRPr="002D4711" w:rsidP="00176995" w14:paraId="198A3AC5" w14:textId="77777777">
      <w:pPr>
        <w:pStyle w:val="FootnoteText"/>
      </w:pPr>
      <w:r w:rsidRPr="002D4711">
        <w:rPr>
          <w:rStyle w:val="FootnoteReference"/>
          <w:sz w:val="20"/>
        </w:rPr>
        <w:footnoteRef/>
      </w:r>
      <w:r w:rsidRPr="002D4711">
        <w:t xml:space="preserve"> </w:t>
      </w:r>
      <w:r w:rsidRPr="002D4711">
        <w:rPr>
          <w:i/>
          <w:iCs/>
        </w:rPr>
        <w:t>Id.</w:t>
      </w:r>
      <w:r w:rsidRPr="002D4711">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401FDF9" w14:textId="52F9890A">
    <w:pPr>
      <w:tabs>
        <w:tab w:val="center" w:pos="4680"/>
        <w:tab w:val="right" w:pos="9360"/>
      </w:tabs>
    </w:pPr>
    <w:r w:rsidRPr="009838BC">
      <w:rPr>
        <w:b/>
      </w:rPr>
      <w:tab/>
      <w:t>Federal Communications Commission</w:t>
    </w:r>
    <w:r w:rsidRPr="009838BC">
      <w:rPr>
        <w:b/>
      </w:rPr>
      <w:tab/>
    </w:r>
    <w:r w:rsidR="00B635CA">
      <w:rPr>
        <w:b/>
      </w:rPr>
      <w:t>DA 20-</w:t>
    </w:r>
    <w:r w:rsidR="00C04AB2">
      <w:rPr>
        <w:b/>
      </w:rPr>
      <w:t>1094</w:t>
    </w:r>
  </w:p>
  <w:p w:rsidR="009838BC" w:rsidRPr="009838BC" w:rsidP="009838BC" w14:paraId="3B79220F" w14:textId="509DA07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11C62C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6669D23" w14:textId="171853E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B76E317" w14:textId="77777777">
                    <w:pPr>
                      <w:rPr>
                        <w:rFonts w:ascii="Arial" w:hAnsi="Arial"/>
                        <w:b/>
                      </w:rPr>
                    </w:pPr>
                    <w:r>
                      <w:rPr>
                        <w:rFonts w:ascii="Arial" w:hAnsi="Arial"/>
                        <w:b/>
                      </w:rPr>
                      <w:t>Federal Communications Commission</w:t>
                    </w:r>
                  </w:p>
                  <w:p w:rsidR="009838BC" w:rsidP="009838BC" w14:paraId="4AF2EA1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40B03D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85912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9A70E39" w14:textId="4D636473">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BE38898" w14:textId="77777777">
                    <w:pPr>
                      <w:spacing w:before="40"/>
                      <w:jc w:val="right"/>
                      <w:rPr>
                        <w:rFonts w:ascii="Arial" w:hAnsi="Arial"/>
                        <w:b/>
                        <w:sz w:val="16"/>
                      </w:rPr>
                    </w:pPr>
                    <w:r>
                      <w:rPr>
                        <w:rFonts w:ascii="Arial" w:hAnsi="Arial"/>
                        <w:b/>
                        <w:sz w:val="16"/>
                      </w:rPr>
                      <w:t>News Media Information 202 / 418-0500</w:t>
                    </w:r>
                  </w:p>
                  <w:p w:rsidR="009838BC" w:rsidP="009838BC" w14:paraId="22FC096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A02B57A" w14:textId="77777777">
                    <w:pPr>
                      <w:jc w:val="right"/>
                    </w:pPr>
                    <w:r>
                      <w:rPr>
                        <w:rFonts w:ascii="Arial" w:hAnsi="Arial"/>
                        <w:b/>
                        <w:sz w:val="16"/>
                      </w:rPr>
                      <w:t>TTY: 1-888-835-5322</w:t>
                    </w:r>
                  </w:p>
                </w:txbxContent>
              </v:textbox>
            </v:shape>
          </w:pict>
        </mc:Fallback>
      </mc:AlternateContent>
    </w:r>
  </w:p>
  <w:p w:rsidR="006F7393" w:rsidRPr="009838BC" w:rsidP="009838BC" w14:paraId="28D977A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BE0B13"/>
    <w:multiLevelType w:val="hybridMultilevel"/>
    <w:tmpl w:val="07966FB6"/>
    <w:lvl w:ilvl="0">
      <w:start w:val="1"/>
      <w:numFmt w:val="bullet"/>
      <w:lvlText w:val=""/>
      <w:lvlJc w:val="left"/>
      <w:pPr>
        <w:ind w:left="1680" w:hanging="870"/>
      </w:pPr>
      <w:rPr>
        <w:rFonts w:ascii="Wingdings" w:hAnsi="Wingdings"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8">
    <w:nsid w:val="44C61D08"/>
    <w:multiLevelType w:val="hybridMultilevel"/>
    <w:tmpl w:val="CE624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92C3B58"/>
    <w:multiLevelType w:val="hybridMultilevel"/>
    <w:tmpl w:val="C3FAF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0D742B"/>
    <w:multiLevelType w:val="hybridMultilevel"/>
    <w:tmpl w:val="5D62F596"/>
    <w:lvl w:ilvl="0">
      <w:start w:val="1"/>
      <w:numFmt w:val="bullet"/>
      <w:lvlText w:val="•"/>
      <w:lvlJc w:val="left"/>
      <w:pPr>
        <w:ind w:left="1230" w:hanging="87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1882E77"/>
    <w:multiLevelType w:val="hybridMultilevel"/>
    <w:tmpl w:val="C67C1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9"/>
  </w:num>
  <w:num w:numId="5">
    <w:abstractNumId w:val="4"/>
  </w:num>
  <w:num w:numId="6">
    <w:abstractNumId w:val="0"/>
  </w:num>
  <w:num w:numId="7">
    <w:abstractNumId w:val="10"/>
  </w:num>
  <w:num w:numId="8">
    <w:abstractNumId w:val="1"/>
  </w:num>
  <w:num w:numId="9">
    <w:abstractNumId w:val="2"/>
  </w:num>
  <w:num w:numId="10">
    <w:abstractNumId w:val="6"/>
  </w:num>
  <w:num w:numId="11">
    <w:abstractNumId w:val="13"/>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4E"/>
    <w:rsid w:val="000072CE"/>
    <w:rsid w:val="00013A8B"/>
    <w:rsid w:val="00020828"/>
    <w:rsid w:val="00021445"/>
    <w:rsid w:val="00022ADE"/>
    <w:rsid w:val="000307CD"/>
    <w:rsid w:val="00036039"/>
    <w:rsid w:val="00037F90"/>
    <w:rsid w:val="00051CE8"/>
    <w:rsid w:val="000813FC"/>
    <w:rsid w:val="00081B12"/>
    <w:rsid w:val="000875BF"/>
    <w:rsid w:val="00092023"/>
    <w:rsid w:val="00096964"/>
    <w:rsid w:val="00096D8C"/>
    <w:rsid w:val="000B2220"/>
    <w:rsid w:val="000C0B65"/>
    <w:rsid w:val="000C1BF2"/>
    <w:rsid w:val="000D5B3D"/>
    <w:rsid w:val="000E2CEA"/>
    <w:rsid w:val="000E3D42"/>
    <w:rsid w:val="000E4A28"/>
    <w:rsid w:val="000E5884"/>
    <w:rsid w:val="00122BD5"/>
    <w:rsid w:val="00130058"/>
    <w:rsid w:val="00135675"/>
    <w:rsid w:val="00140E30"/>
    <w:rsid w:val="00176995"/>
    <w:rsid w:val="00182873"/>
    <w:rsid w:val="00186DB2"/>
    <w:rsid w:val="001979D9"/>
    <w:rsid w:val="001A42B3"/>
    <w:rsid w:val="001B5A4B"/>
    <w:rsid w:val="001C692D"/>
    <w:rsid w:val="001C7B3D"/>
    <w:rsid w:val="001D2D6F"/>
    <w:rsid w:val="001D6BCF"/>
    <w:rsid w:val="001E01CA"/>
    <w:rsid w:val="00202E9F"/>
    <w:rsid w:val="002060D9"/>
    <w:rsid w:val="00211051"/>
    <w:rsid w:val="00216BDA"/>
    <w:rsid w:val="00216DCD"/>
    <w:rsid w:val="00226822"/>
    <w:rsid w:val="002429B2"/>
    <w:rsid w:val="00242EF7"/>
    <w:rsid w:val="00256747"/>
    <w:rsid w:val="00260594"/>
    <w:rsid w:val="002727F3"/>
    <w:rsid w:val="00275BF2"/>
    <w:rsid w:val="002770CC"/>
    <w:rsid w:val="00285017"/>
    <w:rsid w:val="00294D58"/>
    <w:rsid w:val="002A2D2E"/>
    <w:rsid w:val="002A72DF"/>
    <w:rsid w:val="002B062D"/>
    <w:rsid w:val="002B0929"/>
    <w:rsid w:val="002B699B"/>
    <w:rsid w:val="002D28D0"/>
    <w:rsid w:val="002D39DE"/>
    <w:rsid w:val="002D4711"/>
    <w:rsid w:val="002E6AC0"/>
    <w:rsid w:val="00315545"/>
    <w:rsid w:val="003243F0"/>
    <w:rsid w:val="00343749"/>
    <w:rsid w:val="00356873"/>
    <w:rsid w:val="00357D50"/>
    <w:rsid w:val="00357F3B"/>
    <w:rsid w:val="003739F7"/>
    <w:rsid w:val="0037630B"/>
    <w:rsid w:val="00391D64"/>
    <w:rsid w:val="003925DC"/>
    <w:rsid w:val="003A0928"/>
    <w:rsid w:val="003A3AA1"/>
    <w:rsid w:val="003A4C65"/>
    <w:rsid w:val="003B03D6"/>
    <w:rsid w:val="003B0550"/>
    <w:rsid w:val="003B694F"/>
    <w:rsid w:val="003C7293"/>
    <w:rsid w:val="003D4FAA"/>
    <w:rsid w:val="003E1D71"/>
    <w:rsid w:val="003E46A4"/>
    <w:rsid w:val="003F171C"/>
    <w:rsid w:val="00405E19"/>
    <w:rsid w:val="00412FC5"/>
    <w:rsid w:val="00422276"/>
    <w:rsid w:val="004242F1"/>
    <w:rsid w:val="00425404"/>
    <w:rsid w:val="00430497"/>
    <w:rsid w:val="004332A8"/>
    <w:rsid w:val="004444FA"/>
    <w:rsid w:val="00445A00"/>
    <w:rsid w:val="00451B0F"/>
    <w:rsid w:val="0046125F"/>
    <w:rsid w:val="00463BC4"/>
    <w:rsid w:val="0047259B"/>
    <w:rsid w:val="00476D4C"/>
    <w:rsid w:val="00484D95"/>
    <w:rsid w:val="004853DD"/>
    <w:rsid w:val="00487524"/>
    <w:rsid w:val="00494A67"/>
    <w:rsid w:val="00496106"/>
    <w:rsid w:val="00497980"/>
    <w:rsid w:val="004C12D0"/>
    <w:rsid w:val="004C2EE3"/>
    <w:rsid w:val="004C7626"/>
    <w:rsid w:val="004D12FB"/>
    <w:rsid w:val="004E24BE"/>
    <w:rsid w:val="004E4A22"/>
    <w:rsid w:val="004E4C8A"/>
    <w:rsid w:val="004E6297"/>
    <w:rsid w:val="004F5D41"/>
    <w:rsid w:val="004F7EF9"/>
    <w:rsid w:val="005118D6"/>
    <w:rsid w:val="00511968"/>
    <w:rsid w:val="00541421"/>
    <w:rsid w:val="00556140"/>
    <w:rsid w:val="0055614C"/>
    <w:rsid w:val="00566727"/>
    <w:rsid w:val="00570035"/>
    <w:rsid w:val="00570594"/>
    <w:rsid w:val="0059118D"/>
    <w:rsid w:val="005974EA"/>
    <w:rsid w:val="005A02FE"/>
    <w:rsid w:val="005A496D"/>
    <w:rsid w:val="005A4E77"/>
    <w:rsid w:val="005B43AB"/>
    <w:rsid w:val="005C3E50"/>
    <w:rsid w:val="005C77AD"/>
    <w:rsid w:val="005F0ED8"/>
    <w:rsid w:val="00607BA5"/>
    <w:rsid w:val="00611F41"/>
    <w:rsid w:val="0061747B"/>
    <w:rsid w:val="006175CC"/>
    <w:rsid w:val="00626EB6"/>
    <w:rsid w:val="00631640"/>
    <w:rsid w:val="00631F9B"/>
    <w:rsid w:val="006353A3"/>
    <w:rsid w:val="006420B1"/>
    <w:rsid w:val="00655D03"/>
    <w:rsid w:val="0068245B"/>
    <w:rsid w:val="00683F84"/>
    <w:rsid w:val="006866E3"/>
    <w:rsid w:val="006A2692"/>
    <w:rsid w:val="006A3BFB"/>
    <w:rsid w:val="006A6A81"/>
    <w:rsid w:val="006C15B3"/>
    <w:rsid w:val="006D447A"/>
    <w:rsid w:val="006E04E1"/>
    <w:rsid w:val="006E26AF"/>
    <w:rsid w:val="006E5E86"/>
    <w:rsid w:val="006F5C4E"/>
    <w:rsid w:val="006F64B6"/>
    <w:rsid w:val="006F7393"/>
    <w:rsid w:val="0070224F"/>
    <w:rsid w:val="00707C57"/>
    <w:rsid w:val="00710B70"/>
    <w:rsid w:val="007115F7"/>
    <w:rsid w:val="00713CB5"/>
    <w:rsid w:val="00714434"/>
    <w:rsid w:val="0072196A"/>
    <w:rsid w:val="00724542"/>
    <w:rsid w:val="00734640"/>
    <w:rsid w:val="00736448"/>
    <w:rsid w:val="007401A3"/>
    <w:rsid w:val="00740225"/>
    <w:rsid w:val="007700AB"/>
    <w:rsid w:val="00773E95"/>
    <w:rsid w:val="0077555A"/>
    <w:rsid w:val="0078421A"/>
    <w:rsid w:val="00785689"/>
    <w:rsid w:val="007957A8"/>
    <w:rsid w:val="0079754B"/>
    <w:rsid w:val="007A1E6D"/>
    <w:rsid w:val="007A2D2C"/>
    <w:rsid w:val="00811A70"/>
    <w:rsid w:val="00822CE0"/>
    <w:rsid w:val="0083304D"/>
    <w:rsid w:val="00837C62"/>
    <w:rsid w:val="00841AB1"/>
    <w:rsid w:val="008602F4"/>
    <w:rsid w:val="008822A5"/>
    <w:rsid w:val="008A4D3A"/>
    <w:rsid w:val="008C22FD"/>
    <w:rsid w:val="008F1696"/>
    <w:rsid w:val="00900DDE"/>
    <w:rsid w:val="009022C3"/>
    <w:rsid w:val="00910223"/>
    <w:rsid w:val="00910F12"/>
    <w:rsid w:val="009111DC"/>
    <w:rsid w:val="00926503"/>
    <w:rsid w:val="00930ECF"/>
    <w:rsid w:val="009727DF"/>
    <w:rsid w:val="009838BC"/>
    <w:rsid w:val="0098435C"/>
    <w:rsid w:val="00992D51"/>
    <w:rsid w:val="00997212"/>
    <w:rsid w:val="009A28A5"/>
    <w:rsid w:val="009D7B24"/>
    <w:rsid w:val="009E4F71"/>
    <w:rsid w:val="009F7147"/>
    <w:rsid w:val="00A038DC"/>
    <w:rsid w:val="00A27697"/>
    <w:rsid w:val="00A3260B"/>
    <w:rsid w:val="00A45F4F"/>
    <w:rsid w:val="00A461C0"/>
    <w:rsid w:val="00A47F49"/>
    <w:rsid w:val="00A50DA4"/>
    <w:rsid w:val="00A55F9B"/>
    <w:rsid w:val="00A600A9"/>
    <w:rsid w:val="00A619D1"/>
    <w:rsid w:val="00A62E72"/>
    <w:rsid w:val="00A73756"/>
    <w:rsid w:val="00A74394"/>
    <w:rsid w:val="00A866AC"/>
    <w:rsid w:val="00A90010"/>
    <w:rsid w:val="00A90425"/>
    <w:rsid w:val="00AA30A7"/>
    <w:rsid w:val="00AA55B7"/>
    <w:rsid w:val="00AA5B9E"/>
    <w:rsid w:val="00AB1173"/>
    <w:rsid w:val="00AB2407"/>
    <w:rsid w:val="00AB53DF"/>
    <w:rsid w:val="00AB6531"/>
    <w:rsid w:val="00AD34B8"/>
    <w:rsid w:val="00AF425C"/>
    <w:rsid w:val="00AF5EA7"/>
    <w:rsid w:val="00B016DC"/>
    <w:rsid w:val="00B06579"/>
    <w:rsid w:val="00B07E5C"/>
    <w:rsid w:val="00B15366"/>
    <w:rsid w:val="00B326E3"/>
    <w:rsid w:val="00B34EC3"/>
    <w:rsid w:val="00B422AD"/>
    <w:rsid w:val="00B44A77"/>
    <w:rsid w:val="00B47F9B"/>
    <w:rsid w:val="00B5077E"/>
    <w:rsid w:val="00B554E4"/>
    <w:rsid w:val="00B635CA"/>
    <w:rsid w:val="00B63DEA"/>
    <w:rsid w:val="00B655A1"/>
    <w:rsid w:val="00B811F7"/>
    <w:rsid w:val="00BA5DC6"/>
    <w:rsid w:val="00BA6196"/>
    <w:rsid w:val="00BB25AB"/>
    <w:rsid w:val="00BC437D"/>
    <w:rsid w:val="00BC6D8C"/>
    <w:rsid w:val="00BD0841"/>
    <w:rsid w:val="00BD5E12"/>
    <w:rsid w:val="00BE3E6A"/>
    <w:rsid w:val="00BF4EAF"/>
    <w:rsid w:val="00BF626D"/>
    <w:rsid w:val="00C04AB2"/>
    <w:rsid w:val="00C138EB"/>
    <w:rsid w:val="00C16AF2"/>
    <w:rsid w:val="00C23BFC"/>
    <w:rsid w:val="00C25EC9"/>
    <w:rsid w:val="00C27971"/>
    <w:rsid w:val="00C33E24"/>
    <w:rsid w:val="00C34006"/>
    <w:rsid w:val="00C355CA"/>
    <w:rsid w:val="00C426B1"/>
    <w:rsid w:val="00C5197D"/>
    <w:rsid w:val="00C53418"/>
    <w:rsid w:val="00C60A2C"/>
    <w:rsid w:val="00C75971"/>
    <w:rsid w:val="00C82B6B"/>
    <w:rsid w:val="00C83FE3"/>
    <w:rsid w:val="00C868C4"/>
    <w:rsid w:val="00C8710F"/>
    <w:rsid w:val="00C90D6A"/>
    <w:rsid w:val="00C92896"/>
    <w:rsid w:val="00C932F9"/>
    <w:rsid w:val="00CA6ED8"/>
    <w:rsid w:val="00CB26D4"/>
    <w:rsid w:val="00CB3D5A"/>
    <w:rsid w:val="00CC72B6"/>
    <w:rsid w:val="00CC7BD6"/>
    <w:rsid w:val="00CD1030"/>
    <w:rsid w:val="00CD1F94"/>
    <w:rsid w:val="00CD4206"/>
    <w:rsid w:val="00CD5E95"/>
    <w:rsid w:val="00D0218D"/>
    <w:rsid w:val="00D02A35"/>
    <w:rsid w:val="00D1471C"/>
    <w:rsid w:val="00D202FA"/>
    <w:rsid w:val="00D216CD"/>
    <w:rsid w:val="00D24F70"/>
    <w:rsid w:val="00D263B7"/>
    <w:rsid w:val="00D44ACB"/>
    <w:rsid w:val="00D51116"/>
    <w:rsid w:val="00D65837"/>
    <w:rsid w:val="00D912CD"/>
    <w:rsid w:val="00D97D9E"/>
    <w:rsid w:val="00DA0C40"/>
    <w:rsid w:val="00DA2529"/>
    <w:rsid w:val="00DA3C3F"/>
    <w:rsid w:val="00DB130A"/>
    <w:rsid w:val="00DC10A1"/>
    <w:rsid w:val="00DC2D12"/>
    <w:rsid w:val="00DC655F"/>
    <w:rsid w:val="00DD3357"/>
    <w:rsid w:val="00DD7EBD"/>
    <w:rsid w:val="00DF340D"/>
    <w:rsid w:val="00DF5ABB"/>
    <w:rsid w:val="00DF62B6"/>
    <w:rsid w:val="00E07225"/>
    <w:rsid w:val="00E10A5B"/>
    <w:rsid w:val="00E155B7"/>
    <w:rsid w:val="00E22801"/>
    <w:rsid w:val="00E423A5"/>
    <w:rsid w:val="00E52EE2"/>
    <w:rsid w:val="00E5409F"/>
    <w:rsid w:val="00E57A5D"/>
    <w:rsid w:val="00E57C12"/>
    <w:rsid w:val="00E618D7"/>
    <w:rsid w:val="00E63E3B"/>
    <w:rsid w:val="00E8186D"/>
    <w:rsid w:val="00EA0304"/>
    <w:rsid w:val="00EC0185"/>
    <w:rsid w:val="00EE6B52"/>
    <w:rsid w:val="00EF1A6E"/>
    <w:rsid w:val="00F01F84"/>
    <w:rsid w:val="00F021FA"/>
    <w:rsid w:val="00F069DA"/>
    <w:rsid w:val="00F426E7"/>
    <w:rsid w:val="00F42FFF"/>
    <w:rsid w:val="00F54C95"/>
    <w:rsid w:val="00F57ACA"/>
    <w:rsid w:val="00F60A83"/>
    <w:rsid w:val="00F6231F"/>
    <w:rsid w:val="00F62E97"/>
    <w:rsid w:val="00F64209"/>
    <w:rsid w:val="00F70301"/>
    <w:rsid w:val="00F70881"/>
    <w:rsid w:val="00F71A7F"/>
    <w:rsid w:val="00F82B68"/>
    <w:rsid w:val="00F914D9"/>
    <w:rsid w:val="00F92A7B"/>
    <w:rsid w:val="00F93BF5"/>
    <w:rsid w:val="00F96F63"/>
    <w:rsid w:val="00FB13D9"/>
    <w:rsid w:val="00FB16B5"/>
    <w:rsid w:val="00FD0085"/>
    <w:rsid w:val="00FD11DF"/>
    <w:rsid w:val="00FE66C1"/>
    <w:rsid w:val="00FF6C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74CF9D5-84D4-457E-B29B-CB2B2B99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92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D51"/>
    <w:rPr>
      <w:rFonts w:ascii="Segoe UI" w:hAnsi="Segoe UI" w:cs="Segoe UI"/>
      <w:snapToGrid w:val="0"/>
      <w:kern w:val="28"/>
      <w:sz w:val="18"/>
      <w:szCs w:val="18"/>
    </w:rPr>
  </w:style>
  <w:style w:type="paragraph" w:customStyle="1" w:styleId="Default">
    <w:name w:val="Default"/>
    <w:rsid w:val="005B43AB"/>
    <w:pPr>
      <w:autoSpaceDE w:val="0"/>
      <w:autoSpaceDN w:val="0"/>
      <w:adjustRightInd w:val="0"/>
    </w:pPr>
    <w:rPr>
      <w:sz w:val="22"/>
      <w:szCs w:val="24"/>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rsid w:val="00F82B68"/>
  </w:style>
  <w:style w:type="paragraph" w:customStyle="1" w:styleId="Paranum0">
    <w:name w:val="Paranum"/>
    <w:basedOn w:val="Normal"/>
    <w:uiPriority w:val="99"/>
    <w:rsid w:val="00186DB2"/>
    <w:pPr>
      <w:spacing w:after="220"/>
      <w:jc w:val="both"/>
    </w:pPr>
    <w:rPr>
      <w:snapToGrid/>
      <w:kern w:val="0"/>
    </w:rPr>
  </w:style>
  <w:style w:type="character" w:styleId="CommentReference">
    <w:name w:val="annotation reference"/>
    <w:basedOn w:val="DefaultParagraphFont"/>
    <w:uiPriority w:val="99"/>
    <w:semiHidden/>
    <w:unhideWhenUsed/>
    <w:rsid w:val="00F70301"/>
    <w:rPr>
      <w:sz w:val="16"/>
      <w:szCs w:val="16"/>
    </w:rPr>
  </w:style>
  <w:style w:type="paragraph" w:styleId="CommentText">
    <w:name w:val="annotation text"/>
    <w:basedOn w:val="Normal"/>
    <w:link w:val="CommentTextChar"/>
    <w:uiPriority w:val="99"/>
    <w:semiHidden/>
    <w:unhideWhenUsed/>
    <w:rsid w:val="00F70301"/>
    <w:rPr>
      <w:sz w:val="20"/>
    </w:rPr>
  </w:style>
  <w:style w:type="character" w:customStyle="1" w:styleId="CommentTextChar">
    <w:name w:val="Comment Text Char"/>
    <w:basedOn w:val="DefaultParagraphFont"/>
    <w:link w:val="CommentText"/>
    <w:uiPriority w:val="99"/>
    <w:semiHidden/>
    <w:rsid w:val="00F70301"/>
    <w:rPr>
      <w:snapToGrid w:val="0"/>
      <w:kern w:val="28"/>
    </w:rPr>
  </w:style>
  <w:style w:type="paragraph" w:styleId="CommentSubject">
    <w:name w:val="annotation subject"/>
    <w:basedOn w:val="CommentText"/>
    <w:next w:val="CommentText"/>
    <w:link w:val="CommentSubjectChar"/>
    <w:uiPriority w:val="99"/>
    <w:semiHidden/>
    <w:unhideWhenUsed/>
    <w:rsid w:val="00F70301"/>
    <w:rPr>
      <w:b/>
      <w:bCs/>
    </w:rPr>
  </w:style>
  <w:style w:type="character" w:customStyle="1" w:styleId="CommentSubjectChar">
    <w:name w:val="Comment Subject Char"/>
    <w:basedOn w:val="CommentTextChar"/>
    <w:link w:val="CommentSubject"/>
    <w:uiPriority w:val="99"/>
    <w:semiHidden/>
    <w:rsid w:val="00F70301"/>
    <w:rPr>
      <w:b/>
      <w:bCs/>
      <w:snapToGrid w:val="0"/>
      <w:kern w:val="28"/>
    </w:rPr>
  </w:style>
  <w:style w:type="paragraph" w:styleId="ListParagraph">
    <w:name w:val="List Paragraph"/>
    <w:basedOn w:val="Normal"/>
    <w:uiPriority w:val="34"/>
    <w:qFormat/>
    <w:rsid w:val="00D51116"/>
    <w:pPr>
      <w:ind w:left="720"/>
      <w:contextualSpacing/>
    </w:pPr>
  </w:style>
  <w:style w:type="paragraph" w:styleId="Revision">
    <w:name w:val="Revision"/>
    <w:hidden/>
    <w:uiPriority w:val="99"/>
    <w:semiHidden/>
    <w:rsid w:val="00484D9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