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2361104E">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CA1D12">
        <w:rPr>
          <w:b/>
          <w:sz w:val="24"/>
          <w:szCs w:val="24"/>
        </w:rPr>
        <w:t>1095</w:t>
      </w:r>
      <w:bookmarkStart w:id="0" w:name="_GoBack"/>
      <w:bookmarkEnd w:id="0"/>
    </w:p>
    <w:p w:rsidR="00D610F8" w14:paraId="2C4C2DCF" w14:textId="68838D57">
      <w:pPr>
        <w:jc w:val="right"/>
        <w:rPr>
          <w:b/>
          <w:sz w:val="24"/>
          <w:szCs w:val="24"/>
        </w:rPr>
      </w:pPr>
      <w:r>
        <w:rPr>
          <w:b/>
          <w:sz w:val="24"/>
          <w:szCs w:val="24"/>
        </w:rPr>
        <w:t>Released</w:t>
      </w:r>
      <w:r w:rsidR="0007496E">
        <w:rPr>
          <w:b/>
          <w:sz w:val="24"/>
          <w:szCs w:val="24"/>
        </w:rPr>
        <w:t xml:space="preserve"> September </w:t>
      </w:r>
      <w:r w:rsidR="002C3F79">
        <w:rPr>
          <w:b/>
          <w:sz w:val="24"/>
          <w:szCs w:val="24"/>
        </w:rPr>
        <w:t>16</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0FC5212D">
      <w:pPr>
        <w:tabs>
          <w:tab w:val="center" w:pos="5184"/>
        </w:tabs>
        <w:jc w:val="center"/>
        <w:rPr>
          <w:b/>
          <w:sz w:val="24"/>
          <w:szCs w:val="24"/>
        </w:rPr>
      </w:pPr>
      <w:r>
        <w:rPr>
          <w:b/>
          <w:sz w:val="24"/>
          <w:szCs w:val="24"/>
        </w:rPr>
        <w:t xml:space="preserve">FOR </w:t>
      </w:r>
      <w:r w:rsidR="00203310">
        <w:rPr>
          <w:b/>
          <w:sz w:val="24"/>
          <w:szCs w:val="24"/>
        </w:rPr>
        <w:t xml:space="preserve">HURRICANE </w:t>
      </w:r>
      <w:r w:rsidR="002C3F79">
        <w:rPr>
          <w:b/>
          <w:sz w:val="24"/>
          <w:szCs w:val="24"/>
        </w:rPr>
        <w:t>SALLY</w:t>
      </w:r>
    </w:p>
    <w:p w:rsidR="00D610F8" w14:paraId="5DAB6C7B" w14:textId="77777777">
      <w:pPr>
        <w:tabs>
          <w:tab w:val="center" w:pos="5184"/>
        </w:tabs>
        <w:jc w:val="center"/>
        <w:rPr>
          <w:sz w:val="24"/>
          <w:szCs w:val="24"/>
        </w:rPr>
      </w:pPr>
    </w:p>
    <w:p w:rsidR="00D610F8" w:rsidRPr="00675E12" w14:paraId="0C6A7D7C" w14:textId="7EF2A9D8">
      <w:pPr>
        <w:tabs>
          <w:tab w:val="center" w:pos="5184"/>
        </w:tabs>
        <w:jc w:val="center"/>
        <w:rPr>
          <w:b/>
          <w:szCs w:val="22"/>
        </w:rPr>
      </w:pPr>
      <w:r w:rsidRPr="00675E12">
        <w:rPr>
          <w:b/>
          <w:szCs w:val="22"/>
        </w:rPr>
        <w:t>DIRS deactivated for</w:t>
      </w:r>
      <w:r w:rsidR="002E7951">
        <w:rPr>
          <w:b/>
          <w:szCs w:val="22"/>
        </w:rPr>
        <w:t xml:space="preserve"> </w:t>
      </w:r>
      <w:r w:rsidR="002C3F79">
        <w:rPr>
          <w:b/>
          <w:szCs w:val="22"/>
        </w:rPr>
        <w:t xml:space="preserve">all </w:t>
      </w:r>
      <w:r w:rsidR="002C1652">
        <w:rPr>
          <w:b/>
          <w:szCs w:val="22"/>
        </w:rPr>
        <w:t>counties in Louisiana</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r w:rsidR="00F213BB">
        <w:rPr>
          <w:b/>
          <w:szCs w:val="22"/>
        </w:rPr>
        <w:t>for</w:t>
      </w:r>
      <w:r w:rsidR="00922D24">
        <w:rPr>
          <w:b/>
          <w:szCs w:val="22"/>
        </w:rPr>
        <w:t xml:space="preserve"> counties </w:t>
      </w:r>
      <w:r w:rsidRPr="00675E12" w:rsidR="0075055B">
        <w:rPr>
          <w:b/>
          <w:szCs w:val="22"/>
        </w:rPr>
        <w:t xml:space="preserve">in </w:t>
      </w:r>
      <w:bookmarkStart w:id="3" w:name="_Hlk49528859"/>
      <w:r w:rsidR="002C3F79">
        <w:rPr>
          <w:b/>
          <w:szCs w:val="22"/>
        </w:rPr>
        <w:t>Alabama, Florida</w:t>
      </w:r>
      <w:r w:rsidR="00FA025D">
        <w:rPr>
          <w:b/>
          <w:szCs w:val="22"/>
        </w:rPr>
        <w:t>,</w:t>
      </w:r>
      <w:r w:rsidR="002C3F79">
        <w:rPr>
          <w:b/>
          <w:szCs w:val="22"/>
        </w:rPr>
        <w:t xml:space="preserve"> and </w:t>
      </w:r>
      <w:r w:rsidR="002C3F79">
        <w:rPr>
          <w:b/>
          <w:szCs w:val="22"/>
        </w:rPr>
        <w:t>Mississipi</w:t>
      </w:r>
      <w:bookmarkEnd w:id="3"/>
      <w:r w:rsidRPr="00675E12" w:rsidR="00AE75D8">
        <w:rPr>
          <w:b/>
          <w:szCs w:val="22"/>
        </w:rPr>
        <w:t>.</w:t>
      </w:r>
    </w:p>
    <w:p w:rsidR="00D610F8" w:rsidRPr="00675E12" w14:paraId="02EB378F" w14:textId="77777777">
      <w:pPr>
        <w:rPr>
          <w:szCs w:val="22"/>
        </w:rPr>
      </w:pPr>
      <w:r w:rsidRPr="00675E12">
        <w:rPr>
          <w:szCs w:val="22"/>
        </w:rPr>
        <w:tab/>
      </w:r>
    </w:p>
    <w:p w:rsidR="00D610F8" w:rsidP="00D610F8" w14:paraId="42FE6901" w14:textId="0FBD53F2">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003D1E60">
        <w:rPr>
          <w:szCs w:val="22"/>
        </w:rPr>
        <w:t>Sally</w:t>
      </w:r>
      <w:r w:rsidRPr="00675E12" w:rsidR="0029671B">
        <w:rPr>
          <w:szCs w:val="22"/>
        </w:rPr>
        <w:t>:</w:t>
      </w:r>
    </w:p>
    <w:p w:rsidR="002E7951" w:rsidP="00D610F8" w14:paraId="3FD7BD77" w14:textId="4C8AE1B5">
      <w:pPr>
        <w:ind w:firstLine="720"/>
        <w:rPr>
          <w:szCs w:val="22"/>
        </w:rPr>
      </w:pPr>
    </w:p>
    <w:p w:rsidR="002C3F79" w:rsidP="002C3F79" w14:paraId="5F5A8133" w14:textId="2B026C37">
      <w:pPr>
        <w:ind w:firstLine="720"/>
      </w:pPr>
      <w:r>
        <w:rPr>
          <w:b/>
          <w:bCs/>
        </w:rPr>
        <w:t>Louisiana</w:t>
      </w:r>
      <w:r>
        <w:t>: Jefferson, Orleans, Plaquemines, St Bernard, St Charles, St John the Baptist, St Tammany, Tangipahoa, Washington.</w:t>
      </w:r>
    </w:p>
    <w:p w:rsidR="002C1652" w:rsidP="00D610F8" w14:paraId="0701C283" w14:textId="77777777">
      <w:pPr>
        <w:ind w:firstLine="720"/>
        <w:rPr>
          <w:szCs w:val="22"/>
        </w:rPr>
      </w:pPr>
    </w:p>
    <w:p w:rsidR="00D610F8" w:rsidRPr="00675E12" w:rsidP="00D610F8" w14:paraId="404BF331" w14:textId="0B43CDFC">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Louisiana</w:t>
      </w:r>
      <w:r w:rsidRPr="00675E12" w:rsidR="00AE75D8">
        <w:rPr>
          <w:b/>
          <w:szCs w:val="22"/>
        </w:rPr>
        <w:t xml:space="preserve"> </w:t>
      </w:r>
      <w:r w:rsidRPr="00675E12">
        <w:rPr>
          <w:b/>
          <w:szCs w:val="22"/>
        </w:rPr>
        <w:t xml:space="preserve">with respect to Hurricane </w:t>
      </w:r>
      <w:r w:rsidR="002C3F79">
        <w:rPr>
          <w:b/>
          <w:szCs w:val="22"/>
        </w:rPr>
        <w:t>Sally</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38AA8A83">
      <w:pPr>
        <w:rPr>
          <w:b/>
          <w:bCs/>
        </w:rPr>
      </w:pPr>
      <w:r w:rsidRPr="0029671B">
        <w:rPr>
          <w:sz w:val="24"/>
          <w:szCs w:val="24"/>
        </w:rPr>
        <w:tab/>
      </w:r>
      <w:r w:rsidRPr="3AE45D98">
        <w:rPr>
          <w:b/>
          <w:bCs/>
        </w:rPr>
        <w:t xml:space="preserve">DIRS remains activated in the following </w:t>
      </w:r>
      <w:r w:rsidRPr="3AE45D98" w:rsidR="00AE75D8">
        <w:rPr>
          <w:b/>
          <w:bCs/>
        </w:rPr>
        <w:t xml:space="preserve">counties in </w:t>
      </w:r>
      <w:r w:rsidR="002C3F79">
        <w:rPr>
          <w:b/>
          <w:bCs/>
        </w:rPr>
        <w:t xml:space="preserve">Alabama, Florida and </w:t>
      </w:r>
      <w:r w:rsidR="002C3F79">
        <w:rPr>
          <w:b/>
          <w:bCs/>
        </w:rPr>
        <w:t>Mississipi</w:t>
      </w:r>
      <w:r w:rsidRPr="3AE45D98">
        <w:rPr>
          <w:b/>
          <w:bCs/>
        </w:rPr>
        <w:t>:</w:t>
      </w:r>
    </w:p>
    <w:p w:rsidR="002C1652" w:rsidP="3AE45D98" w14:paraId="74D50D28" w14:textId="74D66F04">
      <w:pPr>
        <w:rPr>
          <w:b/>
          <w:bCs/>
        </w:rPr>
      </w:pPr>
    </w:p>
    <w:p w:rsidR="002C3F79" w:rsidP="002C3F79" w14:paraId="4329B8C5" w14:textId="77777777">
      <w:pPr>
        <w:ind w:firstLine="720"/>
      </w:pPr>
      <w:r>
        <w:rPr>
          <w:b/>
          <w:bCs/>
        </w:rPr>
        <w:t xml:space="preserve">Alabama: </w:t>
      </w:r>
      <w:r>
        <w:t>Baldwin, Butler, Clarke, Conecuh, Covington, Escambia, Mobile, Monroe, Washington</w:t>
      </w:r>
    </w:p>
    <w:p w:rsidR="002C3F79" w:rsidP="002C3F79" w14:paraId="32A237B5" w14:textId="77777777">
      <w:pPr>
        <w:ind w:firstLine="720"/>
      </w:pPr>
      <w:r>
        <w:rPr>
          <w:b/>
          <w:bCs/>
        </w:rPr>
        <w:t xml:space="preserve">Florida: </w:t>
      </w:r>
      <w:r>
        <w:t>Escambia, Okaloosa, Santa Rosa, Walton</w:t>
      </w:r>
    </w:p>
    <w:p w:rsidR="002C3F79" w:rsidP="002C3F79" w14:paraId="71CB7D17" w14:textId="77777777">
      <w:pPr>
        <w:ind w:firstLine="720"/>
      </w:pPr>
      <w:r>
        <w:rPr>
          <w:b/>
          <w:bCs/>
        </w:rPr>
        <w:t>Mississippi:</w:t>
      </w:r>
      <w:r>
        <w:t> George, Hancock, Harrison, Jackson, Lamar, Marion, Pearl River, Stone, Walthall</w:t>
      </w:r>
    </w:p>
    <w:p w:rsidR="002C1652" w:rsidRPr="00675E12" w:rsidP="3AE45D98" w14:paraId="616DEB74" w14:textId="77777777">
      <w:pPr>
        <w:rPr>
          <w:b/>
          <w:bCs/>
        </w:rPr>
      </w:pPr>
    </w:p>
    <w:p w:rsidR="00D610F8" w:rsidRPr="00675E12" w14:paraId="175CA3B1" w14:textId="7F318DBA">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003D1E60">
        <w:rPr>
          <w:szCs w:val="22"/>
        </w:rPr>
        <w:t>Sally</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003D1E60">
        <w:rPr>
          <w:szCs w:val="22"/>
        </w:rPr>
        <w:t>Sally</w:t>
      </w:r>
      <w:r w:rsidRPr="00675E12" w:rsidR="008D3645">
        <w:rPr>
          <w:szCs w:val="22"/>
        </w:rPr>
        <w:t>.</w:t>
      </w:r>
    </w:p>
    <w:p w:rsidR="009C0372" w:rsidRPr="00003B1C" w14:paraId="60061E4C" w14:textId="77777777">
      <w:pPr>
        <w:ind w:firstLine="720"/>
        <w:rPr>
          <w:szCs w:val="22"/>
        </w:rPr>
      </w:pPr>
    </w:p>
    <w:p w:rsidR="008D3645" w:rsidRPr="004A2211" w:rsidP="008D3645" w14:paraId="76147EDF" w14:textId="0122A430">
      <w:pPr>
        <w:ind w:firstLine="720"/>
        <w:rPr>
          <w:szCs w:val="22"/>
        </w:rPr>
      </w:pPr>
      <w:r w:rsidRPr="00003B1C">
        <w:rPr>
          <w:szCs w:val="22"/>
        </w:rPr>
        <w:t xml:space="preserve">All FCC releases in connection with Hurricane </w:t>
      </w:r>
      <w:r w:rsidR="002C3F79">
        <w:rPr>
          <w:szCs w:val="22"/>
        </w:rPr>
        <w:t>Sally</w:t>
      </w:r>
      <w:r w:rsidRPr="00003B1C">
        <w:rPr>
          <w:szCs w:val="22"/>
        </w:rPr>
        <w:t xml:space="preserve"> may be found</w:t>
      </w:r>
      <w:r w:rsidRPr="00003B1C" w:rsidR="00837BFB">
        <w:rPr>
          <w:szCs w:val="22"/>
        </w:rPr>
        <w:t xml:space="preserve"> at </w:t>
      </w:r>
      <w:r w:rsidRPr="002C3F79" w:rsidR="002C3F79">
        <w:rPr>
          <w:szCs w:val="22"/>
        </w:rPr>
        <w:t>https://www.fcc.gov/Sally</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38974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105236"/>
    <w:rsid w:val="001658E6"/>
    <w:rsid w:val="001C7261"/>
    <w:rsid w:val="001E2C35"/>
    <w:rsid w:val="001E5FCE"/>
    <w:rsid w:val="00203310"/>
    <w:rsid w:val="00271D8E"/>
    <w:rsid w:val="0029671B"/>
    <w:rsid w:val="002A136E"/>
    <w:rsid w:val="002B3FA8"/>
    <w:rsid w:val="002C1652"/>
    <w:rsid w:val="002C3F79"/>
    <w:rsid w:val="002E1A95"/>
    <w:rsid w:val="002E4195"/>
    <w:rsid w:val="002E7099"/>
    <w:rsid w:val="002E7951"/>
    <w:rsid w:val="002F2DBD"/>
    <w:rsid w:val="00305FCD"/>
    <w:rsid w:val="00353F10"/>
    <w:rsid w:val="00364949"/>
    <w:rsid w:val="0037678F"/>
    <w:rsid w:val="003C10FA"/>
    <w:rsid w:val="003D1E60"/>
    <w:rsid w:val="00436523"/>
    <w:rsid w:val="00455CA3"/>
    <w:rsid w:val="00465D5F"/>
    <w:rsid w:val="004A2211"/>
    <w:rsid w:val="005221E9"/>
    <w:rsid w:val="005511A7"/>
    <w:rsid w:val="0059275C"/>
    <w:rsid w:val="005A2CB4"/>
    <w:rsid w:val="005B54EE"/>
    <w:rsid w:val="005C1B1B"/>
    <w:rsid w:val="005E16AF"/>
    <w:rsid w:val="005F6720"/>
    <w:rsid w:val="00675E12"/>
    <w:rsid w:val="00683EA2"/>
    <w:rsid w:val="00714D34"/>
    <w:rsid w:val="0075055B"/>
    <w:rsid w:val="007607F7"/>
    <w:rsid w:val="00771C97"/>
    <w:rsid w:val="007C4C4A"/>
    <w:rsid w:val="007E54BA"/>
    <w:rsid w:val="00837BFB"/>
    <w:rsid w:val="008C5144"/>
    <w:rsid w:val="008D3645"/>
    <w:rsid w:val="008F43F9"/>
    <w:rsid w:val="00922D24"/>
    <w:rsid w:val="009C0372"/>
    <w:rsid w:val="009D09DE"/>
    <w:rsid w:val="00A72BF6"/>
    <w:rsid w:val="00A9014B"/>
    <w:rsid w:val="00AE5C6C"/>
    <w:rsid w:val="00AE75D8"/>
    <w:rsid w:val="00AF7033"/>
    <w:rsid w:val="00B427B1"/>
    <w:rsid w:val="00B45DF0"/>
    <w:rsid w:val="00C1727A"/>
    <w:rsid w:val="00C3210F"/>
    <w:rsid w:val="00C63480"/>
    <w:rsid w:val="00CA1D12"/>
    <w:rsid w:val="00CF1B65"/>
    <w:rsid w:val="00CF40DC"/>
    <w:rsid w:val="00CF7724"/>
    <w:rsid w:val="00D273CD"/>
    <w:rsid w:val="00D610F8"/>
    <w:rsid w:val="00DC18EF"/>
    <w:rsid w:val="00DF2EB0"/>
    <w:rsid w:val="00E62260"/>
    <w:rsid w:val="00E623F9"/>
    <w:rsid w:val="00EA74EC"/>
    <w:rsid w:val="00F213BB"/>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