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B71F2" w:rsidP="00B73B55" w14:paraId="1B1B90DA" w14:textId="77777777">
      <w:pPr>
        <w:pStyle w:val="Title"/>
        <w:rPr>
          <w:szCs w:val="22"/>
        </w:rPr>
      </w:pPr>
      <w:r>
        <w:rPr>
          <w:szCs w:val="22"/>
        </w:rPr>
        <w:t>Before the</w:t>
      </w:r>
    </w:p>
    <w:p w:rsidR="00AB71F2" w:rsidP="00AB71F2" w14:paraId="0B90BAF6" w14:textId="77777777">
      <w:pPr>
        <w:pStyle w:val="Subtitle"/>
        <w:ind w:firstLine="0"/>
        <w:rPr>
          <w:szCs w:val="22"/>
        </w:rPr>
      </w:pPr>
      <w:r>
        <w:rPr>
          <w:szCs w:val="22"/>
        </w:rPr>
        <w:t>Federal Communications Commission</w:t>
      </w:r>
    </w:p>
    <w:p w:rsidR="00AB71F2" w:rsidP="00AB71F2" w14:paraId="4A6138F2" w14:textId="77777777">
      <w:pPr>
        <w:jc w:val="center"/>
        <w:rPr>
          <w:b/>
          <w:szCs w:val="22"/>
        </w:rPr>
      </w:pPr>
      <w:r>
        <w:rPr>
          <w:b/>
          <w:szCs w:val="22"/>
        </w:rPr>
        <w:t>Washington, D.C. 20554</w:t>
      </w:r>
    </w:p>
    <w:p w:rsidR="00AB71F2" w:rsidP="00AB71F2" w14:paraId="0ED283FE" w14:textId="77777777">
      <w:pPr>
        <w:tabs>
          <w:tab w:val="left" w:pos="-720"/>
        </w:tabs>
        <w:suppressAutoHyphens/>
        <w:spacing w:line="225" w:lineRule="auto"/>
        <w:rPr>
          <w:spacing w:val="-2"/>
          <w:szCs w:val="22"/>
        </w:rPr>
      </w:pPr>
    </w:p>
    <w:p w:rsidR="00AB71F2" w:rsidP="00AB71F2" w14:paraId="3D1E6637" w14:textId="77777777">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14:paraId="08FD4D7D" w14:textId="77777777" w:rsidTr="00AB71F2">
        <w:tblPrEx>
          <w:tblW w:w="0" w:type="auto"/>
          <w:tblLayout w:type="fixed"/>
          <w:tblLook w:val="04A0"/>
        </w:tblPrEx>
        <w:tc>
          <w:tcPr>
            <w:tcW w:w="4698" w:type="dxa"/>
          </w:tcPr>
          <w:p w:rsidR="00AB71F2" w14:paraId="524415A2" w14:textId="77777777">
            <w:pPr>
              <w:pStyle w:val="TOAHeading"/>
              <w:tabs>
                <w:tab w:val="center" w:pos="4680"/>
              </w:tabs>
              <w:rPr>
                <w:spacing w:val="-2"/>
                <w:szCs w:val="22"/>
              </w:rPr>
            </w:pPr>
            <w:r>
              <w:rPr>
                <w:spacing w:val="-2"/>
                <w:szCs w:val="22"/>
              </w:rPr>
              <w:t>In the Matter of</w:t>
            </w:r>
          </w:p>
          <w:p w:rsidR="00AB71F2" w14:paraId="18FED6E6" w14:textId="77777777">
            <w:pPr>
              <w:tabs>
                <w:tab w:val="center" w:pos="4680"/>
              </w:tabs>
              <w:suppressAutoHyphens/>
              <w:rPr>
                <w:spacing w:val="-2"/>
                <w:szCs w:val="22"/>
              </w:rPr>
            </w:pPr>
          </w:p>
          <w:p w:rsidR="00AB71F2" w14:paraId="0386F061" w14:textId="77777777">
            <w:pPr>
              <w:tabs>
                <w:tab w:val="center" w:pos="4680"/>
              </w:tabs>
              <w:suppressAutoHyphens/>
              <w:rPr>
                <w:szCs w:val="22"/>
              </w:rPr>
            </w:pPr>
            <w:r>
              <w:rPr>
                <w:szCs w:val="22"/>
              </w:rPr>
              <w:t>Clear Rate</w:t>
            </w:r>
            <w:r>
              <w:rPr>
                <w:szCs w:val="22"/>
              </w:rPr>
              <w:t xml:space="preserve"> Communications</w:t>
            </w:r>
            <w:r w:rsidR="00D97FFA">
              <w:rPr>
                <w:szCs w:val="22"/>
              </w:rPr>
              <w:t>, Inc.</w:t>
            </w:r>
          </w:p>
          <w:p w:rsidR="00AB71F2" w14:paraId="6AC05CE7" w14:textId="77777777">
            <w:pPr>
              <w:tabs>
                <w:tab w:val="center" w:pos="4680"/>
              </w:tabs>
              <w:suppressAutoHyphens/>
              <w:rPr>
                <w:szCs w:val="22"/>
              </w:rPr>
            </w:pPr>
          </w:p>
          <w:p w:rsidR="00AB71F2" w14:paraId="70B8F570" w14:textId="77777777">
            <w:pPr>
              <w:pStyle w:val="TOAHeading"/>
              <w:tabs>
                <w:tab w:val="center" w:pos="4680"/>
              </w:tabs>
              <w:rPr>
                <w:szCs w:val="22"/>
              </w:rPr>
            </w:pPr>
            <w:r>
              <w:rPr>
                <w:szCs w:val="22"/>
              </w:rPr>
              <w:t xml:space="preserve">Complaint Regarding </w:t>
            </w:r>
          </w:p>
          <w:p w:rsidR="00AB71F2" w14:paraId="02ACBCA2" w14:textId="77777777">
            <w:pPr>
              <w:pStyle w:val="TOAHeading"/>
              <w:tabs>
                <w:tab w:val="center" w:pos="4680"/>
              </w:tabs>
              <w:rPr>
                <w:szCs w:val="22"/>
              </w:rPr>
            </w:pPr>
            <w:r>
              <w:rPr>
                <w:szCs w:val="22"/>
              </w:rPr>
              <w:t>Unauthorized Change of</w:t>
            </w:r>
          </w:p>
          <w:p w:rsidR="00AB71F2" w14:paraId="37CD388B" w14:textId="77777777">
            <w:pPr>
              <w:pStyle w:val="TOAHeading"/>
              <w:tabs>
                <w:tab w:val="center" w:pos="4680"/>
              </w:tabs>
              <w:rPr>
                <w:szCs w:val="22"/>
              </w:rPr>
            </w:pPr>
            <w:r>
              <w:rPr>
                <w:szCs w:val="22"/>
              </w:rPr>
              <w:t>Subscriber’s Telecommunications Carrier</w:t>
            </w:r>
          </w:p>
        </w:tc>
        <w:tc>
          <w:tcPr>
            <w:tcW w:w="630" w:type="dxa"/>
          </w:tcPr>
          <w:p w:rsidR="00AB71F2" w14:paraId="56FEEDFC" w14:textId="77777777">
            <w:pPr>
              <w:tabs>
                <w:tab w:val="center" w:pos="4680"/>
              </w:tabs>
              <w:suppressAutoHyphens/>
              <w:rPr>
                <w:b/>
                <w:spacing w:val="-2"/>
                <w:szCs w:val="22"/>
              </w:rPr>
            </w:pPr>
            <w:r>
              <w:rPr>
                <w:b/>
                <w:spacing w:val="-2"/>
                <w:szCs w:val="22"/>
              </w:rPr>
              <w:t>)</w:t>
            </w:r>
          </w:p>
          <w:p w:rsidR="00AB71F2" w14:paraId="0CFCC3F4" w14:textId="77777777">
            <w:pPr>
              <w:tabs>
                <w:tab w:val="center" w:pos="4680"/>
              </w:tabs>
              <w:suppressAutoHyphens/>
              <w:rPr>
                <w:b/>
                <w:spacing w:val="-2"/>
                <w:szCs w:val="22"/>
              </w:rPr>
            </w:pPr>
            <w:r>
              <w:rPr>
                <w:b/>
                <w:spacing w:val="-2"/>
                <w:szCs w:val="22"/>
              </w:rPr>
              <w:t>)</w:t>
            </w:r>
          </w:p>
          <w:p w:rsidR="00AB71F2" w14:paraId="57F60E3A" w14:textId="77777777">
            <w:pPr>
              <w:tabs>
                <w:tab w:val="center" w:pos="4680"/>
              </w:tabs>
              <w:suppressAutoHyphens/>
              <w:rPr>
                <w:b/>
                <w:spacing w:val="-2"/>
                <w:szCs w:val="22"/>
              </w:rPr>
            </w:pPr>
            <w:r>
              <w:rPr>
                <w:b/>
                <w:spacing w:val="-2"/>
                <w:szCs w:val="22"/>
              </w:rPr>
              <w:t>)</w:t>
            </w:r>
          </w:p>
          <w:p w:rsidR="00AB71F2" w14:paraId="158CB5D1" w14:textId="77777777">
            <w:pPr>
              <w:tabs>
                <w:tab w:val="center" w:pos="4680"/>
              </w:tabs>
              <w:suppressAutoHyphens/>
              <w:rPr>
                <w:b/>
                <w:spacing w:val="-2"/>
                <w:szCs w:val="22"/>
              </w:rPr>
            </w:pPr>
            <w:r>
              <w:rPr>
                <w:b/>
                <w:spacing w:val="-2"/>
                <w:szCs w:val="22"/>
              </w:rPr>
              <w:t>)</w:t>
            </w:r>
          </w:p>
          <w:p w:rsidR="00AB71F2" w14:paraId="5227D83C" w14:textId="77777777">
            <w:pPr>
              <w:tabs>
                <w:tab w:val="center" w:pos="4680"/>
              </w:tabs>
              <w:suppressAutoHyphens/>
              <w:rPr>
                <w:b/>
                <w:spacing w:val="-2"/>
                <w:szCs w:val="22"/>
              </w:rPr>
            </w:pPr>
            <w:r>
              <w:rPr>
                <w:b/>
                <w:spacing w:val="-2"/>
                <w:szCs w:val="22"/>
              </w:rPr>
              <w:t>)</w:t>
            </w:r>
          </w:p>
          <w:p w:rsidR="00AB71F2" w14:paraId="5D9F504F" w14:textId="77777777">
            <w:pPr>
              <w:tabs>
                <w:tab w:val="center" w:pos="4680"/>
              </w:tabs>
              <w:suppressAutoHyphens/>
              <w:rPr>
                <w:b/>
                <w:spacing w:val="-2"/>
                <w:szCs w:val="22"/>
              </w:rPr>
            </w:pPr>
            <w:r>
              <w:rPr>
                <w:b/>
                <w:spacing w:val="-2"/>
                <w:szCs w:val="22"/>
              </w:rPr>
              <w:t>)</w:t>
            </w:r>
          </w:p>
          <w:p w:rsidR="00AB71F2" w14:paraId="43D8D0B9" w14:textId="77777777">
            <w:pPr>
              <w:tabs>
                <w:tab w:val="center" w:pos="4680"/>
              </w:tabs>
              <w:suppressAutoHyphens/>
              <w:rPr>
                <w:b/>
                <w:spacing w:val="-2"/>
                <w:szCs w:val="22"/>
              </w:rPr>
            </w:pPr>
            <w:r>
              <w:rPr>
                <w:b/>
                <w:spacing w:val="-2"/>
                <w:szCs w:val="22"/>
              </w:rPr>
              <w:t>)</w:t>
            </w:r>
          </w:p>
          <w:p w:rsidR="00AB71F2" w14:paraId="6FCC23DE" w14:textId="77777777">
            <w:pPr>
              <w:tabs>
                <w:tab w:val="center" w:pos="4680"/>
              </w:tabs>
              <w:suppressAutoHyphens/>
              <w:rPr>
                <w:spacing w:val="-2"/>
                <w:szCs w:val="22"/>
              </w:rPr>
            </w:pPr>
          </w:p>
        </w:tc>
        <w:tc>
          <w:tcPr>
            <w:tcW w:w="4248" w:type="dxa"/>
          </w:tcPr>
          <w:p w:rsidR="00AB71F2" w14:paraId="0588F39D" w14:textId="77777777">
            <w:pPr>
              <w:tabs>
                <w:tab w:val="center" w:pos="4680"/>
              </w:tabs>
              <w:suppressAutoHyphens/>
              <w:rPr>
                <w:spacing w:val="-2"/>
                <w:szCs w:val="22"/>
              </w:rPr>
            </w:pPr>
          </w:p>
          <w:p w:rsidR="00AB71F2" w14:paraId="71F67A2A" w14:textId="77777777">
            <w:pPr>
              <w:tabs>
                <w:tab w:val="center" w:pos="4680"/>
              </w:tabs>
              <w:suppressAutoHyphens/>
              <w:rPr>
                <w:spacing w:val="-2"/>
                <w:szCs w:val="22"/>
              </w:rPr>
            </w:pPr>
          </w:p>
          <w:p w:rsidR="00AB71F2" w:rsidRPr="00B83BA2" w:rsidP="00B83BA2" w14:paraId="17B99CF0" w14:textId="77777777">
            <w:pPr>
              <w:pStyle w:val="TOAHeading"/>
              <w:rPr>
                <w:szCs w:val="22"/>
              </w:rPr>
            </w:pPr>
            <w:r>
              <w:rPr>
                <w:szCs w:val="22"/>
              </w:rPr>
              <w:t xml:space="preserve">Complaint No. </w:t>
            </w:r>
            <w:r w:rsidR="007402FD">
              <w:t>4109028</w:t>
            </w:r>
          </w:p>
          <w:p w:rsidR="00AB71F2" w14:paraId="46C66A72" w14:textId="77777777">
            <w:pPr>
              <w:rPr>
                <w:szCs w:val="22"/>
              </w:rPr>
            </w:pPr>
            <w:r>
              <w:rPr>
                <w:szCs w:val="22"/>
              </w:rPr>
              <w:t xml:space="preserve">                  </w:t>
            </w:r>
          </w:p>
          <w:p w:rsidR="00AB71F2" w14:paraId="44EE674A" w14:textId="77777777">
            <w:pPr>
              <w:pStyle w:val="TOAHeading"/>
              <w:rPr>
                <w:szCs w:val="22"/>
              </w:rPr>
            </w:pPr>
          </w:p>
        </w:tc>
      </w:tr>
      <w:tr w14:paraId="2756A77F" w14:textId="77777777" w:rsidTr="00AB71F2">
        <w:tblPrEx>
          <w:tblW w:w="0" w:type="auto"/>
          <w:tblLayout w:type="fixed"/>
          <w:tblLook w:val="04A0"/>
        </w:tblPrEx>
        <w:trPr>
          <w:trHeight w:val="117"/>
        </w:trPr>
        <w:tc>
          <w:tcPr>
            <w:tcW w:w="4698" w:type="dxa"/>
          </w:tcPr>
          <w:p w:rsidR="00AB71F2" w14:paraId="78927273" w14:textId="77777777">
            <w:pPr>
              <w:pStyle w:val="TOAHeading"/>
              <w:tabs>
                <w:tab w:val="center" w:pos="4680"/>
              </w:tabs>
              <w:rPr>
                <w:spacing w:val="-2"/>
                <w:szCs w:val="22"/>
              </w:rPr>
            </w:pPr>
          </w:p>
        </w:tc>
        <w:tc>
          <w:tcPr>
            <w:tcW w:w="630" w:type="dxa"/>
          </w:tcPr>
          <w:p w:rsidR="00AB71F2" w14:paraId="253D8EE7" w14:textId="77777777">
            <w:pPr>
              <w:tabs>
                <w:tab w:val="center" w:pos="4680"/>
              </w:tabs>
              <w:suppressAutoHyphens/>
              <w:rPr>
                <w:b/>
                <w:spacing w:val="-2"/>
                <w:szCs w:val="22"/>
              </w:rPr>
            </w:pPr>
          </w:p>
        </w:tc>
        <w:tc>
          <w:tcPr>
            <w:tcW w:w="4248" w:type="dxa"/>
          </w:tcPr>
          <w:p w:rsidR="00AB71F2" w14:paraId="45A007C3" w14:textId="77777777">
            <w:pPr>
              <w:tabs>
                <w:tab w:val="center" w:pos="4680"/>
              </w:tabs>
              <w:suppressAutoHyphens/>
              <w:rPr>
                <w:spacing w:val="-2"/>
                <w:szCs w:val="22"/>
              </w:rPr>
            </w:pPr>
          </w:p>
        </w:tc>
      </w:tr>
    </w:tbl>
    <w:p w:rsidR="00AB71F2" w:rsidP="00AB71F2" w14:paraId="42647CF1" w14:textId="77777777">
      <w:pPr>
        <w:tabs>
          <w:tab w:val="left" w:pos="-720"/>
        </w:tabs>
        <w:suppressAutoHyphens/>
        <w:spacing w:line="225" w:lineRule="auto"/>
        <w:rPr>
          <w:spacing w:val="-2"/>
          <w:szCs w:val="22"/>
        </w:rPr>
      </w:pPr>
    </w:p>
    <w:p w:rsidR="00AB71F2" w:rsidP="00AB71F2" w14:paraId="241A002B" w14:textId="77777777">
      <w:pPr>
        <w:jc w:val="center"/>
        <w:rPr>
          <w:b/>
          <w:szCs w:val="22"/>
        </w:rPr>
      </w:pPr>
      <w:r>
        <w:rPr>
          <w:b/>
          <w:szCs w:val="22"/>
        </w:rPr>
        <w:t>ORDER</w:t>
      </w:r>
    </w:p>
    <w:p w:rsidR="00AB71F2" w:rsidP="00AB71F2" w14:paraId="14854A90" w14:textId="77777777">
      <w:pPr>
        <w:tabs>
          <w:tab w:val="left" w:pos="-720"/>
        </w:tabs>
        <w:suppressAutoHyphens/>
        <w:spacing w:line="225" w:lineRule="auto"/>
        <w:ind w:left="720"/>
        <w:rPr>
          <w:spacing w:val="-2"/>
          <w:szCs w:val="22"/>
        </w:rPr>
      </w:pPr>
    </w:p>
    <w:p w:rsidR="00AB71F2" w:rsidP="00AB71F2" w14:paraId="588A4117" w14:textId="406A33FF">
      <w:pPr>
        <w:tabs>
          <w:tab w:val="left" w:pos="0"/>
          <w:tab w:val="left" w:pos="5760"/>
        </w:tabs>
        <w:suppressAutoHyphens/>
        <w:spacing w:line="225" w:lineRule="auto"/>
        <w:rPr>
          <w:spacing w:val="-2"/>
          <w:szCs w:val="22"/>
        </w:rPr>
      </w:pPr>
      <w:r>
        <w:rPr>
          <w:b/>
          <w:spacing w:val="-2"/>
          <w:szCs w:val="22"/>
        </w:rPr>
        <w:t xml:space="preserve">Adopted: </w:t>
      </w:r>
      <w:r w:rsidR="00DF0EC4">
        <w:rPr>
          <w:b/>
          <w:spacing w:val="-2"/>
          <w:szCs w:val="22"/>
        </w:rPr>
        <w:t>September 16</w:t>
      </w:r>
      <w:r>
        <w:rPr>
          <w:b/>
          <w:spacing w:val="-2"/>
          <w:szCs w:val="22"/>
        </w:rPr>
        <w:t>, 20</w:t>
      </w:r>
      <w:r w:rsidR="007402FD">
        <w:rPr>
          <w:b/>
          <w:spacing w:val="-2"/>
          <w:szCs w:val="22"/>
        </w:rPr>
        <w:t>20</w:t>
      </w:r>
      <w:r>
        <w:rPr>
          <w:b/>
          <w:spacing w:val="-2"/>
          <w:szCs w:val="22"/>
        </w:rPr>
        <w:tab/>
      </w:r>
      <w:r>
        <w:rPr>
          <w:b/>
          <w:spacing w:val="-2"/>
          <w:szCs w:val="22"/>
        </w:rPr>
        <w:tab/>
        <w:t>Released:</w:t>
      </w:r>
      <w:r w:rsidR="00DF0EC4">
        <w:rPr>
          <w:b/>
          <w:spacing w:val="-2"/>
          <w:szCs w:val="22"/>
        </w:rPr>
        <w:t xml:space="preserve"> September 16</w:t>
      </w:r>
      <w:bookmarkStart w:id="0" w:name="_GoBack"/>
      <w:bookmarkEnd w:id="0"/>
      <w:r>
        <w:rPr>
          <w:b/>
          <w:spacing w:val="-2"/>
          <w:szCs w:val="22"/>
        </w:rPr>
        <w:t>, 20</w:t>
      </w:r>
      <w:r w:rsidR="007402FD">
        <w:rPr>
          <w:b/>
          <w:spacing w:val="-2"/>
          <w:szCs w:val="22"/>
        </w:rPr>
        <w:t>20</w:t>
      </w:r>
    </w:p>
    <w:p w:rsidR="00AB71F2" w:rsidP="00AB71F2" w14:paraId="4AEFF3D5" w14:textId="77777777">
      <w:pPr>
        <w:rPr>
          <w:szCs w:val="22"/>
        </w:rPr>
      </w:pPr>
    </w:p>
    <w:p w:rsidR="00AB71F2" w:rsidP="00B73B55" w14:paraId="726A2278" w14:textId="77777777">
      <w:pPr>
        <w:spacing w:after="120"/>
        <w:rPr>
          <w:szCs w:val="22"/>
        </w:rPr>
      </w:pPr>
      <w:r>
        <w:rPr>
          <w:szCs w:val="22"/>
        </w:rPr>
        <w:t>By the Chief, Consumer Policy Division, Consumer and Governmental Affairs Bureau:</w:t>
      </w:r>
    </w:p>
    <w:p w:rsidR="00AB71F2" w:rsidP="00B73B55" w14:paraId="6CB94B9A" w14:textId="77777777">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sidR="007402FD">
        <w:rPr>
          <w:szCs w:val="22"/>
        </w:rPr>
        <w:t>Clear Rate</w:t>
      </w:r>
      <w:r>
        <w:rPr>
          <w:szCs w:val="22"/>
        </w:rPr>
        <w:t xml:space="preserve"> Communications</w:t>
      </w:r>
      <w:r w:rsidR="00D97FFA">
        <w:rPr>
          <w:szCs w:val="22"/>
        </w:rPr>
        <w:t>, Inc.</w:t>
      </w:r>
      <w:r>
        <w:rPr>
          <w:szCs w:val="22"/>
        </w:rPr>
        <w:t xml:space="preserve"> (</w:t>
      </w:r>
      <w:r w:rsidR="007402FD">
        <w:rPr>
          <w:szCs w:val="22"/>
        </w:rPr>
        <w:t>Clear Rate</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7402FD">
        <w:rPr>
          <w:szCs w:val="22"/>
        </w:rPr>
        <w:t>Clear Rate</w:t>
      </w:r>
      <w:r w:rsidRPr="00237F60" w:rsidR="00B83BA2">
        <w:rPr>
          <w:szCs w:val="22"/>
        </w:rPr>
        <w:t>’s actions violated the Commission’s slamming rules, and we therefore grant Complainant</w:t>
      </w:r>
      <w:r w:rsidR="00B83BA2">
        <w:rPr>
          <w:szCs w:val="22"/>
        </w:rPr>
        <w:t>’s</w:t>
      </w:r>
      <w:r w:rsidRPr="00237F60" w:rsidR="00B83BA2">
        <w:rPr>
          <w:szCs w:val="22"/>
        </w:rPr>
        <w:t xml:space="preserve"> complaint.</w:t>
      </w:r>
    </w:p>
    <w:p w:rsidR="00B83BA2" w:rsidP="00B73B55" w14:paraId="1B965672" w14:textId="4E62285F">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w:t>
      </w:r>
      <w:r w:rsidR="00B320AE">
        <w:rPr>
          <w:szCs w:val="22"/>
        </w:rPr>
        <w:t>n unauthorized</w:t>
      </w:r>
      <w:r>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1D73F3" w:rsidP="00847D23" w14:paraId="717F24DC" w14:textId="77777777">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sidR="00AB71F2">
        <w:rPr>
          <w:szCs w:val="22"/>
        </w:rPr>
        <w:t xml:space="preserve"> </w:t>
      </w:r>
      <w:r w:rsidR="002F09DF">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p>
    <w:p w:rsidR="00EE67D0" w:rsidRPr="00EE67D0" w:rsidP="00EE67D0" w14:paraId="35B5F6C5" w14:textId="77777777">
      <w:pPr>
        <w:numPr>
          <w:ilvl w:val="0"/>
          <w:numId w:val="7"/>
        </w:numPr>
        <w:snapToGrid w:val="0"/>
        <w:spacing w:after="120"/>
        <w:ind w:left="0" w:firstLine="720"/>
        <w:rPr>
          <w:snapToGrid/>
          <w:szCs w:val="22"/>
        </w:rPr>
      </w:pPr>
      <w:r w:rsidRPr="002A45AF">
        <w:rPr>
          <w:szCs w:val="22"/>
        </w:rPr>
        <w:t>We received Complainant</w:t>
      </w:r>
      <w:r w:rsidRPr="002A45AF" w:rsidR="00B83BA2">
        <w:rPr>
          <w:szCs w:val="22"/>
        </w:rPr>
        <w:t>’s</w:t>
      </w:r>
      <w:r w:rsidRPr="002A45AF">
        <w:rPr>
          <w:szCs w:val="22"/>
        </w:rPr>
        <w:t xml:space="preserve"> complaint alleging that Complainant</w:t>
      </w:r>
      <w:r w:rsidRPr="002A45AF" w:rsidR="00B83BA2">
        <w:rPr>
          <w:szCs w:val="22"/>
        </w:rPr>
        <w:t>’s</w:t>
      </w:r>
      <w:r w:rsidRPr="002A45AF">
        <w:rPr>
          <w:szCs w:val="22"/>
        </w:rPr>
        <w:t xml:space="preserve"> telecommunications service provider had been changed </w:t>
      </w:r>
      <w:r w:rsidRPr="002A45AF" w:rsidR="009F6F0E">
        <w:rPr>
          <w:szCs w:val="22"/>
        </w:rPr>
        <w:t xml:space="preserve">to </w:t>
      </w:r>
      <w:r w:rsidR="007402FD">
        <w:rPr>
          <w:szCs w:val="22"/>
        </w:rPr>
        <w:t>Clear Rate</w:t>
      </w:r>
      <w:r w:rsidRPr="002A45AF" w:rsidR="009F6F0E">
        <w:rPr>
          <w:szCs w:val="22"/>
        </w:rPr>
        <w:t xml:space="preserve"> </w:t>
      </w:r>
      <w:r w:rsidRPr="002A45AF">
        <w:rPr>
          <w:szCs w:val="22"/>
        </w:rPr>
        <w:t>without Complainant</w:t>
      </w:r>
      <w:r w:rsidRPr="002A45AF" w:rsidR="00B83BA2">
        <w:rPr>
          <w:szCs w:val="22"/>
        </w:rPr>
        <w:t>’s</w:t>
      </w:r>
      <w:r w:rsidRPr="002A45AF">
        <w:rPr>
          <w:szCs w:val="22"/>
        </w:rPr>
        <w:t xml:space="preserve"> authorization</w:t>
      </w:r>
      <w:r w:rsidRPr="002A45AF" w:rsidR="00311848">
        <w:rPr>
          <w:szCs w:val="22"/>
        </w:rPr>
        <w:t>.</w:t>
      </w:r>
      <w:r>
        <w:rPr>
          <w:rStyle w:val="FootnoteReference"/>
          <w:szCs w:val="22"/>
        </w:rPr>
        <w:footnoteReference w:id="11"/>
      </w:r>
      <w:r w:rsidR="001D73F3">
        <w:rPr>
          <w:szCs w:val="22"/>
        </w:rPr>
        <w:t xml:space="preserve"> </w:t>
      </w:r>
      <w:r>
        <w:rPr>
          <w:szCs w:val="22"/>
        </w:rPr>
        <w:t xml:space="preserve"> In the complaint, Complainant also alleges that Clear Rate’s telemarketer “stated that Verizon Communications ha[d] gone out of business and did not have any landline phones.”</w:t>
      </w:r>
      <w:r>
        <w:rPr>
          <w:rStyle w:val="FootnoteReference"/>
          <w:szCs w:val="22"/>
        </w:rPr>
        <w:footnoteReference w:id="12"/>
      </w:r>
    </w:p>
    <w:p w:rsidR="009A29DA" w:rsidRPr="00BE0B0D" w:rsidP="00BE0B0D" w14:paraId="20C8BE4F" w14:textId="1C46159F">
      <w:pPr>
        <w:numPr>
          <w:ilvl w:val="0"/>
          <w:numId w:val="7"/>
        </w:numPr>
        <w:snapToGrid w:val="0"/>
        <w:spacing w:after="120"/>
        <w:ind w:left="0" w:firstLine="720"/>
        <w:rPr>
          <w:szCs w:val="22"/>
        </w:rPr>
      </w:pPr>
      <w:r>
        <w:rPr>
          <w:szCs w:val="22"/>
        </w:rPr>
        <w:t xml:space="preserve"> </w:t>
      </w:r>
      <w:r w:rsidRPr="009A29DA" w:rsidR="00AB71F2">
        <w:rPr>
          <w:szCs w:val="22"/>
        </w:rPr>
        <w:t xml:space="preserve">Pursuant to our rules, we notified </w:t>
      </w:r>
      <w:r w:rsidRPr="009A29DA" w:rsidR="007402FD">
        <w:rPr>
          <w:szCs w:val="22"/>
        </w:rPr>
        <w:t>Clear Rate</w:t>
      </w:r>
      <w:r w:rsidRPr="009A29DA" w:rsidR="00AB71F2">
        <w:rPr>
          <w:szCs w:val="22"/>
        </w:rPr>
        <w:t xml:space="preserve"> of the complaint</w:t>
      </w:r>
      <w:r w:rsidRPr="009A29DA" w:rsidR="005D1258">
        <w:rPr>
          <w:szCs w:val="22"/>
        </w:rPr>
        <w:t>.</w:t>
      </w:r>
      <w:r>
        <w:rPr>
          <w:rStyle w:val="FootnoteReference"/>
          <w:szCs w:val="22"/>
        </w:rPr>
        <w:footnoteReference w:id="13"/>
      </w:r>
      <w:r w:rsidRPr="009A29DA" w:rsidR="002B63B8">
        <w:rPr>
          <w:szCs w:val="22"/>
        </w:rPr>
        <w:t xml:space="preserve"> </w:t>
      </w:r>
      <w:r w:rsidRPr="009A29DA" w:rsidR="00AB71F2">
        <w:rPr>
          <w:szCs w:val="22"/>
        </w:rPr>
        <w:t xml:space="preserve"> </w:t>
      </w:r>
      <w:r w:rsidRPr="009A29DA" w:rsidR="007402FD">
        <w:rPr>
          <w:szCs w:val="22"/>
        </w:rPr>
        <w:t>Clear Rate</w:t>
      </w:r>
      <w:r w:rsidRPr="009A29DA" w:rsidR="00AB71F2">
        <w:rPr>
          <w:szCs w:val="22"/>
        </w:rPr>
        <w:t xml:space="preserve"> responded</w:t>
      </w:r>
      <w:r w:rsidRPr="009A29DA" w:rsidR="005D1258">
        <w:rPr>
          <w:szCs w:val="22"/>
        </w:rPr>
        <w:t xml:space="preserve"> to the complaint, </w:t>
      </w:r>
      <w:r w:rsidRPr="009A29DA" w:rsidR="00AB71F2">
        <w:rPr>
          <w:szCs w:val="22"/>
        </w:rPr>
        <w:t>stat</w:t>
      </w:r>
      <w:r w:rsidRPr="009A29DA" w:rsidR="005D1258">
        <w:rPr>
          <w:szCs w:val="22"/>
        </w:rPr>
        <w:t>ing</w:t>
      </w:r>
      <w:r w:rsidRPr="009A29DA" w:rsidR="00AB71F2">
        <w:rPr>
          <w:szCs w:val="22"/>
        </w:rPr>
        <w:t xml:space="preserve"> that authorization was received and confirmed through </w:t>
      </w:r>
      <w:r w:rsidRPr="009A29DA" w:rsidR="00305DCB">
        <w:rPr>
          <w:szCs w:val="22"/>
        </w:rPr>
        <w:t xml:space="preserve">a </w:t>
      </w:r>
      <w:r w:rsidRPr="009A29DA" w:rsidR="00AB71F2">
        <w:rPr>
          <w:szCs w:val="22"/>
        </w:rPr>
        <w:t>TPV.</w:t>
      </w:r>
      <w:r>
        <w:rPr>
          <w:rStyle w:val="FootnoteReference"/>
          <w:szCs w:val="22"/>
        </w:rPr>
        <w:footnoteReference w:id="14"/>
      </w:r>
      <w:r w:rsidRPr="009A29DA" w:rsidR="002B63B8">
        <w:rPr>
          <w:szCs w:val="22"/>
        </w:rPr>
        <w:t xml:space="preserve"> </w:t>
      </w:r>
      <w:r w:rsidR="00AF77EB">
        <w:rPr>
          <w:szCs w:val="22"/>
        </w:rPr>
        <w:t xml:space="preserve"> </w:t>
      </w:r>
      <w:r w:rsidR="00BE0B0D">
        <w:rPr>
          <w:szCs w:val="22"/>
        </w:rPr>
        <w:t>Clear Rate also stated that it never claimed that Verizon was going out of business.</w:t>
      </w:r>
      <w:r>
        <w:rPr>
          <w:rStyle w:val="FootnoteReference"/>
          <w:szCs w:val="22"/>
        </w:rPr>
        <w:footnoteReference w:id="15"/>
      </w:r>
      <w:r w:rsidR="00BE0B0D">
        <w:rPr>
          <w:szCs w:val="22"/>
        </w:rPr>
        <w:t xml:space="preserve">  “We explain that while we utilize the lines owned by Verizon to provide our customers with service, we are a separate company in no way affiliated with them.”</w:t>
      </w:r>
      <w:r>
        <w:rPr>
          <w:rStyle w:val="FootnoteReference"/>
          <w:szCs w:val="22"/>
        </w:rPr>
        <w:footnoteReference w:id="16"/>
      </w:r>
      <w:r w:rsidR="00BE0B0D">
        <w:rPr>
          <w:szCs w:val="22"/>
        </w:rPr>
        <w:t xml:space="preserve">  </w:t>
      </w:r>
      <w:r w:rsidR="00AF77EB">
        <w:rPr>
          <w:szCs w:val="22"/>
        </w:rPr>
        <w:t>Clear Rate did not</w:t>
      </w:r>
      <w:r w:rsidR="00BE0B0D">
        <w:rPr>
          <w:szCs w:val="22"/>
        </w:rPr>
        <w:t>, however,</w:t>
      </w:r>
      <w:r w:rsidR="00AF77EB">
        <w:rPr>
          <w:szCs w:val="22"/>
        </w:rPr>
        <w:t xml:space="preserve"> provide a recording of the sales call. </w:t>
      </w:r>
      <w:r w:rsidRPr="009A29DA" w:rsidR="00AB71F2">
        <w:rPr>
          <w:szCs w:val="22"/>
        </w:rPr>
        <w:t xml:space="preserve"> </w:t>
      </w:r>
      <w:r w:rsidRPr="009A29DA" w:rsidR="004C7C92">
        <w:rPr>
          <w:szCs w:val="24"/>
        </w:rPr>
        <w:t xml:space="preserve">The Division </w:t>
      </w:r>
      <w:r w:rsidRPr="009A29DA" w:rsidR="00F75885">
        <w:rPr>
          <w:szCs w:val="24"/>
        </w:rPr>
        <w:t>thoroughly</w:t>
      </w:r>
      <w:r w:rsidRPr="009A29DA" w:rsidR="004C7C92">
        <w:rPr>
          <w:szCs w:val="24"/>
        </w:rPr>
        <w:t xml:space="preserve"> reviewed all </w:t>
      </w:r>
      <w:r w:rsidRPr="009A29DA" w:rsidR="000B22F5">
        <w:rPr>
          <w:szCs w:val="24"/>
        </w:rPr>
        <w:t xml:space="preserve">the </w:t>
      </w:r>
      <w:r w:rsidRPr="009A29DA" w:rsidR="004C7C92">
        <w:rPr>
          <w:szCs w:val="24"/>
        </w:rPr>
        <w:t xml:space="preserve">evidence in the record provided by both the Complainant and </w:t>
      </w:r>
      <w:r w:rsidRPr="009A29DA" w:rsidR="007402FD">
        <w:rPr>
          <w:szCs w:val="24"/>
        </w:rPr>
        <w:t>Clear Rate</w:t>
      </w:r>
      <w:r w:rsidRPr="009A29DA" w:rsidR="002B140C">
        <w:rPr>
          <w:szCs w:val="24"/>
        </w:rPr>
        <w:t>, including the TPV recording</w:t>
      </w:r>
      <w:r w:rsidRPr="009A29DA" w:rsidR="004C7C92">
        <w:rPr>
          <w:szCs w:val="24"/>
        </w:rPr>
        <w:t xml:space="preserve">. </w:t>
      </w:r>
      <w:r w:rsidRPr="009A29DA" w:rsidR="000460DE">
        <w:rPr>
          <w:szCs w:val="22"/>
        </w:rPr>
        <w:t xml:space="preserve"> </w:t>
      </w:r>
      <w:r w:rsidRPr="009A29DA" w:rsidR="00D33E46">
        <w:rPr>
          <w:szCs w:val="22"/>
        </w:rPr>
        <w:t>Based on the evidence in the record, w</w:t>
      </w:r>
      <w:r w:rsidRPr="009A29DA" w:rsidR="005D20F0">
        <w:rPr>
          <w:szCs w:val="22"/>
        </w:rPr>
        <w:t xml:space="preserve">e </w:t>
      </w:r>
      <w:r w:rsidRPr="009A29DA" w:rsidR="00305DCB">
        <w:rPr>
          <w:szCs w:val="22"/>
        </w:rPr>
        <w:t>find Complainant’s allegation of a sales call misrepresentation to be</w:t>
      </w:r>
      <w:r w:rsidRPr="009A29DA">
        <w:rPr>
          <w:szCs w:val="22"/>
        </w:rPr>
        <w:t xml:space="preserve"> credible</w:t>
      </w:r>
      <w:r w:rsidRPr="009A29DA" w:rsidR="00305DCB">
        <w:rPr>
          <w:szCs w:val="22"/>
        </w:rPr>
        <w:t xml:space="preserve">.  </w:t>
      </w:r>
      <w:r w:rsidRPr="009A29DA" w:rsidR="002F09DF">
        <w:rPr>
          <w:szCs w:val="22"/>
        </w:rPr>
        <w:t xml:space="preserve">As the Commission stated in the </w:t>
      </w:r>
      <w:r w:rsidRPr="009A29DA" w:rsidR="002F09DF">
        <w:rPr>
          <w:i/>
          <w:szCs w:val="22"/>
        </w:rPr>
        <w:t>2018 Slamming Order</w:t>
      </w:r>
      <w:r w:rsidRPr="009A29DA" w:rsidR="002F09DF">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7"/>
      </w:r>
      <w:r w:rsidRPr="009A29DA" w:rsidR="002F09DF">
        <w:rPr>
          <w:szCs w:val="22"/>
        </w:rPr>
        <w:t xml:space="preserve">  </w:t>
      </w:r>
      <w:r w:rsidRPr="009A29DA" w:rsidR="00305DCB">
        <w:rPr>
          <w:szCs w:val="22"/>
        </w:rPr>
        <w:t xml:space="preserve">We </w:t>
      </w:r>
      <w:r w:rsidRPr="009A29DA" w:rsidR="001B1CAF">
        <w:rPr>
          <w:szCs w:val="22"/>
        </w:rPr>
        <w:t>further find</w:t>
      </w:r>
      <w:r w:rsidRPr="009A29DA" w:rsidR="00305DCB">
        <w:rPr>
          <w:szCs w:val="22"/>
        </w:rPr>
        <w:t xml:space="preserve"> that </w:t>
      </w:r>
      <w:r w:rsidRPr="009A29DA" w:rsidR="007402FD">
        <w:rPr>
          <w:szCs w:val="22"/>
        </w:rPr>
        <w:t>Clear Rate</w:t>
      </w:r>
      <w:r w:rsidRPr="009A29DA" w:rsidR="00305DCB">
        <w:rPr>
          <w:szCs w:val="22"/>
        </w:rPr>
        <w:t xml:space="preserve"> has failed to provide persuasive evidence to rebut Complainant’s claim</w:t>
      </w:r>
      <w:r w:rsidRPr="009A29DA" w:rsidR="001B1CAF">
        <w:rPr>
          <w:szCs w:val="22"/>
        </w:rPr>
        <w:t xml:space="preserve"> and therefore </w:t>
      </w:r>
      <w:r w:rsidRPr="009A29DA" w:rsidR="001B1CAF">
        <w:rPr>
          <w:szCs w:val="22"/>
        </w:rPr>
        <w:t>that Complainant’s authorization to change carriers is invalid</w:t>
      </w:r>
      <w:r w:rsidRPr="009A29DA" w:rsidR="00305DCB">
        <w:rPr>
          <w:szCs w:val="22"/>
        </w:rPr>
        <w:t xml:space="preserve">. </w:t>
      </w:r>
      <w:r w:rsidRPr="009A29DA" w:rsidR="001B1CAF">
        <w:rPr>
          <w:szCs w:val="22"/>
        </w:rPr>
        <w:t xml:space="preserve"> </w:t>
      </w:r>
      <w:r w:rsidRPr="009A29DA" w:rsidR="00D33E46">
        <w:rPr>
          <w:szCs w:val="22"/>
        </w:rPr>
        <w:t>W</w:t>
      </w:r>
      <w:r w:rsidRPr="009A29DA" w:rsidR="005D20F0">
        <w:rPr>
          <w:szCs w:val="22"/>
        </w:rPr>
        <w:t>e</w:t>
      </w:r>
      <w:r w:rsidRPr="009A29DA" w:rsidR="00D33E46">
        <w:rPr>
          <w:szCs w:val="22"/>
        </w:rPr>
        <w:t xml:space="preserve"> therefore</w:t>
      </w:r>
      <w:r w:rsidRPr="009A29DA" w:rsidR="005D20F0">
        <w:rPr>
          <w:szCs w:val="22"/>
        </w:rPr>
        <w:t xml:space="preserve"> </w:t>
      </w:r>
      <w:r w:rsidRPr="009A29DA" w:rsidR="00D33E46">
        <w:rPr>
          <w:szCs w:val="22"/>
        </w:rPr>
        <w:t>find</w:t>
      </w:r>
      <w:r w:rsidRPr="009A29DA" w:rsidR="005D20F0">
        <w:rPr>
          <w:szCs w:val="22"/>
        </w:rPr>
        <w:t xml:space="preserve"> that </w:t>
      </w:r>
      <w:r w:rsidRPr="009A29DA" w:rsidR="007402FD">
        <w:rPr>
          <w:szCs w:val="22"/>
        </w:rPr>
        <w:t>Clear Rate</w:t>
      </w:r>
      <w:r w:rsidRPr="009A29DA" w:rsidR="00B83BA2">
        <w:rPr>
          <w:szCs w:val="22"/>
        </w:rPr>
        <w:t xml:space="preserve">’s actions resulted in an unauthorized change in Complainant’s </w:t>
      </w:r>
      <w:r w:rsidRPr="009A29DA" w:rsidR="00AB71F2">
        <w:rPr>
          <w:szCs w:val="22"/>
        </w:rPr>
        <w:t>telecommunications service provider, as defined by the rules</w:t>
      </w:r>
      <w:r w:rsidRPr="009A29DA" w:rsidR="00D54E72">
        <w:rPr>
          <w:szCs w:val="22"/>
        </w:rPr>
        <w:t xml:space="preserve">, and we discuss </w:t>
      </w:r>
      <w:r w:rsidRPr="009A29DA" w:rsidR="007402FD">
        <w:rPr>
          <w:szCs w:val="22"/>
        </w:rPr>
        <w:t>Clear Rate</w:t>
      </w:r>
      <w:r w:rsidRPr="009A29DA" w:rsidR="00D54E72">
        <w:rPr>
          <w:szCs w:val="22"/>
        </w:rPr>
        <w:t>’s liability below.</w:t>
      </w:r>
      <w:r>
        <w:rPr>
          <w:rStyle w:val="FootnoteReference"/>
          <w:szCs w:val="22"/>
        </w:rPr>
        <w:footnoteReference w:id="18"/>
      </w:r>
      <w:r w:rsidRPr="009A29DA" w:rsidR="00AB71F2">
        <w:rPr>
          <w:szCs w:val="22"/>
        </w:rPr>
        <w:t xml:space="preserve"> </w:t>
      </w:r>
    </w:p>
    <w:p w:rsidR="00D20DC8" w:rsidRPr="00D20DC8" w:rsidP="00D20DC8" w14:paraId="50398EE7" w14:textId="77777777">
      <w:pPr>
        <w:numPr>
          <w:ilvl w:val="0"/>
          <w:numId w:val="7"/>
        </w:numPr>
        <w:snapToGrid w:val="0"/>
        <w:spacing w:after="120"/>
        <w:ind w:left="0" w:firstLine="720"/>
        <w:rPr>
          <w:szCs w:val="22"/>
        </w:rPr>
      </w:pPr>
      <w:r>
        <w:rPr>
          <w:szCs w:val="22"/>
        </w:rPr>
        <w:t>Clear Rate</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9"/>
      </w:r>
      <w:r>
        <w:rPr>
          <w:szCs w:val="22"/>
        </w:rPr>
        <w:t xml:space="preserve">  We have determined that Complainant is entitled to absolution for the charges incurred during the first thirty days after the unauthorized change occurred and that </w:t>
      </w:r>
      <w:r>
        <w:t xml:space="preserve">neither the Complainant’s authorized carrier nor </w:t>
      </w:r>
      <w:r>
        <w:rPr>
          <w:szCs w:val="22"/>
        </w:rPr>
        <w:t>Clear Rate</w:t>
      </w:r>
      <w:r>
        <w:rPr>
          <w:szCs w:val="22"/>
        </w:rPr>
        <w:t xml:space="preserve"> may pursue any collection against Complainant for those charges.</w:t>
      </w:r>
      <w:r>
        <w:rPr>
          <w:rStyle w:val="FootnoteReference"/>
          <w:szCs w:val="22"/>
        </w:rPr>
        <w:footnoteReference w:id="20"/>
      </w:r>
      <w:r>
        <w:rPr>
          <w:szCs w:val="22"/>
        </w:rPr>
        <w:t xml:space="preserve">  Any charges imposed by </w:t>
      </w:r>
      <w:r>
        <w:rPr>
          <w:szCs w:val="22"/>
        </w:rPr>
        <w:t>Clear Rate</w:t>
      </w:r>
      <w:r>
        <w:rPr>
          <w:szCs w:val="22"/>
        </w:rPr>
        <w:t xml:space="preserve"> on the subscriber for service provided after this 30-day period shall be paid by the subscriber at the rates the subscriber was paying to his/her authorized carrier at the time of the unauthorized change.</w:t>
      </w:r>
      <w:r>
        <w:rPr>
          <w:rStyle w:val="FootnoteReference"/>
          <w:szCs w:val="22"/>
        </w:rPr>
        <w:footnoteReference w:id="21"/>
      </w:r>
    </w:p>
    <w:p w:rsidR="00AB71F2" w:rsidP="00305DCB" w14:paraId="4B2C0238" w14:textId="77777777">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sidR="007402FD">
        <w:rPr>
          <w:szCs w:val="22"/>
        </w:rPr>
        <w:t>Clear Rate</w:t>
      </w:r>
      <w:r>
        <w:rPr>
          <w:szCs w:val="22"/>
        </w:rPr>
        <w:t xml:space="preserve"> Communications</w:t>
      </w:r>
      <w:r w:rsidR="0012074E">
        <w:rPr>
          <w:szCs w:val="22"/>
        </w:rPr>
        <w:t>, Inc.</w:t>
      </w:r>
      <w:r>
        <w:rPr>
          <w:szCs w:val="22"/>
        </w:rPr>
        <w:t xml:space="preserve"> </w:t>
      </w:r>
      <w:r w:rsidR="00A87E8F">
        <w:rPr>
          <w:szCs w:val="22"/>
        </w:rPr>
        <w:t>IS</w:t>
      </w:r>
      <w:r>
        <w:rPr>
          <w:szCs w:val="22"/>
        </w:rPr>
        <w:t xml:space="preserve"> </w:t>
      </w:r>
      <w:r w:rsidR="00A87E8F">
        <w:rPr>
          <w:szCs w:val="22"/>
        </w:rPr>
        <w:t>GRANTED</w:t>
      </w:r>
      <w:r>
        <w:rPr>
          <w:szCs w:val="22"/>
        </w:rPr>
        <w:t>.</w:t>
      </w:r>
    </w:p>
    <w:p w:rsidR="00AB71F2" w:rsidRPr="002C36F1" w:rsidP="00847D23" w14:paraId="725DF110" w14:textId="77777777">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first thirty days after the unauthorized change occurred and that </w:t>
      </w:r>
      <w:r w:rsidR="007402FD">
        <w:rPr>
          <w:szCs w:val="22"/>
        </w:rPr>
        <w:t>Clear Rate</w:t>
      </w:r>
      <w:r>
        <w:rPr>
          <w:szCs w:val="22"/>
        </w:rPr>
        <w:t xml:space="preserve"> Communications</w:t>
      </w:r>
      <w:r w:rsidR="0012074E">
        <w:rPr>
          <w:szCs w:val="22"/>
        </w:rPr>
        <w:t>, Inc.</w:t>
      </w:r>
      <w:r w:rsidRPr="00FD2C3C">
        <w:rPr>
          <w:szCs w:val="22"/>
        </w:rPr>
        <w:t xml:space="preserve"> may not pursue any collection against Complainant for those charges.</w:t>
      </w:r>
    </w:p>
    <w:p w:rsidR="00AB71F2" w:rsidRPr="00305DCB" w:rsidP="00305DCB" w14:paraId="18F5E109" w14:textId="77777777">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BE0B0D" w14:paraId="2BC6D13D" w14:textId="77777777">
      <w:pPr>
        <w:spacing w:after="120"/>
        <w:ind w:left="4320" w:right="270"/>
        <w:rPr>
          <w:szCs w:val="22"/>
        </w:rPr>
      </w:pPr>
      <w:r>
        <w:rPr>
          <w:szCs w:val="22"/>
        </w:rPr>
        <w:t>FEDERAL COMMUNICATIONS COMMISSION</w:t>
      </w:r>
    </w:p>
    <w:p w:rsidR="00AB71F2" w:rsidP="005328A1" w14:paraId="0555E921" w14:textId="77777777">
      <w:pPr>
        <w:ind w:right="270"/>
        <w:rPr>
          <w:szCs w:val="22"/>
        </w:rPr>
      </w:pPr>
      <w:r>
        <w:rPr>
          <w:szCs w:val="22"/>
        </w:rPr>
        <w:tab/>
      </w:r>
      <w:r>
        <w:rPr>
          <w:szCs w:val="22"/>
        </w:rPr>
        <w:tab/>
      </w:r>
      <w:r>
        <w:rPr>
          <w:szCs w:val="22"/>
        </w:rPr>
        <w:tab/>
      </w:r>
      <w:r>
        <w:rPr>
          <w:szCs w:val="22"/>
        </w:rPr>
        <w:tab/>
      </w:r>
      <w:r>
        <w:rPr>
          <w:szCs w:val="22"/>
        </w:rPr>
        <w:tab/>
      </w:r>
    </w:p>
    <w:p w:rsidR="009A29DA" w:rsidP="005328A1" w14:paraId="4BDD53E8" w14:textId="77777777">
      <w:pPr>
        <w:ind w:right="270"/>
        <w:rPr>
          <w:szCs w:val="22"/>
        </w:rPr>
      </w:pPr>
    </w:p>
    <w:p w:rsidR="009A29DA" w:rsidP="005328A1" w14:paraId="04E8B89C" w14:textId="77777777">
      <w:pPr>
        <w:ind w:right="270"/>
        <w:rPr>
          <w:szCs w:val="22"/>
        </w:rPr>
      </w:pPr>
    </w:p>
    <w:p w:rsidR="009A29DA" w:rsidP="005328A1" w14:paraId="6EFEFD87" w14:textId="77777777">
      <w:pPr>
        <w:ind w:right="270"/>
        <w:rPr>
          <w:szCs w:val="22"/>
        </w:rPr>
      </w:pPr>
    </w:p>
    <w:p w:rsidR="009305B8" w:rsidRPr="009305B8" w:rsidP="00BE0B0D" w14:paraId="47512179" w14:textId="77777777">
      <w:pPr>
        <w:ind w:left="4320" w:right="270"/>
        <w:rPr>
          <w:szCs w:val="22"/>
        </w:rPr>
      </w:pPr>
      <w:r w:rsidRPr="009305B8">
        <w:rPr>
          <w:szCs w:val="22"/>
        </w:rPr>
        <w:t>Kurt A. Schroeder</w:t>
      </w:r>
    </w:p>
    <w:p w:rsidR="009305B8" w:rsidRPr="009305B8" w:rsidP="00BE0B0D" w14:paraId="0E7DFB7F" w14:textId="77777777">
      <w:pPr>
        <w:ind w:left="4320" w:right="270"/>
        <w:rPr>
          <w:szCs w:val="22"/>
        </w:rPr>
      </w:pPr>
      <w:r w:rsidRPr="009305B8">
        <w:rPr>
          <w:szCs w:val="22"/>
        </w:rPr>
        <w:t>Chief</w:t>
      </w:r>
    </w:p>
    <w:p w:rsidR="009305B8" w:rsidRPr="009305B8" w:rsidP="00BE0B0D" w14:paraId="1225F721" w14:textId="77777777">
      <w:pPr>
        <w:ind w:left="4320" w:right="270"/>
        <w:rPr>
          <w:szCs w:val="22"/>
        </w:rPr>
      </w:pPr>
      <w:r w:rsidRPr="009305B8">
        <w:rPr>
          <w:szCs w:val="22"/>
        </w:rPr>
        <w:t>Consumer Policy Division</w:t>
      </w:r>
    </w:p>
    <w:p w:rsidR="009305B8" w:rsidRPr="009305B8" w:rsidP="00BE0B0D" w14:paraId="5586651C" w14:textId="77777777">
      <w:pPr>
        <w:ind w:left="4320" w:right="270"/>
        <w:rPr>
          <w:szCs w:val="22"/>
        </w:rPr>
      </w:pPr>
      <w:r w:rsidRPr="009305B8">
        <w:rPr>
          <w:szCs w:val="22"/>
        </w:rPr>
        <w:t>Consumer and Governmental Affairs Bureau</w:t>
      </w:r>
    </w:p>
    <w:p w:rsidR="009A29DA" w:rsidP="00BE0B0D" w14:paraId="1FE1BEE3" w14:textId="77777777">
      <w:pPr>
        <w:ind w:right="270"/>
        <w:rPr>
          <w:szCs w:val="22"/>
        </w:rPr>
      </w:pPr>
    </w:p>
    <w:p w:rsidR="00EB19A2" w:rsidP="005328A1" w14:paraId="3264CA88" w14:textId="77777777">
      <w:pPr>
        <w:ind w:right="270"/>
        <w:rPr>
          <w:szCs w:val="22"/>
        </w:rPr>
      </w:pPr>
    </w:p>
    <w:p w:rsidR="00AB71F2" w:rsidP="00AB71F2" w14:paraId="5FBA827F" w14:textId="77777777">
      <w:pPr>
        <w:ind w:left="540"/>
        <w:rPr>
          <w:szCs w:val="22"/>
        </w:rPr>
      </w:pPr>
    </w:p>
    <w:p w:rsidR="00AB71F2" w:rsidP="00AB71F2" w14:paraId="112D19BB" w14:textId="77777777">
      <w:pPr>
        <w:ind w:right="270"/>
        <w:jc w:val="cente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0A8D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D6E2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2025E6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FECE02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3282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47E6" w14:paraId="7A702880" w14:textId="77777777">
      <w:r>
        <w:separator/>
      </w:r>
    </w:p>
  </w:footnote>
  <w:footnote w:type="continuationSeparator" w:id="1">
    <w:p w:rsidR="005047E6" w:rsidP="00C721AC" w14:paraId="0192082E" w14:textId="77777777">
      <w:pPr>
        <w:spacing w:before="120"/>
        <w:rPr>
          <w:sz w:val="20"/>
        </w:rPr>
      </w:pPr>
      <w:r>
        <w:rPr>
          <w:sz w:val="20"/>
        </w:rPr>
        <w:t xml:space="preserve">(Continued from previous page)  </w:t>
      </w:r>
      <w:r>
        <w:rPr>
          <w:sz w:val="20"/>
        </w:rPr>
        <w:separator/>
      </w:r>
    </w:p>
  </w:footnote>
  <w:footnote w:type="continuationNotice" w:id="2">
    <w:p w:rsidR="005047E6" w:rsidP="00C721AC" w14:paraId="5D0AA658" w14:textId="77777777">
      <w:pPr>
        <w:jc w:val="right"/>
        <w:rPr>
          <w:sz w:val="20"/>
        </w:rPr>
      </w:pPr>
      <w:r>
        <w:rPr>
          <w:sz w:val="20"/>
        </w:rPr>
        <w:t>(continued….)</w:t>
      </w:r>
    </w:p>
  </w:footnote>
  <w:footnote w:id="3">
    <w:p w:rsidR="00AB71F2" w:rsidP="00AB71F2" w14:paraId="3D647656" w14:textId="77777777">
      <w:pPr>
        <w:pStyle w:val="FootnoteText"/>
      </w:pPr>
      <w:r>
        <w:rPr>
          <w:rStyle w:val="FootnoteReference"/>
        </w:rPr>
        <w:footnoteRef/>
      </w:r>
      <w:r>
        <w:t xml:space="preserve"> </w:t>
      </w:r>
      <w:r w:rsidR="006533AA">
        <w:rPr>
          <w:i/>
        </w:rPr>
        <w:t>See</w:t>
      </w:r>
      <w:r w:rsidR="006533AA">
        <w:t xml:space="preserve"> Informal Complaint No. </w:t>
      </w:r>
      <w:r w:rsidR="007402FD">
        <w:t>4109028</w:t>
      </w:r>
      <w:r w:rsidR="006533AA">
        <w:t xml:space="preserve"> (filed </w:t>
      </w:r>
      <w:r w:rsidR="007402FD">
        <w:t>July 24, 2020</w:t>
      </w:r>
      <w:r w:rsidR="006533AA">
        <w:t xml:space="preserve">); </w:t>
      </w:r>
      <w:r w:rsidR="006533AA">
        <w:rPr>
          <w:i/>
        </w:rPr>
        <w:t>s</w:t>
      </w:r>
      <w:r>
        <w:rPr>
          <w:i/>
        </w:rPr>
        <w:t>ee</w:t>
      </w:r>
      <w:r w:rsidR="006533AA">
        <w:rPr>
          <w:i/>
        </w:rPr>
        <w:t xml:space="preserve"> also</w:t>
      </w:r>
      <w:r>
        <w:t xml:space="preserve"> 47 CFR §§ 64.1100 – 64.1190.</w:t>
      </w:r>
    </w:p>
  </w:footnote>
  <w:footnote w:id="4">
    <w:p w:rsidR="00AB71F2" w:rsidP="00AB71F2" w14:paraId="521CA160" w14:textId="77777777">
      <w:pPr>
        <w:pStyle w:val="FootnoteText"/>
      </w:pPr>
      <w:r>
        <w:rPr>
          <w:rStyle w:val="FootnoteReference"/>
        </w:rPr>
        <w:footnoteRef/>
      </w:r>
      <w:r>
        <w:t xml:space="preserve"> 47 U.S.C. § 258(a).</w:t>
      </w:r>
    </w:p>
  </w:footnote>
  <w:footnote w:id="5">
    <w:p w:rsidR="00AB71F2" w:rsidP="00AB71F2" w14:paraId="2F67BB70"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14:paraId="398E902E" w14:textId="77777777">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14:paraId="2D3DFC0B" w14:textId="77777777">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14:paraId="3DFB08D7" w14:textId="77777777">
      <w:pPr>
        <w:pStyle w:val="FootnoteText"/>
      </w:pPr>
      <w:r>
        <w:rPr>
          <w:rStyle w:val="FootnoteReference"/>
        </w:rPr>
        <w:footnoteRef/>
      </w:r>
      <w:r>
        <w:t xml:space="preserve"> </w:t>
      </w:r>
      <w:r w:rsidRPr="009F6F0E" w:rsidR="009F6F0E">
        <w:rPr>
          <w:i/>
        </w:rPr>
        <w:t>Id</w:t>
      </w:r>
      <w:r w:rsidR="009F6F0E">
        <w:t>.</w:t>
      </w:r>
      <w:r>
        <w:t xml:space="preserve"> § 64.1120(a)(1)(i)(A).  </w:t>
      </w:r>
    </w:p>
  </w:footnote>
  <w:footnote w:id="9">
    <w:p w:rsidR="00CF2AA9" w:rsidP="00CF2AA9" w14:paraId="628EE796" w14:textId="77777777">
      <w:pPr>
        <w:pStyle w:val="FootnoteText"/>
      </w:pPr>
      <w:r>
        <w:rPr>
          <w:rStyle w:val="FootnoteReference"/>
        </w:rPr>
        <w:footnoteRef/>
      </w:r>
      <w:r>
        <w:t xml:space="preserve"> </w:t>
      </w:r>
      <w:r>
        <w:rPr>
          <w:i/>
        </w:rPr>
        <w:t>See Protecting Consumers from Unauthorized Carrier Changes and Related Unauthorized Charges</w:t>
      </w:r>
      <w:r>
        <w:t>, 33 FCC Rcd 5773, 5778-80, paras. 17-19 (2018)</w:t>
      </w:r>
      <w:r w:rsidR="00305DCB">
        <w:t xml:space="preserve"> (</w:t>
      </w:r>
      <w:r w:rsidRPr="00305DCB" w:rsidR="00305DCB">
        <w:rPr>
          <w:i/>
        </w:rPr>
        <w:t>2018 Slamming Order</w:t>
      </w:r>
      <w:r w:rsidR="00305DCB">
        <w:t>)</w:t>
      </w:r>
      <w:r>
        <w:t>; 47 CFR § 64.1120(a)(1)(i)(A).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14:paraId="1F574A46" w14:textId="77777777">
      <w:pPr>
        <w:pStyle w:val="FootnoteText"/>
      </w:pPr>
      <w:r>
        <w:rPr>
          <w:rStyle w:val="FootnoteReference"/>
        </w:rPr>
        <w:footnoteRef/>
      </w:r>
      <w:r>
        <w:t xml:space="preserve"> </w:t>
      </w:r>
      <w:r w:rsidRPr="000237AB">
        <w:rPr>
          <w:i/>
        </w:rPr>
        <w:t>See 2018 Slamming Order</w:t>
      </w:r>
      <w:r>
        <w:t xml:space="preserve">, 33 FCC Rcd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1D73F3" w:rsidP="001D73F3" w14:paraId="72C91EAB" w14:textId="77777777">
      <w:pPr>
        <w:pStyle w:val="FootnoteText"/>
      </w:pPr>
      <w:r>
        <w:rPr>
          <w:rStyle w:val="FootnoteReference"/>
        </w:rPr>
        <w:footnoteRef/>
      </w:r>
      <w:r>
        <w:t xml:space="preserve"> </w:t>
      </w:r>
      <w:r w:rsidRPr="00305DCB">
        <w:rPr>
          <w:i/>
        </w:rPr>
        <w:t>See</w:t>
      </w:r>
      <w:r>
        <w:t xml:space="preserve"> Informal Complaint No. </w:t>
      </w:r>
      <w:r w:rsidR="009A29DA">
        <w:t>4109028</w:t>
      </w:r>
      <w:r>
        <w:t>.</w:t>
      </w:r>
    </w:p>
  </w:footnote>
  <w:footnote w:id="12">
    <w:p w:rsidR="00EE67D0" w14:paraId="28AA6BA7" w14:textId="77777777">
      <w:pPr>
        <w:pStyle w:val="FootnoteText"/>
      </w:pPr>
      <w:r>
        <w:rPr>
          <w:rStyle w:val="FootnoteReference"/>
        </w:rPr>
        <w:footnoteRef/>
      </w:r>
      <w:r>
        <w:t xml:space="preserve"> </w:t>
      </w:r>
      <w:r w:rsidRPr="00EE67D0">
        <w:rPr>
          <w:i/>
          <w:iCs/>
        </w:rPr>
        <w:t>Id</w:t>
      </w:r>
      <w:r>
        <w:t>.</w:t>
      </w:r>
    </w:p>
  </w:footnote>
  <w:footnote w:id="13">
    <w:p w:rsidR="002B63B8" w:rsidP="002B63B8" w14:paraId="2CF09DF1" w14:textId="4F5557C9">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r w:rsidR="003146CD">
        <w:t xml:space="preserve">  </w:t>
      </w:r>
      <w:r w:rsidR="00A54926">
        <w:t>When</w:t>
      </w:r>
      <w:r w:rsidR="003146CD">
        <w:t xml:space="preserve"> serving the complaint on Clear Rate, we specifically noted the Complainant’s misrepresentation allegation and stated that an accurate and complete recording of the sales call may be Clear Rate’s best persuasive evidence to rebut the Complainant’s claim. </w:t>
      </w:r>
    </w:p>
  </w:footnote>
  <w:footnote w:id="14">
    <w:p w:rsidR="002B63B8" w14:paraId="25E7E9D7" w14:textId="54E5597C">
      <w:pPr>
        <w:pStyle w:val="FootnoteText"/>
      </w:pPr>
      <w:r>
        <w:rPr>
          <w:rStyle w:val="FootnoteReference"/>
        </w:rPr>
        <w:footnoteRef/>
      </w:r>
      <w:r>
        <w:t xml:space="preserve"> </w:t>
      </w:r>
      <w:r w:rsidR="007402FD">
        <w:t>Clear Rate</w:t>
      </w:r>
      <w:r>
        <w:t xml:space="preserve"> Response to Informal Complaint No. </w:t>
      </w:r>
      <w:r w:rsidR="009A29DA">
        <w:t>4109028</w:t>
      </w:r>
      <w:r>
        <w:t xml:space="preserve"> (filed </w:t>
      </w:r>
      <w:r w:rsidR="009A29DA">
        <w:t>Sept. 4, 2020</w:t>
      </w:r>
      <w:r>
        <w:t>).</w:t>
      </w:r>
    </w:p>
  </w:footnote>
  <w:footnote w:id="15">
    <w:p w:rsidR="002C00B4" w14:paraId="47B828BA" w14:textId="22FFE5C3">
      <w:pPr>
        <w:pStyle w:val="FootnoteText"/>
      </w:pPr>
      <w:r>
        <w:rPr>
          <w:rStyle w:val="FootnoteReference"/>
        </w:rPr>
        <w:footnoteRef/>
      </w:r>
      <w:r>
        <w:t xml:space="preserve"> </w:t>
      </w:r>
      <w:r w:rsidRPr="002C00B4">
        <w:rPr>
          <w:i/>
          <w:iCs/>
        </w:rPr>
        <w:t>Id</w:t>
      </w:r>
      <w:r>
        <w:t xml:space="preserve">. at </w:t>
      </w:r>
      <w:r w:rsidR="00506B4B">
        <w:t>3</w:t>
      </w:r>
      <w:r>
        <w:t>.</w:t>
      </w:r>
    </w:p>
  </w:footnote>
  <w:footnote w:id="16">
    <w:p w:rsidR="00D828A7" w14:paraId="124BA98A" w14:textId="7C0A2D8C">
      <w:pPr>
        <w:pStyle w:val="FootnoteText"/>
      </w:pPr>
      <w:r>
        <w:rPr>
          <w:rStyle w:val="FootnoteReference"/>
        </w:rPr>
        <w:footnoteRef/>
      </w:r>
      <w:r>
        <w:t xml:space="preserve"> </w:t>
      </w:r>
      <w:r w:rsidRPr="00D828A7">
        <w:rPr>
          <w:i/>
          <w:iCs/>
        </w:rPr>
        <w:t>Id</w:t>
      </w:r>
      <w:r>
        <w:t>.</w:t>
      </w:r>
    </w:p>
  </w:footnote>
  <w:footnote w:id="17">
    <w:p w:rsidR="002F09DF" w14:paraId="4D0294ED" w14:textId="77777777">
      <w:pPr>
        <w:pStyle w:val="FootnoteText"/>
      </w:pPr>
      <w:r>
        <w:rPr>
          <w:rStyle w:val="FootnoteReference"/>
        </w:rPr>
        <w:footnoteRef/>
      </w:r>
      <w:r>
        <w:t xml:space="preserve"> </w:t>
      </w:r>
      <w:r w:rsidRPr="002F09DF">
        <w:rPr>
          <w:i/>
        </w:rPr>
        <w:t>2018 Slamming Order</w:t>
      </w:r>
      <w:r>
        <w:t xml:space="preserve">, 33 FCC Rcd at </w:t>
      </w:r>
      <w:r w:rsidR="003B3670">
        <w:t>5779</w:t>
      </w:r>
      <w:r>
        <w:t xml:space="preserve">, para. 18 (citing </w:t>
      </w:r>
      <w:r w:rsidRPr="002F09DF">
        <w:rPr>
          <w:i/>
        </w:rPr>
        <w:t>Advantage Forfeiture Order</w:t>
      </w:r>
      <w:r>
        <w:t xml:space="preserve">, 32 FCC Rcd </w:t>
      </w:r>
      <w:r w:rsidR="00263A71">
        <w:t>3723,</w:t>
      </w:r>
      <w:r>
        <w:t xml:space="preserve"> 3725-30</w:t>
      </w:r>
      <w:r w:rsidR="002C36F1">
        <w:t>,</w:t>
      </w:r>
      <w:r>
        <w:t xml:space="preserve"> paras. 7-13</w:t>
      </w:r>
      <w:r w:rsidR="00263A71">
        <w:t xml:space="preserve"> (2017)</w:t>
      </w:r>
      <w:r>
        <w:t xml:space="preserve"> (</w:t>
      </w:r>
      <w:r w:rsidR="00263A71">
        <w:t>finding that the carrier’s TPV recordings did not disprove that unlawful misrepresentations were made during the telemarketing calls and further, that questions posed during the separate TPV calls did not cure those misrepresentations)).</w:t>
      </w:r>
      <w:r>
        <w:t xml:space="preserve">  </w:t>
      </w:r>
    </w:p>
  </w:footnote>
  <w:footnote w:id="18">
    <w:p w:rsidR="00D54E72" w:rsidP="00D54E72" w14:paraId="77182E4C" w14:textId="77777777">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9">
    <w:p w:rsidR="00D20DC8" w:rsidP="00D20DC8" w14:paraId="75B51085" w14:textId="77777777">
      <w:pPr>
        <w:pStyle w:val="FootnoteText"/>
      </w:pPr>
      <w:r>
        <w:rPr>
          <w:rStyle w:val="FootnoteReference"/>
        </w:rPr>
        <w:footnoteRef/>
      </w:r>
      <w:r>
        <w:t xml:space="preserve"> </w:t>
      </w:r>
      <w:r>
        <w:rPr>
          <w:i/>
        </w:rPr>
        <w:t xml:space="preserve">See id. </w:t>
      </w:r>
      <w:r>
        <w:t>§ 64.1160(b).</w:t>
      </w:r>
    </w:p>
  </w:footnote>
  <w:footnote w:id="20">
    <w:p w:rsidR="00D20DC8" w:rsidP="00D20DC8" w14:paraId="3E47A259" w14:textId="77777777">
      <w:pPr>
        <w:pStyle w:val="FootnoteText"/>
      </w:pPr>
      <w:r>
        <w:rPr>
          <w:rStyle w:val="FootnoteReference"/>
        </w:rPr>
        <w:footnoteRef/>
      </w:r>
      <w:r>
        <w:t xml:space="preserve"> </w:t>
      </w:r>
      <w:r>
        <w:rPr>
          <w:i/>
        </w:rPr>
        <w:t xml:space="preserve">See id. </w:t>
      </w:r>
      <w:r>
        <w:t>§ 64.1160(d).</w:t>
      </w:r>
    </w:p>
  </w:footnote>
  <w:footnote w:id="21">
    <w:p w:rsidR="00D20DC8" w:rsidP="00D20DC8" w14:paraId="5D2BF6B0" w14:textId="77777777">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6BFA9" w14:textId="0C052BED">
    <w:pPr>
      <w:pStyle w:val="Header"/>
      <w:rPr>
        <w:b w:val="0"/>
      </w:rPr>
    </w:pPr>
    <w:r>
      <w:tab/>
      <w:t>Federal Communications Commission</w:t>
    </w:r>
    <w:r>
      <w:tab/>
    </w:r>
    <w:r w:rsidR="00A138E2">
      <w:t xml:space="preserve">DA </w:t>
    </w:r>
    <w:r w:rsidR="007402FD">
      <w:t>20</w:t>
    </w:r>
    <w:r w:rsidR="00A138E2">
      <w:t>-</w:t>
    </w:r>
    <w:r w:rsidR="00DF0EC4">
      <w:t>1096</w:t>
    </w:r>
  </w:p>
  <w:p w:rsidR="00D25FB5" w14:paraId="0FD3906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56DF3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5AFAED" w14:textId="6DCAEA5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 xml:space="preserve">DA </w:t>
    </w:r>
    <w:r w:rsidR="007402FD">
      <w:rPr>
        <w:spacing w:val="-2"/>
      </w:rPr>
      <w:t>20</w:t>
    </w:r>
    <w:r w:rsidR="00A138E2">
      <w:rPr>
        <w:spacing w:val="-2"/>
      </w:rPr>
      <w:t>-</w:t>
    </w:r>
    <w:r w:rsidR="00DF0EC4">
      <w:rPr>
        <w:spacing w:val="-2"/>
      </w:rPr>
      <w:t>1096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04940"/>
    <w:rsid w:val="00005C3D"/>
    <w:rsid w:val="000237AB"/>
    <w:rsid w:val="00036039"/>
    <w:rsid w:val="00037F90"/>
    <w:rsid w:val="000460DE"/>
    <w:rsid w:val="000535F6"/>
    <w:rsid w:val="00060FC4"/>
    <w:rsid w:val="00081BB4"/>
    <w:rsid w:val="00086ACF"/>
    <w:rsid w:val="000875BF"/>
    <w:rsid w:val="00092CF6"/>
    <w:rsid w:val="00096D8C"/>
    <w:rsid w:val="000B22F5"/>
    <w:rsid w:val="000B4543"/>
    <w:rsid w:val="000C0B65"/>
    <w:rsid w:val="000C3E16"/>
    <w:rsid w:val="000C5F90"/>
    <w:rsid w:val="000E05FE"/>
    <w:rsid w:val="000E3D42"/>
    <w:rsid w:val="00106F6E"/>
    <w:rsid w:val="0012074E"/>
    <w:rsid w:val="00122BD5"/>
    <w:rsid w:val="00133F79"/>
    <w:rsid w:val="00194A66"/>
    <w:rsid w:val="001A53ED"/>
    <w:rsid w:val="001B1CAF"/>
    <w:rsid w:val="001B5468"/>
    <w:rsid w:val="001B7EAB"/>
    <w:rsid w:val="001C0B77"/>
    <w:rsid w:val="001D02F5"/>
    <w:rsid w:val="001D6BCF"/>
    <w:rsid w:val="001D73F3"/>
    <w:rsid w:val="001E01CA"/>
    <w:rsid w:val="002253B7"/>
    <w:rsid w:val="00237F60"/>
    <w:rsid w:val="00263A71"/>
    <w:rsid w:val="0027255B"/>
    <w:rsid w:val="00275CF5"/>
    <w:rsid w:val="0028301F"/>
    <w:rsid w:val="00285017"/>
    <w:rsid w:val="002A2D2E"/>
    <w:rsid w:val="002A45AF"/>
    <w:rsid w:val="002B140C"/>
    <w:rsid w:val="002B63B8"/>
    <w:rsid w:val="002B6E9B"/>
    <w:rsid w:val="002C00B4"/>
    <w:rsid w:val="002C00E8"/>
    <w:rsid w:val="002C36F1"/>
    <w:rsid w:val="002F09DF"/>
    <w:rsid w:val="00301DE3"/>
    <w:rsid w:val="00305DCB"/>
    <w:rsid w:val="00311848"/>
    <w:rsid w:val="003146CD"/>
    <w:rsid w:val="00324EF7"/>
    <w:rsid w:val="00342416"/>
    <w:rsid w:val="00343749"/>
    <w:rsid w:val="0034525B"/>
    <w:rsid w:val="003660ED"/>
    <w:rsid w:val="00380442"/>
    <w:rsid w:val="003B0550"/>
    <w:rsid w:val="003B3670"/>
    <w:rsid w:val="003B694F"/>
    <w:rsid w:val="003D6481"/>
    <w:rsid w:val="003F171C"/>
    <w:rsid w:val="003F2A11"/>
    <w:rsid w:val="003F6DFB"/>
    <w:rsid w:val="00412FC5"/>
    <w:rsid w:val="00422276"/>
    <w:rsid w:val="004242F1"/>
    <w:rsid w:val="00427A5D"/>
    <w:rsid w:val="00445A00"/>
    <w:rsid w:val="00451B0F"/>
    <w:rsid w:val="004851C4"/>
    <w:rsid w:val="004C2EE3"/>
    <w:rsid w:val="004C7C92"/>
    <w:rsid w:val="004D22BB"/>
    <w:rsid w:val="004E4A22"/>
    <w:rsid w:val="004E65EF"/>
    <w:rsid w:val="004F7A19"/>
    <w:rsid w:val="005047E6"/>
    <w:rsid w:val="00506B4B"/>
    <w:rsid w:val="00511968"/>
    <w:rsid w:val="005146FB"/>
    <w:rsid w:val="00530827"/>
    <w:rsid w:val="005328A1"/>
    <w:rsid w:val="0055614C"/>
    <w:rsid w:val="0056611F"/>
    <w:rsid w:val="0056687D"/>
    <w:rsid w:val="00566D06"/>
    <w:rsid w:val="005937C4"/>
    <w:rsid w:val="00595EB8"/>
    <w:rsid w:val="005C37E9"/>
    <w:rsid w:val="005D1258"/>
    <w:rsid w:val="005D20F0"/>
    <w:rsid w:val="005D5735"/>
    <w:rsid w:val="005E14C2"/>
    <w:rsid w:val="00607BA5"/>
    <w:rsid w:val="0061180A"/>
    <w:rsid w:val="00626EB6"/>
    <w:rsid w:val="00641F04"/>
    <w:rsid w:val="006533AA"/>
    <w:rsid w:val="00655D03"/>
    <w:rsid w:val="00666634"/>
    <w:rsid w:val="0067532A"/>
    <w:rsid w:val="00683388"/>
    <w:rsid w:val="00683F84"/>
    <w:rsid w:val="006A6A81"/>
    <w:rsid w:val="006B1727"/>
    <w:rsid w:val="006D19EC"/>
    <w:rsid w:val="006D44BD"/>
    <w:rsid w:val="006D7353"/>
    <w:rsid w:val="006F7393"/>
    <w:rsid w:val="0070224F"/>
    <w:rsid w:val="007115F7"/>
    <w:rsid w:val="007402FD"/>
    <w:rsid w:val="00741B47"/>
    <w:rsid w:val="00747C81"/>
    <w:rsid w:val="0077476A"/>
    <w:rsid w:val="00785689"/>
    <w:rsid w:val="0079754B"/>
    <w:rsid w:val="007A1E6D"/>
    <w:rsid w:val="007B0EB2"/>
    <w:rsid w:val="007D10ED"/>
    <w:rsid w:val="007D357A"/>
    <w:rsid w:val="007D3C07"/>
    <w:rsid w:val="00810B6F"/>
    <w:rsid w:val="00822CE0"/>
    <w:rsid w:val="00841AB1"/>
    <w:rsid w:val="00847D23"/>
    <w:rsid w:val="00856C22"/>
    <w:rsid w:val="00894893"/>
    <w:rsid w:val="008C68F1"/>
    <w:rsid w:val="008E3ACB"/>
    <w:rsid w:val="008F5FAB"/>
    <w:rsid w:val="008F7313"/>
    <w:rsid w:val="00912AF3"/>
    <w:rsid w:val="00921803"/>
    <w:rsid w:val="00926503"/>
    <w:rsid w:val="009305B8"/>
    <w:rsid w:val="0093379B"/>
    <w:rsid w:val="009726D8"/>
    <w:rsid w:val="00982D35"/>
    <w:rsid w:val="009971D7"/>
    <w:rsid w:val="009A29DA"/>
    <w:rsid w:val="009B44FB"/>
    <w:rsid w:val="009B7731"/>
    <w:rsid w:val="009D72F3"/>
    <w:rsid w:val="009D7308"/>
    <w:rsid w:val="009E714E"/>
    <w:rsid w:val="009F6F0E"/>
    <w:rsid w:val="009F76DB"/>
    <w:rsid w:val="00A10275"/>
    <w:rsid w:val="00A133FC"/>
    <w:rsid w:val="00A138E2"/>
    <w:rsid w:val="00A32C3B"/>
    <w:rsid w:val="00A447E0"/>
    <w:rsid w:val="00A45F4F"/>
    <w:rsid w:val="00A54926"/>
    <w:rsid w:val="00A600A9"/>
    <w:rsid w:val="00A87E8F"/>
    <w:rsid w:val="00AA55B7"/>
    <w:rsid w:val="00AA5B9E"/>
    <w:rsid w:val="00AB2407"/>
    <w:rsid w:val="00AB53DF"/>
    <w:rsid w:val="00AB71F2"/>
    <w:rsid w:val="00AD126E"/>
    <w:rsid w:val="00AE3A7B"/>
    <w:rsid w:val="00AF77EB"/>
    <w:rsid w:val="00B07E5C"/>
    <w:rsid w:val="00B320AE"/>
    <w:rsid w:val="00B32DB6"/>
    <w:rsid w:val="00B3671E"/>
    <w:rsid w:val="00B73B55"/>
    <w:rsid w:val="00B76B8B"/>
    <w:rsid w:val="00B76BB9"/>
    <w:rsid w:val="00B811F7"/>
    <w:rsid w:val="00B83BA2"/>
    <w:rsid w:val="00B85F3F"/>
    <w:rsid w:val="00BA5BB7"/>
    <w:rsid w:val="00BA5DC6"/>
    <w:rsid w:val="00BA6196"/>
    <w:rsid w:val="00BA7C1E"/>
    <w:rsid w:val="00BC6D8C"/>
    <w:rsid w:val="00BE0B0D"/>
    <w:rsid w:val="00BF1E19"/>
    <w:rsid w:val="00C34006"/>
    <w:rsid w:val="00C36B4C"/>
    <w:rsid w:val="00C426B1"/>
    <w:rsid w:val="00C66160"/>
    <w:rsid w:val="00C721AC"/>
    <w:rsid w:val="00C74A8A"/>
    <w:rsid w:val="00C80625"/>
    <w:rsid w:val="00C82624"/>
    <w:rsid w:val="00C90D6A"/>
    <w:rsid w:val="00CA247E"/>
    <w:rsid w:val="00CA6D21"/>
    <w:rsid w:val="00CA752A"/>
    <w:rsid w:val="00CC5A9C"/>
    <w:rsid w:val="00CC72B6"/>
    <w:rsid w:val="00CE5BF4"/>
    <w:rsid w:val="00CF2AA9"/>
    <w:rsid w:val="00D0218D"/>
    <w:rsid w:val="00D20DC8"/>
    <w:rsid w:val="00D25FB5"/>
    <w:rsid w:val="00D26A9E"/>
    <w:rsid w:val="00D33E46"/>
    <w:rsid w:val="00D44223"/>
    <w:rsid w:val="00D46AA1"/>
    <w:rsid w:val="00D54B97"/>
    <w:rsid w:val="00D54E72"/>
    <w:rsid w:val="00D7648A"/>
    <w:rsid w:val="00D77547"/>
    <w:rsid w:val="00D828A7"/>
    <w:rsid w:val="00D97FFA"/>
    <w:rsid w:val="00DA2529"/>
    <w:rsid w:val="00DB130A"/>
    <w:rsid w:val="00DB138B"/>
    <w:rsid w:val="00DB2EBB"/>
    <w:rsid w:val="00DB3243"/>
    <w:rsid w:val="00DB4AEC"/>
    <w:rsid w:val="00DB58F8"/>
    <w:rsid w:val="00DC10A1"/>
    <w:rsid w:val="00DC300A"/>
    <w:rsid w:val="00DC655F"/>
    <w:rsid w:val="00DD0B59"/>
    <w:rsid w:val="00DD7EBD"/>
    <w:rsid w:val="00DF0EC4"/>
    <w:rsid w:val="00DF62B6"/>
    <w:rsid w:val="00E015BA"/>
    <w:rsid w:val="00E02BC7"/>
    <w:rsid w:val="00E03D88"/>
    <w:rsid w:val="00E07225"/>
    <w:rsid w:val="00E342E6"/>
    <w:rsid w:val="00E5409F"/>
    <w:rsid w:val="00E9403B"/>
    <w:rsid w:val="00EB19A2"/>
    <w:rsid w:val="00EC6863"/>
    <w:rsid w:val="00EE6488"/>
    <w:rsid w:val="00EE67D0"/>
    <w:rsid w:val="00EF3395"/>
    <w:rsid w:val="00F021FA"/>
    <w:rsid w:val="00F053DA"/>
    <w:rsid w:val="00F16BEA"/>
    <w:rsid w:val="00F22472"/>
    <w:rsid w:val="00F36DE1"/>
    <w:rsid w:val="00F576B9"/>
    <w:rsid w:val="00F61D10"/>
    <w:rsid w:val="00F62E97"/>
    <w:rsid w:val="00F64209"/>
    <w:rsid w:val="00F75885"/>
    <w:rsid w:val="00F93BF5"/>
    <w:rsid w:val="00FD2C3C"/>
    <w:rsid w:val="00FD493B"/>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 w:type="paragraph" w:styleId="NormalWeb">
    <w:name w:val="Normal (Web)"/>
    <w:basedOn w:val="Normal"/>
    <w:uiPriority w:val="99"/>
    <w:unhideWhenUsed/>
    <w:rsid w:val="00BA7C1E"/>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