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470C1F80"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37214AD1" w14:textId="77777777">
      <w:pPr>
        <w:pStyle w:val="StyleBoldCentered"/>
      </w:pPr>
      <w:r>
        <w:t>F</w:t>
      </w:r>
      <w:r>
        <w:rPr>
          <w:caps w:val="0"/>
        </w:rPr>
        <w:t>ederal Communications Commission</w:t>
      </w:r>
    </w:p>
    <w:p w:rsidR="004C2EE3" w:rsidP="00096D8C" w14:paraId="13401230" w14:textId="77777777">
      <w:pPr>
        <w:pStyle w:val="StyleBoldCentered"/>
      </w:pPr>
      <w:r>
        <w:rPr>
          <w:caps w:val="0"/>
        </w:rPr>
        <w:t>Washington, D.C. 20554</w:t>
      </w:r>
    </w:p>
    <w:p w:rsidR="004C2EE3" w:rsidP="0070224F" w14:paraId="1C06823F" w14:textId="77777777"/>
    <w:p w:rsidR="004C2EE3" w:rsidP="0070224F" w14:paraId="40BF7750" w14:textId="77777777"/>
    <w:tbl>
      <w:tblPr>
        <w:tblW w:w="0" w:type="auto"/>
        <w:tblLayout w:type="fixed"/>
        <w:tblLook w:val="0000"/>
      </w:tblPr>
      <w:tblGrid>
        <w:gridCol w:w="4698"/>
        <w:gridCol w:w="630"/>
        <w:gridCol w:w="4248"/>
      </w:tblGrid>
      <w:tr w14:paraId="3532DD96" w14:textId="77777777">
        <w:tblPrEx>
          <w:tblW w:w="0" w:type="auto"/>
          <w:tblLayout w:type="fixed"/>
          <w:tblLook w:val="0000"/>
        </w:tblPrEx>
        <w:tc>
          <w:tcPr>
            <w:tcW w:w="4698" w:type="dxa"/>
          </w:tcPr>
          <w:p w:rsidR="004C2EE3" w14:paraId="0C511C65" w14:textId="77777777">
            <w:pPr>
              <w:tabs>
                <w:tab w:val="center" w:pos="4680"/>
              </w:tabs>
              <w:suppressAutoHyphens/>
              <w:rPr>
                <w:spacing w:val="-2"/>
              </w:rPr>
            </w:pPr>
            <w:r>
              <w:rPr>
                <w:spacing w:val="-2"/>
              </w:rPr>
              <w:t>In the Matter of</w:t>
            </w:r>
          </w:p>
          <w:p w:rsidR="004C2EE3" w14:paraId="1EBB0A7D" w14:textId="77777777">
            <w:pPr>
              <w:tabs>
                <w:tab w:val="center" w:pos="4680"/>
              </w:tabs>
              <w:suppressAutoHyphens/>
              <w:rPr>
                <w:spacing w:val="-2"/>
              </w:rPr>
            </w:pPr>
          </w:p>
          <w:p w:rsidR="004C2EE3" w:rsidRPr="007115F7" w:rsidP="007115F7" w14:paraId="088E0EF1" w14:textId="73EAD9D6">
            <w:pPr>
              <w:tabs>
                <w:tab w:val="center" w:pos="4680"/>
              </w:tabs>
              <w:suppressAutoHyphens/>
              <w:rPr>
                <w:spacing w:val="-2"/>
              </w:rPr>
            </w:pPr>
            <w:r w:rsidRPr="00163D14">
              <w:rPr>
                <w:szCs w:val="22"/>
              </w:rPr>
              <w:t>Connect America Fund</w:t>
            </w:r>
            <w:r>
              <w:rPr>
                <w:szCs w:val="22"/>
              </w:rPr>
              <w:t>—Alaska Plan</w:t>
            </w:r>
          </w:p>
        </w:tc>
        <w:tc>
          <w:tcPr>
            <w:tcW w:w="630" w:type="dxa"/>
          </w:tcPr>
          <w:p w:rsidR="004C2EE3" w14:paraId="4CDFE980" w14:textId="77777777">
            <w:pPr>
              <w:tabs>
                <w:tab w:val="center" w:pos="4680"/>
              </w:tabs>
              <w:suppressAutoHyphens/>
              <w:rPr>
                <w:b/>
                <w:spacing w:val="-2"/>
              </w:rPr>
            </w:pPr>
            <w:r>
              <w:rPr>
                <w:b/>
                <w:spacing w:val="-2"/>
              </w:rPr>
              <w:t>)</w:t>
            </w:r>
          </w:p>
          <w:p w:rsidR="004C2EE3" w14:paraId="450DA4F2" w14:textId="77777777">
            <w:pPr>
              <w:tabs>
                <w:tab w:val="center" w:pos="4680"/>
              </w:tabs>
              <w:suppressAutoHyphens/>
              <w:rPr>
                <w:b/>
                <w:spacing w:val="-2"/>
              </w:rPr>
            </w:pPr>
            <w:r>
              <w:rPr>
                <w:b/>
                <w:spacing w:val="-2"/>
              </w:rPr>
              <w:t>)</w:t>
            </w:r>
          </w:p>
          <w:p w:rsidR="004C2EE3" w14:paraId="377DC2C3" w14:textId="77777777">
            <w:pPr>
              <w:tabs>
                <w:tab w:val="center" w:pos="4680"/>
              </w:tabs>
              <w:suppressAutoHyphens/>
              <w:rPr>
                <w:b/>
                <w:spacing w:val="-2"/>
              </w:rPr>
            </w:pPr>
            <w:r>
              <w:rPr>
                <w:b/>
                <w:spacing w:val="-2"/>
              </w:rPr>
              <w:t>)</w:t>
            </w:r>
          </w:p>
          <w:p w:rsidR="004C2EE3" w14:paraId="6EA58D6D" w14:textId="77777777">
            <w:pPr>
              <w:tabs>
                <w:tab w:val="center" w:pos="4680"/>
              </w:tabs>
              <w:suppressAutoHyphens/>
              <w:rPr>
                <w:b/>
                <w:spacing w:val="-2"/>
              </w:rPr>
            </w:pPr>
            <w:r>
              <w:rPr>
                <w:b/>
                <w:spacing w:val="-2"/>
              </w:rPr>
              <w:t>)</w:t>
            </w:r>
          </w:p>
          <w:p w:rsidR="004C2EE3" w14:paraId="00319729" w14:textId="13B3E91F">
            <w:pPr>
              <w:tabs>
                <w:tab w:val="center" w:pos="4680"/>
              </w:tabs>
              <w:suppressAutoHyphens/>
              <w:rPr>
                <w:spacing w:val="-2"/>
              </w:rPr>
            </w:pPr>
            <w:r>
              <w:rPr>
                <w:b/>
                <w:spacing w:val="-2"/>
              </w:rPr>
              <w:t>)</w:t>
            </w:r>
          </w:p>
        </w:tc>
        <w:tc>
          <w:tcPr>
            <w:tcW w:w="4248" w:type="dxa"/>
          </w:tcPr>
          <w:p w:rsidR="004C2EE3" w14:paraId="0980A6C9" w14:textId="77777777">
            <w:pPr>
              <w:tabs>
                <w:tab w:val="center" w:pos="4680"/>
              </w:tabs>
              <w:suppressAutoHyphens/>
              <w:rPr>
                <w:spacing w:val="-2"/>
              </w:rPr>
            </w:pPr>
          </w:p>
          <w:p w:rsidR="004C2EE3" w14:paraId="278B2AEA" w14:textId="77777777">
            <w:pPr>
              <w:pStyle w:val="TOAHeading"/>
              <w:tabs>
                <w:tab w:val="center" w:pos="4680"/>
                <w:tab w:val="clear" w:pos="9360"/>
              </w:tabs>
              <w:rPr>
                <w:spacing w:val="-2"/>
              </w:rPr>
            </w:pPr>
          </w:p>
          <w:p w:rsidR="00D1704A" w:rsidRPr="00163D14" w:rsidP="00D1704A" w14:paraId="2538B3BC" w14:textId="77777777">
            <w:pPr>
              <w:widowControl/>
              <w:rPr>
                <w:szCs w:val="22"/>
              </w:rPr>
            </w:pPr>
            <w:r w:rsidRPr="00163D14">
              <w:rPr>
                <w:szCs w:val="22"/>
              </w:rPr>
              <w:t xml:space="preserve">WC Docket No. </w:t>
            </w:r>
            <w:r>
              <w:rPr>
                <w:szCs w:val="22"/>
              </w:rPr>
              <w:t>16-271</w:t>
            </w:r>
          </w:p>
          <w:p w:rsidR="004C2EE3" w14:paraId="20FA1636" w14:textId="407A0C5A">
            <w:pPr>
              <w:tabs>
                <w:tab w:val="center" w:pos="4680"/>
              </w:tabs>
              <w:suppressAutoHyphens/>
              <w:rPr>
                <w:spacing w:val="-2"/>
              </w:rPr>
            </w:pPr>
          </w:p>
        </w:tc>
      </w:tr>
    </w:tbl>
    <w:p w:rsidR="004C2EE3" w:rsidP="0070224F" w14:paraId="7B6B9C04" w14:textId="77777777"/>
    <w:p w:rsidR="00841AB1" w:rsidP="00F021FA" w14:paraId="6A4D49D0" w14:textId="3B0BBBCB">
      <w:pPr>
        <w:pStyle w:val="StyleBoldCentered"/>
      </w:pPr>
      <w:r>
        <w:t>order</w:t>
      </w:r>
    </w:p>
    <w:p w:rsidR="004C2EE3" w14:paraId="321598A4" w14:textId="77777777">
      <w:pPr>
        <w:tabs>
          <w:tab w:val="left" w:pos="-720"/>
        </w:tabs>
        <w:suppressAutoHyphens/>
        <w:spacing w:line="227" w:lineRule="auto"/>
        <w:rPr>
          <w:spacing w:val="-2"/>
        </w:rPr>
      </w:pPr>
    </w:p>
    <w:p w:rsidR="004C2EE3" w:rsidP="00133F79" w14:paraId="018D8A86" w14:textId="6EA658ED">
      <w:pPr>
        <w:tabs>
          <w:tab w:val="left" w:pos="720"/>
          <w:tab w:val="right" w:pos="9360"/>
        </w:tabs>
        <w:suppressAutoHyphens/>
        <w:spacing w:line="227" w:lineRule="auto"/>
        <w:rPr>
          <w:spacing w:val="-2"/>
        </w:rPr>
      </w:pPr>
      <w:r>
        <w:rPr>
          <w:b/>
          <w:spacing w:val="-2"/>
        </w:rPr>
        <w:t xml:space="preserve">Adopted:  </w:t>
      </w:r>
      <w:r w:rsidR="00AF7EC0">
        <w:rPr>
          <w:b/>
          <w:spacing w:val="-2"/>
        </w:rPr>
        <w:t>September 16,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F7EC0">
        <w:rPr>
          <w:b/>
          <w:spacing w:val="-2"/>
        </w:rPr>
        <w:t>September 16, 2020</w:t>
      </w:r>
    </w:p>
    <w:p w:rsidR="00822CE0" w14:paraId="2E07D9F9" w14:textId="77777777"/>
    <w:p w:rsidR="004C2EE3" w:rsidP="00543D22" w14:paraId="7E41EE23" w14:textId="45652EF0">
      <w:pPr>
        <w:pStyle w:val="Byline"/>
        <w:widowControl/>
        <w:rPr>
          <w:spacing w:val="-2"/>
        </w:rPr>
      </w:pPr>
      <w:r w:rsidRPr="00163D14">
        <w:rPr>
          <w:szCs w:val="22"/>
        </w:rPr>
        <w:t>By the Chief</w:t>
      </w:r>
      <w:r>
        <w:rPr>
          <w:szCs w:val="22"/>
        </w:rPr>
        <w:t>,</w:t>
      </w:r>
      <w:r w:rsidRPr="00163D14">
        <w:rPr>
          <w:szCs w:val="22"/>
        </w:rPr>
        <w:t xml:space="preserve"> </w:t>
      </w:r>
      <w:r>
        <w:rPr>
          <w:szCs w:val="22"/>
        </w:rPr>
        <w:t>Wireless Telecommunications Bureau</w:t>
      </w:r>
      <w:r w:rsidRPr="00163D14">
        <w:rPr>
          <w:szCs w:val="22"/>
        </w:rPr>
        <w:t>:</w:t>
      </w:r>
    </w:p>
    <w:p w:rsidR="00822CE0" w14:paraId="4259A166" w14:textId="77777777">
      <w:pPr>
        <w:rPr>
          <w:spacing w:val="-2"/>
        </w:rPr>
      </w:pPr>
    </w:p>
    <w:p w:rsidR="00412FC5" w:rsidP="00C36B4C" w14:paraId="03919ED9" w14:textId="24420040">
      <w:pPr>
        <w:pStyle w:val="Heading1"/>
      </w:pPr>
      <w:r>
        <w:t>introduction</w:t>
      </w:r>
    </w:p>
    <w:p w:rsidR="00D50011" w:rsidP="00D50011" w14:paraId="1550C272" w14:textId="593B5BB8">
      <w:pPr>
        <w:pStyle w:val="ParaNum"/>
      </w:pPr>
      <w:r>
        <w:t>In t</w:t>
      </w:r>
      <w:r w:rsidR="006A7DD5">
        <w:t>his</w:t>
      </w:r>
      <w:r w:rsidR="00CA7B60">
        <w:t xml:space="preserve"> </w:t>
      </w:r>
      <w:r w:rsidR="00D43D54">
        <w:t>Order</w:t>
      </w:r>
      <w:r>
        <w:t xml:space="preserve">, </w:t>
      </w:r>
      <w:r w:rsidR="00D43D54">
        <w:t xml:space="preserve">the Wireless Telecommunications Bureau (Bureau) </w:t>
      </w:r>
      <w:r w:rsidR="00CA7B60">
        <w:t>adopt</w:t>
      </w:r>
      <w:r w:rsidR="00D43D54">
        <w:t>s</w:t>
      </w:r>
      <w:r w:rsidR="00CA7B60">
        <w:t xml:space="preserve"> </w:t>
      </w:r>
      <w:r w:rsidR="00580BBB">
        <w:t>a</w:t>
      </w:r>
      <w:r w:rsidR="00F606CB">
        <w:t xml:space="preserve"> </w:t>
      </w:r>
      <w:r w:rsidR="00580BBB">
        <w:t xml:space="preserve">methodology for estimating the number of </w:t>
      </w:r>
      <w:r>
        <w:t xml:space="preserve">Alaskans who receive mobile service within census blocks </w:t>
      </w:r>
      <w:r w:rsidR="00580BBB">
        <w:t xml:space="preserve">in remote areas of Alaska.  The </w:t>
      </w:r>
      <w:r w:rsidR="00D43D54">
        <w:t>Bureau</w:t>
      </w:r>
      <w:r w:rsidR="00580BBB">
        <w:t xml:space="preserve"> will use t</w:t>
      </w:r>
      <w:r w:rsidR="000675FF">
        <w:t>his</w:t>
      </w:r>
      <w:r w:rsidR="00580BBB">
        <w:t xml:space="preserve"> methodology to </w:t>
      </w:r>
      <w:r>
        <w:t>determine</w:t>
      </w:r>
      <w:r w:rsidR="0073669B">
        <w:t xml:space="preserve"> whether mobile providers </w:t>
      </w:r>
      <w:r w:rsidR="00D43D54">
        <w:t xml:space="preserve">that participate in the Commission’s plan for </w:t>
      </w:r>
      <w:r w:rsidR="00062351">
        <w:t xml:space="preserve">providing </w:t>
      </w:r>
      <w:r w:rsidR="00D43D54">
        <w:t>support</w:t>
      </w:r>
      <w:r w:rsidR="00062351">
        <w:t xml:space="preserve"> for </w:t>
      </w:r>
      <w:r w:rsidR="003D506C">
        <w:t xml:space="preserve">the </w:t>
      </w:r>
      <w:r w:rsidR="00062351">
        <w:t>deployment of</w:t>
      </w:r>
      <w:r w:rsidR="00D43D54">
        <w:t xml:space="preserve"> fixed and mobile service in high cost areas of Alaska (the Alaska Plan) </w:t>
      </w:r>
      <w:r>
        <w:t xml:space="preserve">have met their performance </w:t>
      </w:r>
      <w:r w:rsidR="00580BBB">
        <w:t>commitments</w:t>
      </w:r>
      <w:r w:rsidR="00800751">
        <w:t xml:space="preserve">.  The </w:t>
      </w:r>
      <w:r w:rsidR="00AB2855">
        <w:t>Bureau</w:t>
      </w:r>
      <w:r w:rsidR="00800751">
        <w:t xml:space="preserve"> will also </w:t>
      </w:r>
      <w:r w:rsidR="00AB2855">
        <w:t>use the methodology</w:t>
      </w:r>
      <w:r w:rsidR="00800751">
        <w:t xml:space="preserve"> t</w:t>
      </w:r>
      <w:r w:rsidR="007D7168">
        <w:t>o identify census blocks in remote areas</w:t>
      </w:r>
      <w:r w:rsidRPr="00770AF3" w:rsidR="007D7168">
        <w:t xml:space="preserve"> of </w:t>
      </w:r>
      <w:r w:rsidR="007D7168">
        <w:t xml:space="preserve">Alaska </w:t>
      </w:r>
      <w:r w:rsidR="00C442EB">
        <w:t>where these minimum service commitments apply</w:t>
      </w:r>
      <w:r w:rsidR="002F1C68">
        <w:t xml:space="preserve">.  </w:t>
      </w:r>
    </w:p>
    <w:p w:rsidR="00D96700" w:rsidP="00D96700" w14:paraId="0E6B87FD" w14:textId="623E863E">
      <w:pPr>
        <w:pStyle w:val="Heading1"/>
      </w:pPr>
      <w:r>
        <w:t>background</w:t>
      </w:r>
    </w:p>
    <w:p w:rsidR="00B874D7" w:rsidRPr="0006118D" w:rsidP="00695925" w14:paraId="44962175" w14:textId="24E5504E">
      <w:pPr>
        <w:pStyle w:val="ParaNum"/>
      </w:pPr>
      <w:r>
        <w:t xml:space="preserve">Alaska </w:t>
      </w:r>
      <w:r w:rsidR="00A453BC">
        <w:t>faces unique circumstances</w:t>
      </w:r>
      <w:r w:rsidR="00D64B89">
        <w:t>,</w:t>
      </w:r>
      <w:r w:rsidR="00A453BC">
        <w:t xml:space="preserve"> including i</w:t>
      </w:r>
      <w:r>
        <w:t xml:space="preserve">ts massive size, varying terrain, </w:t>
      </w:r>
      <w:r w:rsidR="00A453BC">
        <w:t>harsh</w:t>
      </w:r>
      <w:r>
        <w:t xml:space="preserve"> climates</w:t>
      </w:r>
      <w:r w:rsidR="00A453BC">
        <w:t>, isolated populations, shortened construction season, and lack of access to infrastructure</w:t>
      </w:r>
      <w:r w:rsidR="00D64B89">
        <w:t>,</w:t>
      </w:r>
      <w:r>
        <w:t xml:space="preserve"> </w:t>
      </w:r>
      <w:r w:rsidR="00A453BC">
        <w:t xml:space="preserve">which </w:t>
      </w:r>
      <w:r>
        <w:t xml:space="preserve">have made </w:t>
      </w:r>
      <w:r w:rsidR="00D64B89">
        <w:t>deploying</w:t>
      </w:r>
      <w:r>
        <w:t xml:space="preserve"> communications infrastructure particularly challenging for </w:t>
      </w:r>
      <w:r w:rsidR="00E657FE">
        <w:t xml:space="preserve">Alaskan </w:t>
      </w:r>
      <w:r w:rsidR="0093247D">
        <w:t>providers</w:t>
      </w:r>
      <w:r>
        <w:t>.</w:t>
      </w:r>
      <w:r>
        <w:rPr>
          <w:rStyle w:val="FootnoteReference"/>
        </w:rPr>
        <w:footnoteReference w:id="3"/>
      </w:r>
      <w:r w:rsidR="00EC4970">
        <w:t xml:space="preserve"> </w:t>
      </w:r>
      <w:r>
        <w:t xml:space="preserve"> To address </w:t>
      </w:r>
      <w:r w:rsidR="00BF006D">
        <w:t>Alaska’s unique</w:t>
      </w:r>
      <w:r>
        <w:t xml:space="preserve"> challenges, the Commission adopted </w:t>
      </w:r>
      <w:r w:rsidR="00EC4970">
        <w:t xml:space="preserve">the </w:t>
      </w:r>
      <w:r w:rsidRPr="0006118D" w:rsidR="00EC4970">
        <w:rPr>
          <w:i/>
          <w:iCs/>
        </w:rPr>
        <w:t>Alaska Plan Order</w:t>
      </w:r>
      <w:r w:rsidR="00EC4970">
        <w:t xml:space="preserve"> in 2016, which set forth a ten-year u</w:t>
      </w:r>
      <w:r>
        <w:t>niversal service plan specific to Alaska.</w:t>
      </w:r>
      <w:r>
        <w:rPr>
          <w:rStyle w:val="FootnoteReference"/>
        </w:rPr>
        <w:footnoteReference w:id="4"/>
      </w:r>
      <w:r w:rsidR="00EC4970">
        <w:t xml:space="preserve"> </w:t>
      </w:r>
      <w:r w:rsidR="00F16B40">
        <w:t xml:space="preserve"> </w:t>
      </w:r>
      <w:r w:rsidR="0047097B">
        <w:t xml:space="preserve">The </w:t>
      </w:r>
      <w:r w:rsidRPr="0047097B" w:rsidR="0047097B">
        <w:rPr>
          <w:i/>
          <w:iCs/>
        </w:rPr>
        <w:t>Alaska Plan Order</w:t>
      </w:r>
      <w:r w:rsidR="0047097B">
        <w:t xml:space="preserve"> froze m</w:t>
      </w:r>
      <w:r w:rsidRPr="0047097B" w:rsidR="00F16B40">
        <w:t>obile</w:t>
      </w:r>
      <w:r w:rsidR="0006697C">
        <w:t xml:space="preserve"> </w:t>
      </w:r>
      <w:r w:rsidR="00F16B40">
        <w:t>provider participants</w:t>
      </w:r>
      <w:r w:rsidR="0047097B">
        <w:t>’</w:t>
      </w:r>
      <w:r w:rsidR="00F16B40">
        <w:t xml:space="preserve"> support at December 2014 levels</w:t>
      </w:r>
      <w:r w:rsidR="001360AD">
        <w:t xml:space="preserve"> (frozen support</w:t>
      </w:r>
      <w:r w:rsidR="004B2122">
        <w:t>)</w:t>
      </w:r>
      <w:r w:rsidR="00440C05">
        <w:t>,</w:t>
      </w:r>
      <w:r w:rsidR="004B2122">
        <w:t xml:space="preserve"> but</w:t>
      </w:r>
      <w:r w:rsidR="00F16B40">
        <w:t xml:space="preserve"> </w:t>
      </w:r>
      <w:r w:rsidR="00440C05">
        <w:t>required them</w:t>
      </w:r>
      <w:r w:rsidR="00F16B40">
        <w:t xml:space="preserve"> to </w:t>
      </w:r>
      <w:r w:rsidR="001360AD">
        <w:t>commit to expand</w:t>
      </w:r>
      <w:r w:rsidR="00440C05">
        <w:t>ing their</w:t>
      </w:r>
      <w:r w:rsidR="001360AD">
        <w:t xml:space="preserve"> </w:t>
      </w:r>
      <w:r w:rsidRPr="00624C15" w:rsidR="00624C15">
        <w:t>Fourth-Generation, Long-Term Evolution (</w:t>
      </w:r>
      <w:r w:rsidR="00624C15">
        <w:t xml:space="preserve">4G </w:t>
      </w:r>
      <w:r w:rsidR="001360AD">
        <w:t>LTE</w:t>
      </w:r>
      <w:r w:rsidR="00624C15">
        <w:t>)</w:t>
      </w:r>
      <w:r w:rsidR="001360AD">
        <w:t xml:space="preserve"> service at</w:t>
      </w:r>
      <w:r w:rsidR="00D84BB9">
        <w:t xml:space="preserve"> speeds of at least</w:t>
      </w:r>
      <w:r w:rsidR="001360AD">
        <w:t xml:space="preserve"> 10/1 Mbps</w:t>
      </w:r>
      <w:r w:rsidR="009373CA">
        <w:t xml:space="preserve"> </w:t>
      </w:r>
      <w:r w:rsidRPr="009373CA" w:rsidR="009373CA">
        <w:t>in eligible areas</w:t>
      </w:r>
      <w:r w:rsidR="009373CA">
        <w:t>,</w:t>
      </w:r>
      <w:r w:rsidR="002A2651">
        <w:t xml:space="preserve"> </w:t>
      </w:r>
      <w:r w:rsidR="001360AD">
        <w:t>subject to exceptions</w:t>
      </w:r>
      <w:r w:rsidR="003C283D">
        <w:t xml:space="preserve"> such as limited middle mile capability</w:t>
      </w:r>
      <w:r w:rsidR="001360AD">
        <w:t>.</w:t>
      </w:r>
      <w:r>
        <w:rPr>
          <w:rStyle w:val="FootnoteReference"/>
        </w:rPr>
        <w:footnoteReference w:id="5"/>
      </w:r>
      <w:r w:rsidR="001B2A70">
        <w:t xml:space="preserve">  </w:t>
      </w:r>
    </w:p>
    <w:p w:rsidR="00D51192" w:rsidP="008609CD" w14:paraId="420574D0" w14:textId="3C09847D">
      <w:pPr>
        <w:pStyle w:val="ParaNum"/>
      </w:pPr>
      <w:r w:rsidRPr="0079018A">
        <w:rPr>
          <w:i/>
          <w:iCs/>
          <w:szCs w:val="22"/>
        </w:rPr>
        <w:t>Mobile</w:t>
      </w:r>
      <w:r w:rsidR="00B32BDB">
        <w:rPr>
          <w:i/>
          <w:iCs/>
          <w:szCs w:val="22"/>
        </w:rPr>
        <w:t xml:space="preserve"> </w:t>
      </w:r>
      <w:r w:rsidRPr="001B2ADE">
        <w:rPr>
          <w:i/>
          <w:iCs/>
          <w:szCs w:val="22"/>
        </w:rPr>
        <w:t>Provider Commitments</w:t>
      </w:r>
      <w:r w:rsidRPr="00BD2D26">
        <w:rPr>
          <w:szCs w:val="22"/>
        </w:rPr>
        <w:t>.</w:t>
      </w:r>
      <w:r w:rsidRPr="00BD2D26" w:rsidR="000D0BAC">
        <w:rPr>
          <w:szCs w:val="22"/>
        </w:rPr>
        <w:t xml:space="preserve"> </w:t>
      </w:r>
      <w:r w:rsidRPr="00BD2D26">
        <w:rPr>
          <w:szCs w:val="22"/>
        </w:rPr>
        <w:t xml:space="preserve"> </w:t>
      </w:r>
      <w:r w:rsidRPr="00BD2D26" w:rsidR="009938CF">
        <w:rPr>
          <w:szCs w:val="22"/>
        </w:rPr>
        <w:t>Under</w:t>
      </w:r>
      <w:r w:rsidRPr="00BD2D26" w:rsidR="006C07D0">
        <w:rPr>
          <w:szCs w:val="22"/>
        </w:rPr>
        <w:t xml:space="preserve"> the </w:t>
      </w:r>
      <w:r w:rsidRPr="00BD2D26" w:rsidR="006C07D0">
        <w:rPr>
          <w:i/>
          <w:iCs/>
          <w:szCs w:val="22"/>
        </w:rPr>
        <w:t>Alaska Plan Order</w:t>
      </w:r>
      <w:r w:rsidRPr="00BD2D26" w:rsidR="00440C05">
        <w:rPr>
          <w:szCs w:val="22"/>
        </w:rPr>
        <w:t>’s requirements</w:t>
      </w:r>
      <w:r w:rsidRPr="00BD2D26" w:rsidR="006C07D0">
        <w:rPr>
          <w:szCs w:val="22"/>
        </w:rPr>
        <w:t xml:space="preserve">, </w:t>
      </w:r>
      <w:r w:rsidRPr="00BD2D26" w:rsidR="000675FF">
        <w:rPr>
          <w:szCs w:val="22"/>
        </w:rPr>
        <w:t xml:space="preserve">participating </w:t>
      </w:r>
      <w:r w:rsidR="008F00DC">
        <w:t>mobile</w:t>
      </w:r>
      <w:r w:rsidR="003D0391">
        <w:t xml:space="preserve"> </w:t>
      </w:r>
      <w:r w:rsidR="00416062">
        <w:t>p</w:t>
      </w:r>
      <w:r w:rsidR="008F00DC">
        <w:t>rovider</w:t>
      </w:r>
      <w:r w:rsidR="00A4426A">
        <w:t xml:space="preserve">s </w:t>
      </w:r>
      <w:r w:rsidR="000675FF">
        <w:t xml:space="preserve">must </w:t>
      </w:r>
      <w:r w:rsidR="007076DB">
        <w:t xml:space="preserve">serve a </w:t>
      </w:r>
      <w:r w:rsidR="000675FF">
        <w:t>specific</w:t>
      </w:r>
      <w:r w:rsidR="00D307A5">
        <w:t xml:space="preserve"> </w:t>
      </w:r>
      <w:r w:rsidR="007076DB">
        <w:t xml:space="preserve">number of people </w:t>
      </w:r>
      <w:r w:rsidR="008F00DC">
        <w:t>in</w:t>
      </w:r>
      <w:r w:rsidR="009448AF">
        <w:t xml:space="preserve"> </w:t>
      </w:r>
      <w:r w:rsidR="008F00DC">
        <w:t xml:space="preserve">remote </w:t>
      </w:r>
      <w:r w:rsidR="00BA4161">
        <w:t xml:space="preserve">parts of </w:t>
      </w:r>
      <w:r w:rsidR="008F00DC">
        <w:t xml:space="preserve">Alaska </w:t>
      </w:r>
      <w:r w:rsidR="00A4426A">
        <w:t xml:space="preserve">by the </w:t>
      </w:r>
      <w:r w:rsidR="00A4426A">
        <w:t xml:space="preserve">end of </w:t>
      </w:r>
      <w:r w:rsidRPr="00A21555" w:rsidR="008F00DC">
        <w:t xml:space="preserve">year 5 </w:t>
      </w:r>
      <w:r w:rsidR="00982D3B">
        <w:t xml:space="preserve">(ending December 31, 2021) </w:t>
      </w:r>
      <w:r w:rsidRPr="00A21555" w:rsidR="008F00DC">
        <w:t xml:space="preserve">and year 10 </w:t>
      </w:r>
      <w:r w:rsidR="00982D3B">
        <w:t>(ending December 31,</w:t>
      </w:r>
      <w:r w:rsidR="004B4D6C">
        <w:t xml:space="preserve"> 2026) </w:t>
      </w:r>
      <w:r w:rsidRPr="00A21555" w:rsidR="008F00DC">
        <w:t>of the support term</w:t>
      </w:r>
      <w:r w:rsidR="0097220C">
        <w:t>.</w:t>
      </w:r>
      <w:r>
        <w:rPr>
          <w:rStyle w:val="FootnoteReference"/>
        </w:rPr>
        <w:footnoteReference w:id="6"/>
      </w:r>
      <w:r w:rsidR="0097220C">
        <w:t xml:space="preserve"> </w:t>
      </w:r>
      <w:r w:rsidR="00426784">
        <w:t xml:space="preserve"> </w:t>
      </w:r>
      <w:r w:rsidR="003658BA">
        <w:t>As p</w:t>
      </w:r>
      <w:r w:rsidR="009039DB">
        <w:t xml:space="preserve">art of </w:t>
      </w:r>
      <w:r w:rsidR="00D307A5">
        <w:t xml:space="preserve">their </w:t>
      </w:r>
      <w:r w:rsidR="009039DB">
        <w:t>commitment</w:t>
      </w:r>
      <w:r w:rsidR="00D307A5">
        <w:t>s</w:t>
      </w:r>
      <w:r w:rsidR="009039DB">
        <w:t xml:space="preserve">, </w:t>
      </w:r>
      <w:r w:rsidR="00426784">
        <w:t>providers</w:t>
      </w:r>
      <w:r w:rsidR="009039DB">
        <w:t xml:space="preserve"> </w:t>
      </w:r>
      <w:r w:rsidR="006C4BB2">
        <w:t>must</w:t>
      </w:r>
      <w:r w:rsidR="00426784">
        <w:t xml:space="preserve"> </w:t>
      </w:r>
      <w:r w:rsidR="009039DB">
        <w:t xml:space="preserve">identify </w:t>
      </w:r>
      <w:r w:rsidR="008F00DC">
        <w:t xml:space="preserve">the </w:t>
      </w:r>
      <w:r w:rsidR="000675FF">
        <w:t>mobile</w:t>
      </w:r>
      <w:r w:rsidR="00A4426A">
        <w:t xml:space="preserve"> </w:t>
      </w:r>
      <w:r w:rsidR="008F00DC">
        <w:t xml:space="preserve">technology </w:t>
      </w:r>
      <w:r w:rsidR="00A13170">
        <w:t xml:space="preserve">that </w:t>
      </w:r>
      <w:r w:rsidR="00A928EE">
        <w:t>they</w:t>
      </w:r>
      <w:r w:rsidR="008F00DC">
        <w:t xml:space="preserve"> </w:t>
      </w:r>
      <w:r w:rsidR="00C916E1">
        <w:t xml:space="preserve">will </w:t>
      </w:r>
      <w:r w:rsidR="008F00DC">
        <w:t xml:space="preserve">use to serve </w:t>
      </w:r>
      <w:r w:rsidR="004B4D6C">
        <w:t>those populations</w:t>
      </w:r>
      <w:r w:rsidRPr="00A21555" w:rsidR="008F00DC">
        <w:t xml:space="preserve"> (</w:t>
      </w:r>
      <w:r w:rsidRPr="0079018A" w:rsidR="008F00DC">
        <w:rPr>
          <w:iCs/>
        </w:rPr>
        <w:t>e.g</w:t>
      </w:r>
      <w:r w:rsidRPr="0079018A" w:rsidR="008F00DC">
        <w:rPr>
          <w:i/>
        </w:rPr>
        <w:t>.</w:t>
      </w:r>
      <w:r w:rsidRPr="00A21555" w:rsidR="008F00DC">
        <w:t>, 3G, LTE)</w:t>
      </w:r>
      <w:r w:rsidR="00416062">
        <w:t xml:space="preserve"> </w:t>
      </w:r>
      <w:r w:rsidRPr="00A21555" w:rsidR="008F00DC">
        <w:t xml:space="preserve">and </w:t>
      </w:r>
      <w:r w:rsidR="008F00DC">
        <w:t xml:space="preserve">the type of </w:t>
      </w:r>
      <w:r w:rsidRPr="00A21555" w:rsidR="008F00DC">
        <w:t>middle</w:t>
      </w:r>
      <w:r w:rsidR="00FD0EA3">
        <w:t>-</w:t>
      </w:r>
      <w:r w:rsidRPr="00A21555" w:rsidR="008F00DC">
        <w:t>mile</w:t>
      </w:r>
      <w:r w:rsidR="00FD0EA3">
        <w:t xml:space="preserve"> connectivity</w:t>
      </w:r>
      <w:r w:rsidR="000675FF">
        <w:t xml:space="preserve"> </w:t>
      </w:r>
      <w:r w:rsidRPr="00A21555" w:rsidR="008F00DC">
        <w:t>(e.g., fiber, satellite)</w:t>
      </w:r>
      <w:r w:rsidR="00891710">
        <w:t xml:space="preserve"> </w:t>
      </w:r>
      <w:r w:rsidR="00440C05">
        <w:t xml:space="preserve">on which </w:t>
      </w:r>
      <w:r w:rsidR="00342816">
        <w:t>they</w:t>
      </w:r>
      <w:r w:rsidR="00891710">
        <w:t xml:space="preserve"> </w:t>
      </w:r>
      <w:r w:rsidR="00C916E1">
        <w:t xml:space="preserve">will </w:t>
      </w:r>
      <w:r w:rsidR="00891710">
        <w:t xml:space="preserve">rely </w:t>
      </w:r>
      <w:r w:rsidR="00342816">
        <w:t>to provide mobile services</w:t>
      </w:r>
      <w:r w:rsidRPr="00A21555" w:rsidR="008F00DC">
        <w:t>.</w:t>
      </w:r>
      <w:bookmarkStart w:id="1" w:name="_Hlk27692168"/>
      <w:r>
        <w:rPr>
          <w:rStyle w:val="FootnoteReference"/>
        </w:rPr>
        <w:footnoteReference w:id="7"/>
      </w:r>
      <w:bookmarkEnd w:id="1"/>
      <w:r w:rsidRPr="00A21555" w:rsidR="008F00DC">
        <w:t xml:space="preserve">  </w:t>
      </w:r>
      <w:r w:rsidR="00A13170">
        <w:t xml:space="preserve">The Alaska Plan required participating mobile service providers to submit performance plans </w:t>
      </w:r>
      <w:r w:rsidR="00D378B2">
        <w:t xml:space="preserve">with their commitments </w:t>
      </w:r>
      <w:r w:rsidR="00A13170">
        <w:t>for Bureau review.</w:t>
      </w:r>
      <w:r>
        <w:rPr>
          <w:rStyle w:val="FootnoteReference"/>
        </w:rPr>
        <w:footnoteReference w:id="8"/>
      </w:r>
      <w:r w:rsidR="00A13170">
        <w:t xml:space="preserve">  </w:t>
      </w:r>
      <w:r w:rsidR="00760F2F">
        <w:t>In</w:t>
      </w:r>
      <w:r w:rsidR="00E55A59">
        <w:t xml:space="preserve"> December 2016, </w:t>
      </w:r>
      <w:r w:rsidR="00D43D54">
        <w:t>the Bureau</w:t>
      </w:r>
      <w:r w:rsidR="007B774A">
        <w:t xml:space="preserve"> </w:t>
      </w:r>
      <w:r w:rsidR="008F00DC">
        <w:t>approved the</w:t>
      </w:r>
      <w:r w:rsidR="00C52503">
        <w:t xml:space="preserve"> service</w:t>
      </w:r>
      <w:r w:rsidR="008F00DC">
        <w:t xml:space="preserve"> </w:t>
      </w:r>
      <w:r w:rsidR="00A4426A">
        <w:t xml:space="preserve">commitments made by </w:t>
      </w:r>
      <w:r w:rsidR="008F00DC">
        <w:t xml:space="preserve">eight Alaskan </w:t>
      </w:r>
      <w:r w:rsidR="00EA0F94">
        <w:t>mobile</w:t>
      </w:r>
      <w:r w:rsidR="00EB1C54">
        <w:t xml:space="preserve"> </w:t>
      </w:r>
      <w:r w:rsidR="00A13170">
        <w:t xml:space="preserve">service </w:t>
      </w:r>
      <w:r w:rsidR="008F00DC">
        <w:t>provider</w:t>
      </w:r>
      <w:r w:rsidR="00EB1C54">
        <w:t>s</w:t>
      </w:r>
      <w:r w:rsidR="00D84BB9">
        <w:t>,</w:t>
      </w:r>
      <w:r w:rsidR="007073C6">
        <w:t xml:space="preserve"> and </w:t>
      </w:r>
      <w:r w:rsidR="00A13170">
        <w:t xml:space="preserve">it </w:t>
      </w:r>
      <w:r w:rsidR="007073C6">
        <w:t xml:space="preserve"> subsequently accepted updated commitments from ASTAC and GCI</w:t>
      </w:r>
      <w:r w:rsidR="00E55A59">
        <w:t>.</w:t>
      </w:r>
      <w:r>
        <w:rPr>
          <w:rStyle w:val="FootnoteReference"/>
        </w:rPr>
        <w:footnoteReference w:id="9"/>
      </w:r>
      <w:r w:rsidR="008F00DC">
        <w:t xml:space="preserve">  </w:t>
      </w:r>
      <w:r w:rsidR="00783BBA">
        <w:t xml:space="preserve">The </w:t>
      </w:r>
      <w:r w:rsidRPr="0079018A" w:rsidR="00783BBA">
        <w:rPr>
          <w:i/>
          <w:iCs/>
        </w:rPr>
        <w:t>Alaska Plan Order</w:t>
      </w:r>
      <w:r w:rsidR="00783BBA">
        <w:t xml:space="preserve"> stated that</w:t>
      </w:r>
      <w:r w:rsidR="00CA157D">
        <w:t xml:space="preserve"> </w:t>
      </w:r>
      <w:r w:rsidR="00FA45DD">
        <w:t xml:space="preserve">the Commission would rely on participating </w:t>
      </w:r>
      <w:r w:rsidR="001E416F">
        <w:t>provider</w:t>
      </w:r>
      <w:r w:rsidR="00FA45DD">
        <w:t>s’</w:t>
      </w:r>
      <w:r w:rsidR="00783BBA">
        <w:t xml:space="preserve"> Form 477 coverage data to evaluate whether </w:t>
      </w:r>
      <w:r w:rsidR="001E416F">
        <w:t>provider</w:t>
      </w:r>
      <w:r w:rsidR="00783BBA">
        <w:t xml:space="preserve">s have met their </w:t>
      </w:r>
      <w:r w:rsidR="004E17A5">
        <w:t>5</w:t>
      </w:r>
      <w:r w:rsidR="00FA45DD">
        <w:t xml:space="preserve"> and </w:t>
      </w:r>
      <w:r w:rsidR="004E17A5">
        <w:t xml:space="preserve">10 </w:t>
      </w:r>
      <w:r w:rsidR="00FA45DD">
        <w:t xml:space="preserve">year </w:t>
      </w:r>
      <w:r w:rsidR="00783BBA">
        <w:t>commitments</w:t>
      </w:r>
      <w:r w:rsidR="00401C06">
        <w:t>.</w:t>
      </w:r>
      <w:r>
        <w:rPr>
          <w:rStyle w:val="FootnoteReference"/>
        </w:rPr>
        <w:footnoteReference w:id="10"/>
      </w:r>
      <w:r w:rsidR="00401C06">
        <w:t xml:space="preserve">  </w:t>
      </w:r>
      <w:r w:rsidR="00EF1836">
        <w:t>The Commission</w:t>
      </w:r>
      <w:r w:rsidRPr="0079018A" w:rsidR="00215BEA">
        <w:rPr>
          <w:i/>
        </w:rPr>
        <w:t xml:space="preserve"> </w:t>
      </w:r>
      <w:r w:rsidRPr="00D51192" w:rsidR="00215BEA">
        <w:t xml:space="preserve">delegated authority to the Bureau to require additional information necessary to establish clear standards for determining whether </w:t>
      </w:r>
      <w:r w:rsidR="001E416F">
        <w:t>provider</w:t>
      </w:r>
      <w:r w:rsidRPr="00D51192" w:rsidR="00215BEA">
        <w:t>s have met their 5 and 10-year commitments.</w:t>
      </w:r>
      <w:r>
        <w:rPr>
          <w:rStyle w:val="FootnoteReference"/>
        </w:rPr>
        <w:footnoteReference w:id="11"/>
      </w:r>
      <w:r w:rsidR="00215BEA">
        <w:t xml:space="preserve">  </w:t>
      </w:r>
    </w:p>
    <w:p w:rsidR="0011190B" w:rsidP="008609CD" w14:paraId="36823E0B" w14:textId="329ED533">
      <w:pPr>
        <w:pStyle w:val="ParaNum"/>
      </w:pPr>
      <w:r w:rsidRPr="00C43341">
        <w:rPr>
          <w:i/>
          <w:iCs/>
        </w:rPr>
        <w:t xml:space="preserve">Proposed </w:t>
      </w:r>
      <w:r w:rsidRPr="00C43341" w:rsidR="001531D1">
        <w:rPr>
          <w:i/>
          <w:iCs/>
        </w:rPr>
        <w:t>Alaska Population-Distribution Model</w:t>
      </w:r>
      <w:r w:rsidR="004B1F3D">
        <w:t xml:space="preserve">. </w:t>
      </w:r>
      <w:r w:rsidR="00CE721B">
        <w:t xml:space="preserve"> </w:t>
      </w:r>
      <w:r w:rsidR="007E0208">
        <w:t xml:space="preserve">To establish a </w:t>
      </w:r>
      <w:r w:rsidR="007D4519">
        <w:t xml:space="preserve">consistent </w:t>
      </w:r>
      <w:r w:rsidR="007E0208">
        <w:t>methodology for determining the number of people served</w:t>
      </w:r>
      <w:r w:rsidR="007D4519">
        <w:t xml:space="preserve"> in </w:t>
      </w:r>
      <w:r w:rsidR="005B1151">
        <w:t>Alaskan</w:t>
      </w:r>
      <w:r w:rsidR="007D4519">
        <w:t xml:space="preserve"> census blocks</w:t>
      </w:r>
      <w:r w:rsidR="007E0208">
        <w:t xml:space="preserve">, the Bureau </w:t>
      </w:r>
      <w:r w:rsidR="000B60AA">
        <w:t>sought</w:t>
      </w:r>
      <w:r w:rsidR="007E0208">
        <w:t xml:space="preserve"> comment on a </w:t>
      </w:r>
      <w:r w:rsidR="007D4519">
        <w:t>model</w:t>
      </w:r>
      <w:r w:rsidR="00DB0298">
        <w:t xml:space="preserve">, </w:t>
      </w:r>
      <w:r w:rsidRPr="00DB0298" w:rsidR="00DB0298">
        <w:t>which the Bureau named the Alaska Population-Distribution Model</w:t>
      </w:r>
      <w:r w:rsidR="00B75BFB">
        <w:t>,</w:t>
      </w:r>
      <w:r w:rsidRPr="00380F0D" w:rsidR="007D4519">
        <w:t xml:space="preserve"> </w:t>
      </w:r>
      <w:r w:rsidR="007E0208">
        <w:t xml:space="preserve">to estimate the number of </w:t>
      </w:r>
      <w:r w:rsidR="007D4519">
        <w:t xml:space="preserve">Alaskans </w:t>
      </w:r>
      <w:r w:rsidR="00D51192">
        <w:t xml:space="preserve">who receive </w:t>
      </w:r>
      <w:r w:rsidR="007E0208">
        <w:t>mobile service in census blocks</w:t>
      </w:r>
      <w:r w:rsidR="007D4519">
        <w:t xml:space="preserve"> in remote areas</w:t>
      </w:r>
      <w:r w:rsidR="007E0208">
        <w:t>.</w:t>
      </w:r>
      <w:r>
        <w:rPr>
          <w:rStyle w:val="FootnoteReference"/>
        </w:rPr>
        <w:footnoteReference w:id="12"/>
      </w:r>
      <w:r w:rsidR="007E0208">
        <w:t xml:space="preserve">  </w:t>
      </w:r>
      <w:r w:rsidR="003D4A8F">
        <w:t>T</w:t>
      </w:r>
      <w:bookmarkStart w:id="2" w:name="_Hlk48595764"/>
      <w:r>
        <w:t xml:space="preserve">he </w:t>
      </w:r>
      <w:r w:rsidRPr="00C43341">
        <w:rPr>
          <w:i/>
          <w:iCs/>
        </w:rPr>
        <w:t>Alaska Population Model Public Notice</w:t>
      </w:r>
      <w:r>
        <w:t xml:space="preserve"> sought comment </w:t>
      </w:r>
      <w:bookmarkEnd w:id="2"/>
      <w:r>
        <w:t>on using this methodology for the purpose of evaluating whether participating providers have met their performance obligations associated with receiving frozen support under the Alaska Plan.</w:t>
      </w:r>
      <w:r>
        <w:rPr>
          <w:rStyle w:val="FootnoteReference"/>
        </w:rPr>
        <w:footnoteReference w:id="13"/>
      </w:r>
      <w:r w:rsidR="00FE179C">
        <w:t xml:space="preserve">  </w:t>
      </w:r>
      <w:r w:rsidR="004A0C36">
        <w:t>The Alaska Population-Distribution Model identifies areas within a census block where people are likely to live and then evenly</w:t>
      </w:r>
      <w:r w:rsidR="0059207C">
        <w:t xml:space="preserve"> </w:t>
      </w:r>
      <w:r w:rsidR="004A0C36">
        <w:t>distributes the</w:t>
      </w:r>
      <w:r w:rsidR="0059207C">
        <w:t xml:space="preserve"> population throughout the livable area of the census block.  </w:t>
      </w:r>
    </w:p>
    <w:p w:rsidR="00F13FC0" w14:paraId="1EDA4AF2" w14:textId="04C2E1C9">
      <w:pPr>
        <w:pStyle w:val="ParaNum"/>
      </w:pPr>
      <w:r>
        <w:t>Specifically, t</w:t>
      </w:r>
      <w:r w:rsidR="00BC299B">
        <w:t xml:space="preserve">he </w:t>
      </w:r>
      <w:r w:rsidR="004A0C36">
        <w:t>model</w:t>
      </w:r>
      <w:r w:rsidR="00BC299B">
        <w:t xml:space="preserve"> </w:t>
      </w:r>
      <w:r w:rsidR="0015512E">
        <w:t xml:space="preserve">uses </w:t>
      </w:r>
      <w:r w:rsidR="000B3955">
        <w:t xml:space="preserve">a multi-step </w:t>
      </w:r>
      <w:r w:rsidR="0015512E">
        <w:t xml:space="preserve">process to identify </w:t>
      </w:r>
      <w:r w:rsidR="0084566D">
        <w:t xml:space="preserve">areas within a </w:t>
      </w:r>
      <w:r w:rsidR="0015512E">
        <w:t>census block most likely to be populated and</w:t>
      </w:r>
      <w:r w:rsidR="00FE5425">
        <w:t xml:space="preserve"> </w:t>
      </w:r>
      <w:r w:rsidR="0015512E">
        <w:t>combines those results with service coverage maps to estimate</w:t>
      </w:r>
      <w:r w:rsidR="00CF3ED6">
        <w:t xml:space="preserve"> </w:t>
      </w:r>
      <w:r w:rsidR="00697427">
        <w:t xml:space="preserve">the </w:t>
      </w:r>
      <w:r w:rsidR="00697427">
        <w:t>number of</w:t>
      </w:r>
      <w:r w:rsidR="00CF3ED6">
        <w:t xml:space="preserve"> people</w:t>
      </w:r>
      <w:r w:rsidR="0015512E">
        <w:t xml:space="preserve"> </w:t>
      </w:r>
      <w:r w:rsidR="00BC299B">
        <w:t xml:space="preserve">with mobile wireless service </w:t>
      </w:r>
      <w:r w:rsidR="0015512E">
        <w:t xml:space="preserve">in a </w:t>
      </w:r>
      <w:r w:rsidR="007F3963">
        <w:t>partially-</w:t>
      </w:r>
      <w:r w:rsidR="0015512E">
        <w:t>served census block</w:t>
      </w:r>
      <w:r w:rsidR="00583A59">
        <w:t>.</w:t>
      </w:r>
      <w:r>
        <w:rPr>
          <w:rStyle w:val="FootnoteReference"/>
        </w:rPr>
        <w:footnoteReference w:id="14"/>
      </w:r>
      <w:r w:rsidR="006B1584">
        <w:t xml:space="preserve">  </w:t>
      </w:r>
      <w:r w:rsidR="00697427">
        <w:t>T</w:t>
      </w:r>
      <w:r w:rsidR="006B1584">
        <w:t xml:space="preserve">he </w:t>
      </w:r>
      <w:r w:rsidR="00697427">
        <w:t>m</w:t>
      </w:r>
      <w:r w:rsidR="006B1584">
        <w:t xml:space="preserve">odel </w:t>
      </w:r>
      <w:r w:rsidR="00580972">
        <w:t>uses</w:t>
      </w:r>
      <w:r w:rsidR="006B1584">
        <w:t xml:space="preserve"> </w:t>
      </w:r>
      <w:r w:rsidR="001B49F4">
        <w:t>TIGER</w:t>
      </w:r>
      <w:r>
        <w:rPr>
          <w:rStyle w:val="FootnoteReference"/>
        </w:rPr>
        <w:footnoteReference w:id="15"/>
      </w:r>
      <w:r w:rsidR="001B49F4">
        <w:t xml:space="preserve"> road data </w:t>
      </w:r>
      <w:r w:rsidR="00BC299B">
        <w:t xml:space="preserve">overlaid </w:t>
      </w:r>
      <w:r w:rsidR="001B49F4">
        <w:t>onto populated census blocks</w:t>
      </w:r>
      <w:r w:rsidR="001C68F6">
        <w:t>,</w:t>
      </w:r>
      <w:r w:rsidR="00000483">
        <w:t xml:space="preserve"> </w:t>
      </w:r>
      <w:r w:rsidR="00BC299B">
        <w:t>under</w:t>
      </w:r>
      <w:r w:rsidR="00000483">
        <w:t xml:space="preserve"> the </w:t>
      </w:r>
      <w:r w:rsidR="0015512E">
        <w:t>premise</w:t>
      </w:r>
      <w:r w:rsidR="00000483">
        <w:t xml:space="preserve"> that </w:t>
      </w:r>
      <w:r w:rsidRPr="00237AE5" w:rsidR="00000483">
        <w:t>local</w:t>
      </w:r>
      <w:r w:rsidRPr="00580972" w:rsidR="00000483">
        <w:t xml:space="preserve"> </w:t>
      </w:r>
      <w:r w:rsidRPr="00967070" w:rsidR="00000483">
        <w:t>roads</w:t>
      </w:r>
      <w:r w:rsidR="00FE5425">
        <w:t xml:space="preserve"> (not highways or expressways)</w:t>
      </w:r>
      <w:r w:rsidRPr="00967070" w:rsidR="00000483">
        <w:t xml:space="preserve"> are a </w:t>
      </w:r>
      <w:r w:rsidR="00662364">
        <w:t>reliable</w:t>
      </w:r>
      <w:r w:rsidRPr="00967070" w:rsidR="00000483">
        <w:t xml:space="preserve"> predictor of population</w:t>
      </w:r>
      <w:r w:rsidR="00000483">
        <w:t xml:space="preserve"> location</w:t>
      </w:r>
      <w:r w:rsidR="0015512E">
        <w:t>s</w:t>
      </w:r>
      <w:r w:rsidR="00FE5425">
        <w:t>.</w:t>
      </w:r>
      <w:r>
        <w:rPr>
          <w:rStyle w:val="FootnoteReference"/>
        </w:rPr>
        <w:footnoteReference w:id="16"/>
      </w:r>
      <w:r w:rsidR="00FE5425">
        <w:t xml:space="preserve"> </w:t>
      </w:r>
      <w:r w:rsidRPr="00967070" w:rsidR="00000483">
        <w:t xml:space="preserve"> </w:t>
      </w:r>
      <w:r w:rsidR="00FE5425">
        <w:t>Next</w:t>
      </w:r>
      <w:r w:rsidR="006B1584">
        <w:t xml:space="preserve">, the </w:t>
      </w:r>
      <w:r w:rsidR="00697427">
        <w:t>m</w:t>
      </w:r>
      <w:r w:rsidR="006B1584">
        <w:t xml:space="preserve">odel </w:t>
      </w:r>
      <w:r w:rsidR="00697427">
        <w:t>draws</w:t>
      </w:r>
      <w:r w:rsidR="001B49F4">
        <w:t xml:space="preserve"> </w:t>
      </w:r>
      <w:r w:rsidRPr="00324D06" w:rsidR="001B49F4">
        <w:t xml:space="preserve">polygons extending 100 meters </w:t>
      </w:r>
      <w:r w:rsidR="00FE5425">
        <w:t>on either side of</w:t>
      </w:r>
      <w:r w:rsidRPr="00324D06" w:rsidR="00FE5425">
        <w:t xml:space="preserve"> </w:t>
      </w:r>
      <w:r w:rsidR="00697427">
        <w:t>those</w:t>
      </w:r>
      <w:r w:rsidRPr="00324D06" w:rsidR="001B49F4">
        <w:t xml:space="preserve"> road</w:t>
      </w:r>
      <w:r w:rsidR="00697427">
        <w:t>s</w:t>
      </w:r>
      <w:r w:rsidR="00FE5425">
        <w:t>, with</w:t>
      </w:r>
      <w:r w:rsidR="001B49F4">
        <w:t xml:space="preserve"> a</w:t>
      </w:r>
      <w:r w:rsidRPr="00324D06" w:rsidR="001B49F4">
        <w:t>reas</w:t>
      </w:r>
      <w:r w:rsidR="00FE5425">
        <w:t xml:space="preserve"> further out</w:t>
      </w:r>
      <w:r w:rsidRPr="00324D06" w:rsidR="001B49F4">
        <w:t xml:space="preserve"> assumed to be uninhabited</w:t>
      </w:r>
      <w:r w:rsidR="006B1584">
        <w:t xml:space="preserve">.  </w:t>
      </w:r>
      <w:r w:rsidR="00B70817">
        <w:t>T</w:t>
      </w:r>
      <w:r w:rsidR="005E0B7F">
        <w:t xml:space="preserve">he </w:t>
      </w:r>
      <w:r w:rsidR="00697427">
        <w:t>m</w:t>
      </w:r>
      <w:r w:rsidR="00D00057">
        <w:t xml:space="preserve">odel </w:t>
      </w:r>
      <w:r w:rsidR="001C68F6">
        <w:t>also</w:t>
      </w:r>
      <w:r w:rsidR="00B70817">
        <w:t xml:space="preserve"> </w:t>
      </w:r>
      <w:r w:rsidR="00D00057">
        <w:t>overlays</w:t>
      </w:r>
      <w:r w:rsidR="008C5798">
        <w:t xml:space="preserve"> </w:t>
      </w:r>
      <w:r w:rsidRPr="00C13865" w:rsidR="001B49F4">
        <w:t xml:space="preserve">General Land Status data </w:t>
      </w:r>
      <w:r w:rsidR="00B70817">
        <w:t>maintained</w:t>
      </w:r>
      <w:r w:rsidRPr="00C13865" w:rsidR="001B49F4">
        <w:t xml:space="preserve"> </w:t>
      </w:r>
      <w:r w:rsidR="00B70817">
        <w:t xml:space="preserve">by </w:t>
      </w:r>
      <w:r w:rsidRPr="00C13865" w:rsidR="001B49F4">
        <w:t>the State of Alaska</w:t>
      </w:r>
      <w:r w:rsidR="001C68F6">
        <w:t xml:space="preserve"> </w:t>
      </w:r>
      <w:r w:rsidR="00697427">
        <w:t xml:space="preserve">and </w:t>
      </w:r>
      <w:r w:rsidR="00B70817">
        <w:t>removes</w:t>
      </w:r>
      <w:r w:rsidRPr="00C13865" w:rsidR="00697427">
        <w:t xml:space="preserve"> </w:t>
      </w:r>
      <w:r w:rsidRPr="00C13865" w:rsidR="001B49F4">
        <w:t>areas</w:t>
      </w:r>
      <w:r w:rsidR="00B70817">
        <w:t xml:space="preserve"> </w:t>
      </w:r>
      <w:r w:rsidRPr="00C13865" w:rsidR="001B49F4">
        <w:t xml:space="preserve">where people </w:t>
      </w:r>
      <w:r w:rsidR="001B49F4">
        <w:t>a</w:t>
      </w:r>
      <w:r w:rsidRPr="00C13865" w:rsidR="001B49F4">
        <w:t>re unlikely to reside</w:t>
      </w:r>
      <w:r w:rsidR="00F33307">
        <w:t>, such as National Forest Service land</w:t>
      </w:r>
      <w:r w:rsidR="00B70817">
        <w:t>.</w:t>
      </w:r>
      <w:r>
        <w:rPr>
          <w:rStyle w:val="FootnoteReference"/>
        </w:rPr>
        <w:footnoteReference w:id="17"/>
      </w:r>
      <w:r w:rsidR="00B70817">
        <w:t xml:space="preserve"> </w:t>
      </w:r>
      <w:r w:rsidR="00BC299B">
        <w:t xml:space="preserve"> Finally</w:t>
      </w:r>
      <w:r w:rsidR="001B49F4">
        <w:t xml:space="preserve">, </w:t>
      </w:r>
      <w:bookmarkStart w:id="5" w:name="_Hlk27750403"/>
      <w:r w:rsidR="001B49F4">
        <w:t xml:space="preserve">the </w:t>
      </w:r>
      <w:r w:rsidR="00697427">
        <w:t>model</w:t>
      </w:r>
      <w:r w:rsidR="001B49F4">
        <w:t xml:space="preserve"> evenly distribute</w:t>
      </w:r>
      <w:r w:rsidR="007C37C0">
        <w:t>s</w:t>
      </w:r>
      <w:r w:rsidR="001B49F4">
        <w:t xml:space="preserve"> the population of each census block within the remaining polygon</w:t>
      </w:r>
      <w:r w:rsidR="00827BFC">
        <w:t>s</w:t>
      </w:r>
      <w:r w:rsidR="007E21BB">
        <w:t xml:space="preserve"> to </w:t>
      </w:r>
      <w:bookmarkEnd w:id="5"/>
      <w:r w:rsidR="004C47DF">
        <w:t>reflect</w:t>
      </w:r>
      <w:r w:rsidR="00B70817">
        <w:t xml:space="preserve"> the geographic areas</w:t>
      </w:r>
      <w:r w:rsidR="001B49F4">
        <w:t xml:space="preserve"> where people are likely to live.  For those census blocks where </w:t>
      </w:r>
      <w:r w:rsidR="00BC299B">
        <w:t xml:space="preserve">no </w:t>
      </w:r>
      <w:r w:rsidR="001B49F4">
        <w:t>populated areas</w:t>
      </w:r>
      <w:r w:rsidR="00BC299B">
        <w:t xml:space="preserve"> are identified</w:t>
      </w:r>
      <w:r w:rsidR="001B49F4">
        <w:t xml:space="preserve">, </w:t>
      </w:r>
      <w:r w:rsidRPr="00564C53" w:rsidR="001B49F4">
        <w:t xml:space="preserve">the </w:t>
      </w:r>
      <w:r w:rsidR="001B49F4">
        <w:t>methodology</w:t>
      </w:r>
      <w:r w:rsidRPr="00564C53" w:rsidR="001B49F4">
        <w:t xml:space="preserve"> evenly distribute</w:t>
      </w:r>
      <w:r w:rsidR="007C37C0">
        <w:t>s</w:t>
      </w:r>
      <w:r w:rsidRPr="00564C53" w:rsidR="001B49F4">
        <w:t xml:space="preserve"> the Census-reported population of each block across</w:t>
      </w:r>
      <w:r w:rsidR="001B49F4">
        <w:t xml:space="preserve"> </w:t>
      </w:r>
      <w:r w:rsidRPr="002F16D6" w:rsidR="001B49F4">
        <w:t xml:space="preserve">land </w:t>
      </w:r>
      <w:r w:rsidR="00F33307">
        <w:t xml:space="preserve">within that block </w:t>
      </w:r>
      <w:r w:rsidRPr="002F16D6" w:rsidR="001B49F4">
        <w:t xml:space="preserve">owned by municipalities, private entities, or Alaska Natives.  If there is no land owned by those groups, then the population </w:t>
      </w:r>
      <w:r w:rsidR="007C37C0">
        <w:t>is</w:t>
      </w:r>
      <w:r w:rsidRPr="002F16D6" w:rsidR="001B49F4">
        <w:t xml:space="preserve"> distributed across</w:t>
      </w:r>
      <w:r w:rsidRPr="00564C53" w:rsidR="001B49F4">
        <w:t xml:space="preserve"> the </w:t>
      </w:r>
      <w:r w:rsidR="001B49F4">
        <w:t>entire</w:t>
      </w:r>
      <w:r w:rsidRPr="00564C53" w:rsidR="001B49F4">
        <w:t xml:space="preserve"> census block</w:t>
      </w:r>
      <w:r w:rsidR="001B49F4">
        <w:t>.</w:t>
      </w:r>
    </w:p>
    <w:p w:rsidR="008F00DC" w:rsidP="00695925" w14:paraId="2EEC213E" w14:textId="62E1233E">
      <w:pPr>
        <w:pStyle w:val="ParaNum"/>
      </w:pPr>
      <w:r>
        <w:t xml:space="preserve">The </w:t>
      </w:r>
      <w:r w:rsidRPr="00C43341">
        <w:rPr>
          <w:i/>
          <w:iCs/>
        </w:rPr>
        <w:t>Alaska Population Model Public Notice</w:t>
      </w:r>
      <w:r>
        <w:t xml:space="preserve"> sought comment on</w:t>
      </w:r>
      <w:r w:rsidR="00FC6809">
        <w:t xml:space="preserve"> </w:t>
      </w:r>
      <w:r w:rsidR="001E2C4B">
        <w:t>exceptions to</w:t>
      </w:r>
      <w:r w:rsidR="001F5DEB">
        <w:t xml:space="preserve"> the </w:t>
      </w:r>
      <w:r w:rsidR="00EC0590">
        <w:t xml:space="preserve">methodology </w:t>
      </w:r>
      <w:r w:rsidR="001F5DEB">
        <w:t>in</w:t>
      </w:r>
      <w:r w:rsidR="00152C4D">
        <w:t xml:space="preserve"> four areas of Alaska</w:t>
      </w:r>
      <w:r w:rsidR="00EF33F5">
        <w:t xml:space="preserve"> </w:t>
      </w:r>
      <w:r w:rsidR="002F1173">
        <w:t xml:space="preserve">in which </w:t>
      </w:r>
      <w:r w:rsidR="004734DE">
        <w:t>the proposed</w:t>
      </w:r>
      <w:r w:rsidR="00E57FED">
        <w:t xml:space="preserve"> methodology</w:t>
      </w:r>
      <w:r w:rsidR="002F1173">
        <w:t xml:space="preserve"> </w:t>
      </w:r>
      <w:r w:rsidR="004734DE">
        <w:t>might</w:t>
      </w:r>
      <w:r w:rsidR="002F1173">
        <w:t xml:space="preserve"> not accurately reflect population coverage</w:t>
      </w:r>
      <w:r w:rsidR="008D172E">
        <w:t>.</w:t>
      </w:r>
      <w:r>
        <w:rPr>
          <w:rStyle w:val="FootnoteReference"/>
        </w:rPr>
        <w:footnoteReference w:id="18"/>
      </w:r>
      <w:r w:rsidR="008D172E">
        <w:t xml:space="preserve">  </w:t>
      </w:r>
      <w:r w:rsidR="005F07A9">
        <w:t>Specifically</w:t>
      </w:r>
      <w:r w:rsidR="00AB2855">
        <w:t xml:space="preserve">, the </w:t>
      </w:r>
      <w:r w:rsidRPr="00CF7809" w:rsidR="00F00CC2">
        <w:t>Bureau</w:t>
      </w:r>
      <w:r w:rsidRPr="007511E8" w:rsidR="00AB2855">
        <w:t xml:space="preserve"> </w:t>
      </w:r>
      <w:r w:rsidR="00F00CC2">
        <w:t>proposed to adopt</w:t>
      </w:r>
      <w:r w:rsidR="005F07A9">
        <w:t xml:space="preserve"> the</w:t>
      </w:r>
      <w:r w:rsidR="008D172E">
        <w:t xml:space="preserve"> follow</w:t>
      </w:r>
      <w:r w:rsidR="005F07A9">
        <w:t>ing deviation</w:t>
      </w:r>
      <w:r w:rsidR="008D172E">
        <w:t>s</w:t>
      </w:r>
      <w:r w:rsidR="005F07A9">
        <w:t xml:space="preserve"> from </w:t>
      </w:r>
      <w:r w:rsidR="00270E99">
        <w:t xml:space="preserve">the </w:t>
      </w:r>
      <w:r w:rsidR="005F07A9">
        <w:t>general methodology</w:t>
      </w:r>
      <w:r w:rsidR="00D832A9">
        <w:t>:</w:t>
      </w:r>
      <w:r>
        <w:rPr>
          <w:rStyle w:val="FootnoteReference"/>
        </w:rPr>
        <w:footnoteReference w:id="19"/>
      </w:r>
      <w:r w:rsidR="009454A7">
        <w:t xml:space="preserve">  </w:t>
      </w:r>
    </w:p>
    <w:p w:rsidR="00152C4D" w:rsidRPr="00977068" w:rsidP="00152C4D" w14:paraId="679EEFBD" w14:textId="08720E98">
      <w:pPr>
        <w:pStyle w:val="ParaNum"/>
        <w:numPr>
          <w:ilvl w:val="0"/>
          <w:numId w:val="8"/>
        </w:numPr>
      </w:pPr>
      <w:r>
        <w:t>In and around Unalaska, in an area covering 31 census</w:t>
      </w:r>
      <w:r w:rsidR="00406808">
        <w:t xml:space="preserve"> blocks</w:t>
      </w:r>
      <w:r>
        <w:t>, address and</w:t>
      </w:r>
      <w:r w:rsidR="00173000">
        <w:t xml:space="preserve"> other population</w:t>
      </w:r>
      <w:r>
        <w:t xml:space="preserve"> location information from the local government </w:t>
      </w:r>
      <w:r w:rsidR="005F07A9">
        <w:t>c</w:t>
      </w:r>
      <w:r w:rsidR="00173000">
        <w:t xml:space="preserve">ould be used to </w:t>
      </w:r>
      <w:r>
        <w:t>create polygons around addresses (with a 50-meter buffer) in residential areas to represent the location of the population.</w:t>
      </w:r>
    </w:p>
    <w:p w:rsidR="00152C4D" w:rsidP="00152C4D" w14:paraId="57600FAF" w14:textId="1C2F5913">
      <w:pPr>
        <w:pStyle w:val="ParaNum"/>
        <w:numPr>
          <w:ilvl w:val="0"/>
          <w:numId w:val="8"/>
        </w:numPr>
      </w:pPr>
      <w:r>
        <w:t xml:space="preserve">Near Nome and Unalakleet, in an area covering 187 census blocks, aerial imagery data from Google Earth </w:t>
      </w:r>
      <w:r w:rsidR="005F07A9">
        <w:t xml:space="preserve">can be </w:t>
      </w:r>
      <w:r w:rsidR="00173000">
        <w:t xml:space="preserve">used </w:t>
      </w:r>
      <w:r>
        <w:t xml:space="preserve">to identify building structures, </w:t>
      </w:r>
      <w:r w:rsidR="00173000">
        <w:t xml:space="preserve">and </w:t>
      </w:r>
      <w:r>
        <w:t>polygons</w:t>
      </w:r>
      <w:r w:rsidR="00173000">
        <w:t xml:space="preserve"> </w:t>
      </w:r>
      <w:r w:rsidR="005F07A9">
        <w:t xml:space="preserve">could be </w:t>
      </w:r>
      <w:r w:rsidR="00173000">
        <w:t>drawn</w:t>
      </w:r>
      <w:r>
        <w:t xml:space="preserve"> around them as a proxy for the location of population.</w:t>
      </w:r>
    </w:p>
    <w:p w:rsidR="00152C4D" w:rsidRPr="001019A3" w:rsidP="00152C4D" w14:paraId="1B46873D" w14:textId="133CE86B">
      <w:pPr>
        <w:pStyle w:val="ParaNum"/>
        <w:numPr>
          <w:ilvl w:val="0"/>
          <w:numId w:val="8"/>
        </w:numPr>
      </w:pPr>
      <w:r>
        <w:t>In the Prudhoe Bay area, in an area covering 16 census blocks</w:t>
      </w:r>
      <w:r w:rsidR="00E57FED">
        <w:t xml:space="preserve"> where 2010 census data likely primarily reflects oil field workers rather than year-round population</w:t>
      </w:r>
      <w:r w:rsidR="00173000">
        <w:t xml:space="preserve">, Google Earth and internal ASTAC location data </w:t>
      </w:r>
      <w:r w:rsidR="005F07A9">
        <w:t xml:space="preserve">can be </w:t>
      </w:r>
      <w:r w:rsidR="00173000">
        <w:t>used to identify populated areas (primarily developed worksites, mobile camps, and staging areas).</w:t>
      </w:r>
      <w:r>
        <w:t xml:space="preserve"> </w:t>
      </w:r>
    </w:p>
    <w:p w:rsidR="001E5BAC" w:rsidP="001E5BAC" w14:paraId="5E5D586E" w14:textId="08B46E2A">
      <w:pPr>
        <w:pStyle w:val="ParaNum"/>
        <w:numPr>
          <w:ilvl w:val="0"/>
          <w:numId w:val="8"/>
        </w:numPr>
      </w:pPr>
      <w:r>
        <w:t xml:space="preserve">In </w:t>
      </w:r>
      <w:r w:rsidRPr="00773710">
        <w:t>the Copper Valley, in an area covering 61 census blocks, Google Earth and internal Copper Valley Telephone Company structural location data</w:t>
      </w:r>
      <w:r w:rsidRPr="00773710" w:rsidR="00BC3DA5">
        <w:t xml:space="preserve"> </w:t>
      </w:r>
      <w:r w:rsidR="005F07A9">
        <w:t>can be</w:t>
      </w:r>
      <w:r w:rsidRPr="00773710" w:rsidR="005F07A9">
        <w:t xml:space="preserve"> </w:t>
      </w:r>
      <w:r w:rsidRPr="00773710" w:rsidR="00BC3DA5">
        <w:t>used to identify structures</w:t>
      </w:r>
      <w:r w:rsidRPr="00773710">
        <w:t xml:space="preserve">. </w:t>
      </w:r>
    </w:p>
    <w:p w:rsidR="00152C4D" w:rsidRPr="001E5BAC" w:rsidP="001E5BAC" w14:paraId="226E35E9" w14:textId="19E7EF0F">
      <w:pPr>
        <w:pStyle w:val="ParaNum"/>
      </w:pPr>
      <w:r>
        <w:t>The Bureau</w:t>
      </w:r>
      <w:r w:rsidRPr="00773710">
        <w:t xml:space="preserve"> </w:t>
      </w:r>
      <w:r w:rsidRPr="00773710" w:rsidR="001D7788">
        <w:t xml:space="preserve">also sought comment </w:t>
      </w:r>
      <w:r w:rsidR="00EA2F13">
        <w:t>on</w:t>
      </w:r>
      <w:r w:rsidRPr="00773710" w:rsidR="001D7788">
        <w:t xml:space="preserve"> alternatives to the Alaska Population-Distribution Model</w:t>
      </w:r>
      <w:r w:rsidR="001D7788">
        <w:t xml:space="preserve"> that may better </w:t>
      </w:r>
      <w:r w:rsidR="00DB0737">
        <w:t xml:space="preserve">identify </w:t>
      </w:r>
      <w:r w:rsidR="008D172E">
        <w:t>populated areas</w:t>
      </w:r>
      <w:r w:rsidR="001D7788">
        <w:t xml:space="preserve">.  </w:t>
      </w:r>
      <w:r>
        <w:t>The Bureau</w:t>
      </w:r>
      <w:r w:rsidR="001D7788">
        <w:t xml:space="preserve"> specifically sought comment </w:t>
      </w:r>
      <w:r w:rsidR="00852858">
        <w:t xml:space="preserve">on using </w:t>
      </w:r>
      <w:r w:rsidR="00001586">
        <w:t>a database of broadband-</w:t>
      </w:r>
      <w:r w:rsidRPr="005B1160" w:rsidR="00001586">
        <w:t>serviceable</w:t>
      </w:r>
      <w:r w:rsidR="00001586">
        <w:t xml:space="preserve"> locations</w:t>
      </w:r>
      <w:r w:rsidR="00765C07">
        <w:t xml:space="preserve"> t</w:t>
      </w:r>
      <w:r w:rsidRPr="000E5235" w:rsidR="00765C07">
        <w:t xml:space="preserve">o identify the specific locations within </w:t>
      </w:r>
      <w:r w:rsidR="00765C07">
        <w:t>a</w:t>
      </w:r>
      <w:r w:rsidRPr="000E5235" w:rsidR="00765C07">
        <w:t xml:space="preserve"> census block </w:t>
      </w:r>
      <w:r w:rsidR="00EC3B4C">
        <w:t>where</w:t>
      </w:r>
      <w:r w:rsidRPr="000E5235" w:rsidR="00765C07">
        <w:t xml:space="preserve"> fixed broadband </w:t>
      </w:r>
      <w:r w:rsidR="00EC3B4C">
        <w:t>is unavailable</w:t>
      </w:r>
      <w:r w:rsidR="00765C07">
        <w:t>.</w:t>
      </w:r>
      <w:r>
        <w:rPr>
          <w:rStyle w:val="FootnoteReference"/>
        </w:rPr>
        <w:footnoteReference w:id="20"/>
      </w:r>
      <w:r w:rsidR="00477E91">
        <w:t xml:space="preserve">  </w:t>
      </w:r>
    </w:p>
    <w:p w:rsidR="008F00DC" w:rsidP="008F00DC" w14:paraId="2BB63DBD" w14:textId="5A878D13">
      <w:pPr>
        <w:pStyle w:val="ParaNum"/>
      </w:pPr>
      <w:r>
        <w:t xml:space="preserve">Finally, </w:t>
      </w:r>
      <w:r w:rsidR="00D43D54">
        <w:t>the Bureau</w:t>
      </w:r>
      <w:r>
        <w:t xml:space="preserve"> proposed </w:t>
      </w:r>
      <w:r w:rsidR="00600851">
        <w:t xml:space="preserve">to use </w:t>
      </w:r>
      <w:r>
        <w:t xml:space="preserve">the Alaska Population-Distribution Model to identify </w:t>
      </w:r>
      <w:r w:rsidR="00FD76A8">
        <w:t xml:space="preserve">the </w:t>
      </w:r>
      <w:r>
        <w:t>census blocks in remote areas</w:t>
      </w:r>
      <w:r w:rsidRPr="00770AF3">
        <w:t xml:space="preserve"> of </w:t>
      </w:r>
      <w:r>
        <w:t xml:space="preserve">Alaska that are eligible for </w:t>
      </w:r>
      <w:r w:rsidR="00AB7F76">
        <w:t xml:space="preserve">use of </w:t>
      </w:r>
      <w:r>
        <w:t>frozen support under the Alaska Plan</w:t>
      </w:r>
      <w:r w:rsidR="00AB7F76">
        <w:t xml:space="preserve"> (frozen-</w:t>
      </w:r>
      <w:r w:rsidR="009900B4">
        <w:t xml:space="preserve">support </w:t>
      </w:r>
      <w:r w:rsidR="00AB7F76">
        <w:t>eligible</w:t>
      </w:r>
      <w:r w:rsidR="00AE19B3">
        <w:t xml:space="preserve"> blocks)</w:t>
      </w:r>
      <w:r w:rsidR="00600851">
        <w:t xml:space="preserve">, and it noted </w:t>
      </w:r>
      <w:r w:rsidR="005061B1">
        <w:t xml:space="preserve">that the </w:t>
      </w:r>
      <w:r w:rsidR="008F36C2">
        <w:t xml:space="preserve">Bureau’s list of blocks developed using the methodology </w:t>
      </w:r>
      <w:r w:rsidR="008D500E">
        <w:t xml:space="preserve">was </w:t>
      </w:r>
      <w:r w:rsidR="005061B1">
        <w:t xml:space="preserve">the same as the list submitted </w:t>
      </w:r>
      <w:r w:rsidR="00520A13">
        <w:t>by GCI</w:t>
      </w:r>
      <w:r w:rsidR="005061B1">
        <w:t>.</w:t>
      </w:r>
      <w:r>
        <w:rPr>
          <w:rStyle w:val="FootnoteReference"/>
        </w:rPr>
        <w:footnoteReference w:id="21"/>
      </w:r>
      <w:r w:rsidR="005061B1">
        <w:t xml:space="preserve">  No commenter offered any alter</w:t>
      </w:r>
      <w:r w:rsidR="004071D5">
        <w:t>natives</w:t>
      </w:r>
      <w:r w:rsidR="005061B1">
        <w:t xml:space="preserve"> to this proposal.</w:t>
      </w:r>
      <w:r w:rsidRPr="00477E91">
        <w:t xml:space="preserve">  </w:t>
      </w:r>
    </w:p>
    <w:p w:rsidR="008F00DC" w:rsidP="008F00DC" w14:paraId="774F8DA4" w14:textId="2F92ED5A">
      <w:pPr>
        <w:pStyle w:val="Heading1"/>
      </w:pPr>
      <w:r>
        <w:t>Discussion</w:t>
      </w:r>
    </w:p>
    <w:p w:rsidR="000B237C" w14:paraId="456F648D" w14:textId="057EF8F2">
      <w:pPr>
        <w:pStyle w:val="ParaNum"/>
      </w:pPr>
      <w:r>
        <w:t>We adopt the Alaska Population-Distribution Model</w:t>
      </w:r>
      <w:r w:rsidR="0037562E">
        <w:t xml:space="preserve"> </w:t>
      </w:r>
      <w:r w:rsidR="00A16E3F">
        <w:t xml:space="preserve">to </w:t>
      </w:r>
      <w:r w:rsidR="008D2D27">
        <w:t xml:space="preserve">estimate </w:t>
      </w:r>
      <w:r w:rsidR="00A16E3F">
        <w:t xml:space="preserve">the number of people </w:t>
      </w:r>
      <w:r w:rsidR="00E3082C">
        <w:t xml:space="preserve">in remote parts of Alaska </w:t>
      </w:r>
      <w:r w:rsidR="00A16E3F">
        <w:t xml:space="preserve">who have access to </w:t>
      </w:r>
      <w:r w:rsidR="007D04D8">
        <w:t xml:space="preserve">mobile </w:t>
      </w:r>
      <w:r w:rsidR="00A16E3F">
        <w:t xml:space="preserve">service in census blocks </w:t>
      </w:r>
      <w:r w:rsidR="007D04D8">
        <w:t xml:space="preserve">partially served </w:t>
      </w:r>
      <w:r w:rsidR="00A16E3F">
        <w:t xml:space="preserve">by </w:t>
      </w:r>
      <w:r w:rsidR="007D04D8">
        <w:t xml:space="preserve">providers </w:t>
      </w:r>
      <w:r w:rsidR="00563928">
        <w:t>participat</w:t>
      </w:r>
      <w:r w:rsidR="007D04D8">
        <w:t>ing</w:t>
      </w:r>
      <w:r w:rsidR="00563928">
        <w:t xml:space="preserve"> in the Alaska Plan</w:t>
      </w:r>
      <w:r w:rsidR="00A16E3F">
        <w:t>.  T</w:t>
      </w:r>
      <w:r w:rsidR="007D04D8">
        <w:t xml:space="preserve">o </w:t>
      </w:r>
      <w:r w:rsidR="009F158F">
        <w:t xml:space="preserve">assess </w:t>
      </w:r>
      <w:r w:rsidR="007D04D8">
        <w:t xml:space="preserve">a participating </w:t>
      </w:r>
      <w:r w:rsidR="009F158F">
        <w:t>provider</w:t>
      </w:r>
      <w:r w:rsidR="007D04D8">
        <w:t>’s</w:t>
      </w:r>
      <w:r w:rsidR="009F158F">
        <w:t xml:space="preserve"> </w:t>
      </w:r>
      <w:r w:rsidR="007E1D0D">
        <w:t xml:space="preserve">satisfaction of its </w:t>
      </w:r>
      <w:r w:rsidR="009F158F">
        <w:t xml:space="preserve">service commitments </w:t>
      </w:r>
      <w:r w:rsidR="007D04D8">
        <w:t>a</w:t>
      </w:r>
      <w:r w:rsidR="0006177B">
        <w:t xml:space="preserve">t the 5 and 10-year </w:t>
      </w:r>
      <w:r w:rsidR="00435944">
        <w:t xml:space="preserve">performance </w:t>
      </w:r>
      <w:r w:rsidR="001F4286">
        <w:t>benchmarks</w:t>
      </w:r>
      <w:r w:rsidR="009F158F">
        <w:t>, we will use</w:t>
      </w:r>
      <w:r w:rsidR="00FE58D5">
        <w:t xml:space="preserve"> 2010 block-level population </w:t>
      </w:r>
      <w:r w:rsidR="00A16E3F">
        <w:t>census data</w:t>
      </w:r>
      <w:r w:rsidR="007D04D8">
        <w:t xml:space="preserve"> and the </w:t>
      </w:r>
      <w:r w:rsidR="00A16E3F">
        <w:t>provider</w:t>
      </w:r>
      <w:r w:rsidR="007D04D8">
        <w:t>’</w:t>
      </w:r>
      <w:r w:rsidR="00A16E3F">
        <w:t xml:space="preserve">s Form 477 data, in conjunction with </w:t>
      </w:r>
      <w:r w:rsidR="009F158F">
        <w:t>the Alaska Population-Distribution Model</w:t>
      </w:r>
      <w:r w:rsidR="007D04D8">
        <w:t>,</w:t>
      </w:r>
      <w:r w:rsidR="009F158F">
        <w:t xml:space="preserve"> to estimate the number of Alaskans in remote parts of the state who </w:t>
      </w:r>
      <w:r w:rsidR="008C40D8">
        <w:t>are covered by the</w:t>
      </w:r>
      <w:r w:rsidR="009F158F">
        <w:t xml:space="preserve"> </w:t>
      </w:r>
      <w:r w:rsidR="008C40D8">
        <w:t>provider’s network</w:t>
      </w:r>
      <w:r w:rsidR="001A11DB">
        <w:t xml:space="preserve"> </w:t>
      </w:r>
      <w:r w:rsidR="0004552A">
        <w:t>(</w:t>
      </w:r>
      <w:r w:rsidR="008C40D8">
        <w:t>using the technology identified in the commitment</w:t>
      </w:r>
      <w:r w:rsidR="0004552A">
        <w:t>)</w:t>
      </w:r>
      <w:r w:rsidR="009F158F">
        <w:t>.</w:t>
      </w:r>
      <w:r>
        <w:rPr>
          <w:rStyle w:val="FootnoteReference"/>
        </w:rPr>
        <w:footnoteReference w:id="22"/>
      </w:r>
      <w:r w:rsidR="009F158F">
        <w:t xml:space="preserve"> </w:t>
      </w:r>
      <w:r w:rsidR="00C30EEF">
        <w:t xml:space="preserve"> </w:t>
      </w:r>
      <w:r w:rsidR="00BA481A">
        <w:t xml:space="preserve">No commenter </w:t>
      </w:r>
      <w:r w:rsidR="002D5589">
        <w:t>proposed</w:t>
      </w:r>
      <w:r w:rsidR="00F212F0">
        <w:t xml:space="preserve"> </w:t>
      </w:r>
      <w:r w:rsidR="00BA481A">
        <w:t>an altern</w:t>
      </w:r>
      <w:r w:rsidR="000371F7">
        <w:t xml:space="preserve">ative approach, </w:t>
      </w:r>
      <w:r w:rsidR="002D6995">
        <w:t>and</w:t>
      </w:r>
      <w:r w:rsidR="000371F7">
        <w:t xml:space="preserve"> </w:t>
      </w:r>
      <w:r w:rsidR="009E580C">
        <w:t xml:space="preserve">the sole </w:t>
      </w:r>
      <w:r w:rsidR="002D6995">
        <w:t xml:space="preserve">commenter, ATA, supports use of the </w:t>
      </w:r>
      <w:r w:rsidR="00960454">
        <w:t>m</w:t>
      </w:r>
      <w:r w:rsidR="002D6995">
        <w:t>odel</w:t>
      </w:r>
      <w:r w:rsidR="00236B3A">
        <w:t>.</w:t>
      </w:r>
      <w:r>
        <w:rPr>
          <w:rStyle w:val="FootnoteReference"/>
        </w:rPr>
        <w:footnoteReference w:id="23"/>
      </w:r>
      <w:r w:rsidR="00236B3A">
        <w:t xml:space="preserve">  </w:t>
      </w:r>
      <w:r w:rsidR="002D6995">
        <w:t>W</w:t>
      </w:r>
      <w:r w:rsidR="002D5589">
        <w:t xml:space="preserve">e agree </w:t>
      </w:r>
      <w:r w:rsidR="002D6995">
        <w:t xml:space="preserve">with ATA </w:t>
      </w:r>
      <w:r w:rsidR="00C810AB">
        <w:t>that the</w:t>
      </w:r>
      <w:r w:rsidR="002D5589">
        <w:t xml:space="preserve"> Alaska Population-Distribution Model</w:t>
      </w:r>
      <w:r w:rsidR="00F212F0">
        <w:t xml:space="preserve"> </w:t>
      </w:r>
      <w:r w:rsidR="002D5589">
        <w:t xml:space="preserve">is the </w:t>
      </w:r>
      <w:r w:rsidR="00C810AB">
        <w:t xml:space="preserve">best </w:t>
      </w:r>
      <w:r w:rsidR="007E1D0D">
        <w:t xml:space="preserve">currently available </w:t>
      </w:r>
      <w:r w:rsidR="002D5589">
        <w:t>method</w:t>
      </w:r>
      <w:r w:rsidR="000371F7">
        <w:t xml:space="preserve"> </w:t>
      </w:r>
      <w:r w:rsidR="008C40D8">
        <w:t>f</w:t>
      </w:r>
      <w:r w:rsidR="000371F7">
        <w:t>o</w:t>
      </w:r>
      <w:r w:rsidR="008C40D8">
        <w:t>r</w:t>
      </w:r>
      <w:r w:rsidR="000371F7">
        <w:t xml:space="preserve"> </w:t>
      </w:r>
      <w:r w:rsidR="002D5589">
        <w:t xml:space="preserve">determining </w:t>
      </w:r>
      <w:r w:rsidR="000371F7">
        <w:t>whether</w:t>
      </w:r>
      <w:r w:rsidR="00B825BB">
        <w:t xml:space="preserve"> mobile providers </w:t>
      </w:r>
      <w:r w:rsidR="0021303A">
        <w:t>me</w:t>
      </w:r>
      <w:r w:rsidR="001640BA">
        <w:t>e</w:t>
      </w:r>
      <w:r w:rsidR="0021303A">
        <w:t>t their service commitments</w:t>
      </w:r>
      <w:r w:rsidR="00C810AB">
        <w:t>.</w:t>
      </w:r>
      <w:r>
        <w:rPr>
          <w:rStyle w:val="FootnoteReference"/>
        </w:rPr>
        <w:footnoteReference w:id="24"/>
      </w:r>
      <w:r w:rsidR="00FE4FF7">
        <w:t xml:space="preserve">  </w:t>
      </w:r>
      <w:r w:rsidR="002D5589">
        <w:t xml:space="preserve">In </w:t>
      </w:r>
      <w:r w:rsidR="003C20FA">
        <w:t>addition</w:t>
      </w:r>
      <w:r w:rsidR="002D5589">
        <w:t xml:space="preserve">, we </w:t>
      </w:r>
      <w:r w:rsidR="003C20FA">
        <w:t xml:space="preserve">believe that the </w:t>
      </w:r>
      <w:r w:rsidR="000371F7">
        <w:t>m</w:t>
      </w:r>
      <w:r w:rsidR="003C20FA">
        <w:t>odel is</w:t>
      </w:r>
      <w:r w:rsidR="002D5589">
        <w:t xml:space="preserve"> the</w:t>
      </w:r>
      <w:r w:rsidR="003C20FA">
        <w:t xml:space="preserve"> </w:t>
      </w:r>
      <w:r w:rsidR="001134D8">
        <w:t xml:space="preserve">best available </w:t>
      </w:r>
      <w:r w:rsidR="003C20FA">
        <w:t xml:space="preserve">methodology that </w:t>
      </w:r>
      <w:r w:rsidR="007E1D0D">
        <w:t xml:space="preserve">likely </w:t>
      </w:r>
      <w:r w:rsidR="003C20FA">
        <w:t>will be</w:t>
      </w:r>
      <w:r w:rsidR="007D04D8">
        <w:t xml:space="preserve"> available</w:t>
      </w:r>
      <w:r w:rsidR="003C20FA">
        <w:t xml:space="preserve"> </w:t>
      </w:r>
      <w:r w:rsidR="00635F52">
        <w:t>by</w:t>
      </w:r>
      <w:r w:rsidR="003C20FA">
        <w:t xml:space="preserve"> the 5-year mark</w:t>
      </w:r>
      <w:r w:rsidR="002D5589">
        <w:t xml:space="preserve"> </w:t>
      </w:r>
      <w:r w:rsidR="003C20FA">
        <w:t>an</w:t>
      </w:r>
      <w:r w:rsidR="000371F7">
        <w:t>d</w:t>
      </w:r>
      <w:r w:rsidR="001640BA">
        <w:t xml:space="preserve"> that the same methodology should </w:t>
      </w:r>
      <w:r w:rsidR="00B56EA9">
        <w:t>be applied to both the 5 and 10-year benchmark.</w:t>
      </w:r>
      <w:r>
        <w:rPr>
          <w:rStyle w:val="FootnoteReference"/>
        </w:rPr>
        <w:footnoteReference w:id="25"/>
      </w:r>
      <w:r w:rsidR="000371F7">
        <w:t xml:space="preserve"> </w:t>
      </w:r>
      <w:r w:rsidR="00B56EA9">
        <w:t xml:space="preserve"> U</w:t>
      </w:r>
      <w:r w:rsidR="000C0A0A">
        <w:t xml:space="preserve">sing two different </w:t>
      </w:r>
      <w:r w:rsidR="0008235D">
        <w:t>methodologies</w:t>
      </w:r>
      <w:r w:rsidR="000371F7">
        <w:t xml:space="preserve"> </w:t>
      </w:r>
      <w:r w:rsidR="007E1D0D">
        <w:t xml:space="preserve">for the </w:t>
      </w:r>
      <w:r w:rsidR="001E0D2E">
        <w:t>5</w:t>
      </w:r>
      <w:r w:rsidR="007E1D0D">
        <w:t xml:space="preserve"> </w:t>
      </w:r>
      <w:r w:rsidR="007E1D0D">
        <w:t xml:space="preserve">and 10-year evaluations </w:t>
      </w:r>
      <w:r w:rsidR="00B56EA9">
        <w:t>would</w:t>
      </w:r>
      <w:r w:rsidR="000371F7">
        <w:t xml:space="preserve"> </w:t>
      </w:r>
      <w:r w:rsidR="00415B27">
        <w:t xml:space="preserve">result in </w:t>
      </w:r>
      <w:r w:rsidR="00BA4161">
        <w:t>in</w:t>
      </w:r>
      <w:r w:rsidR="003C20FA">
        <w:t>consiste</w:t>
      </w:r>
      <w:r w:rsidR="000371F7">
        <w:t>nt evaluation of the commitments and</w:t>
      </w:r>
      <w:r w:rsidR="008C40D8">
        <w:t xml:space="preserve"> </w:t>
      </w:r>
      <w:r w:rsidR="001640BA">
        <w:t xml:space="preserve"> </w:t>
      </w:r>
      <w:r w:rsidR="008C40D8">
        <w:t>could jeopardize the Commission</w:t>
      </w:r>
      <w:r w:rsidR="000371F7">
        <w:t xml:space="preserve">’s ability to </w:t>
      </w:r>
      <w:r w:rsidR="003C20FA">
        <w:t>enforce</w:t>
      </w:r>
      <w:r w:rsidR="000371F7">
        <w:t xml:space="preserve"> those commitments</w:t>
      </w:r>
      <w:r w:rsidR="002D5589">
        <w:t xml:space="preserve">.  </w:t>
      </w:r>
    </w:p>
    <w:p w:rsidR="00783BBA" w:rsidP="00783BBA" w14:paraId="70D9A431" w14:textId="2BD18400">
      <w:pPr>
        <w:pStyle w:val="ParaNum"/>
      </w:pPr>
      <w:bookmarkStart w:id="6" w:name="_Hlk47594538"/>
      <w:r w:rsidRPr="0006118D">
        <w:rPr>
          <w:i/>
          <w:iCs/>
        </w:rPr>
        <w:t xml:space="preserve">Determining </w:t>
      </w:r>
      <w:r>
        <w:rPr>
          <w:i/>
          <w:iCs/>
        </w:rPr>
        <w:t xml:space="preserve">Whether Providers Have Met Their </w:t>
      </w:r>
      <w:r w:rsidRPr="0006118D">
        <w:rPr>
          <w:i/>
          <w:iCs/>
        </w:rPr>
        <w:t>Commitments</w:t>
      </w:r>
      <w:r>
        <w:t xml:space="preserve">.  Although the </w:t>
      </w:r>
      <w:r w:rsidRPr="00636F87">
        <w:rPr>
          <w:i/>
          <w:iCs/>
        </w:rPr>
        <w:t>Alaska Plan Order</w:t>
      </w:r>
      <w:r>
        <w:t xml:space="preserve"> required mobile participants to specify the number of people </w:t>
      </w:r>
      <w:r w:rsidR="00715260">
        <w:t xml:space="preserve">that </w:t>
      </w:r>
      <w:r>
        <w:t xml:space="preserve">they would </w:t>
      </w:r>
      <w:r w:rsidR="007E1D0D">
        <w:t xml:space="preserve">commit to </w:t>
      </w:r>
      <w:r>
        <w:t xml:space="preserve">serve, it did not address how </w:t>
      </w:r>
      <w:r w:rsidR="001E416F">
        <w:t>providers would calculate t</w:t>
      </w:r>
      <w:r w:rsidR="00EB1C54">
        <w:t>his number</w:t>
      </w:r>
      <w:r w:rsidR="001E416F">
        <w:t xml:space="preserve">, </w:t>
      </w:r>
      <w:r>
        <w:t>other than to note that the Commission would use mobile providers’ nationwide coverage polygons from Form 477 for the analysis.</w:t>
      </w:r>
      <w:r>
        <w:rPr>
          <w:rStyle w:val="FootnoteReference"/>
        </w:rPr>
        <w:footnoteReference w:id="26"/>
      </w:r>
      <w:r>
        <w:t xml:space="preserve">  Form 477 data, however, which reflect </w:t>
      </w:r>
      <w:r w:rsidR="001E416F">
        <w:t xml:space="preserve">mobile </w:t>
      </w:r>
      <w:r w:rsidR="00FA45DD">
        <w:t xml:space="preserve">providers’ </w:t>
      </w:r>
      <w:r>
        <w:t>coverage area, do</w:t>
      </w:r>
      <w:r w:rsidRPr="008E18AD">
        <w:t xml:space="preserve"> not necessarily reflect the number of people served in Alaska.</w:t>
      </w:r>
      <w:r>
        <w:rPr>
          <w:rStyle w:val="FootnoteReference"/>
        </w:rPr>
        <w:footnoteReference w:id="27"/>
      </w:r>
      <w:r w:rsidRPr="008E18AD">
        <w:t xml:space="preserve">  </w:t>
      </w:r>
      <w:r>
        <w:t xml:space="preserve">A map that reflects 75% coverage of the geographic area of a census block, for example, does not mean </w:t>
      </w:r>
      <w:r w:rsidR="007E1D0D">
        <w:t xml:space="preserve">necessarily </w:t>
      </w:r>
      <w:r>
        <w:t>that 75% of the population of that census block is covered by that provider, given that population generally is not evenly distributed through a census block in remote areas of Alaska and that census blocks may be very large and sparsely populated.</w:t>
      </w:r>
      <w:r>
        <w:rPr>
          <w:rStyle w:val="FootnoteReference"/>
        </w:rPr>
        <w:footnoteReference w:id="28"/>
      </w:r>
      <w:r>
        <w:t xml:space="preserve"> </w:t>
      </w:r>
    </w:p>
    <w:p w:rsidR="0011190B" w:rsidP="008609CD" w14:paraId="79A2EF4E" w14:textId="546E4BCC">
      <w:pPr>
        <w:pStyle w:val="ParaNum"/>
      </w:pPr>
      <w:r>
        <w:t xml:space="preserve">To </w:t>
      </w:r>
      <w:r w:rsidR="00C05D8C">
        <w:t xml:space="preserve">determine whether mobile providers have met their service commitments using </w:t>
      </w:r>
      <w:r w:rsidR="0006697C">
        <w:t xml:space="preserve">their </w:t>
      </w:r>
      <w:r w:rsidRPr="008E18AD">
        <w:t>Form 477 nationwide coverage polygons,</w:t>
      </w:r>
      <w:r>
        <w:rPr>
          <w:rStyle w:val="FootnoteReference"/>
        </w:rPr>
        <w:footnoteReference w:id="29"/>
      </w:r>
      <w:r w:rsidRPr="008E18AD">
        <w:t xml:space="preserve"> the Commission w</w:t>
      </w:r>
      <w:r>
        <w:t>ill</w:t>
      </w:r>
      <w:r w:rsidRPr="008E18AD">
        <w:t xml:space="preserve"> superimpose these coverage polygons onto </w:t>
      </w:r>
      <w:bookmarkStart w:id="7" w:name="_Hlk47363956"/>
      <w:r>
        <w:t xml:space="preserve">the Alaska Population-Distribution Model to </w:t>
      </w:r>
      <w:r w:rsidR="001459A3">
        <w:t xml:space="preserve">distribute </w:t>
      </w:r>
      <w:r w:rsidR="00CA2F43">
        <w:t xml:space="preserve">2010 census </w:t>
      </w:r>
      <w:r w:rsidR="001459A3">
        <w:t xml:space="preserve">population throughout the </w:t>
      </w:r>
      <w:r w:rsidR="00CA2F43">
        <w:t xml:space="preserve">census </w:t>
      </w:r>
      <w:r w:rsidR="001459A3">
        <w:t>block</w:t>
      </w:r>
      <w:bookmarkEnd w:id="7"/>
      <w:r w:rsidR="00FA45DD">
        <w:t>.</w:t>
      </w:r>
      <w:r>
        <w:rPr>
          <w:rStyle w:val="FootnoteReference"/>
        </w:rPr>
        <w:footnoteReference w:id="30"/>
      </w:r>
      <w:r w:rsidR="00FA45DD">
        <w:t xml:space="preserve">  Commission staff </w:t>
      </w:r>
      <w:r w:rsidR="00F5403D">
        <w:t xml:space="preserve">then </w:t>
      </w:r>
      <w:r w:rsidR="00FA45DD">
        <w:t xml:space="preserve">will </w:t>
      </w:r>
      <w:r w:rsidR="00CA157D">
        <w:t xml:space="preserve">analyze how many people in that census block are </w:t>
      </w:r>
      <w:r w:rsidR="00476BDA">
        <w:t xml:space="preserve">located </w:t>
      </w:r>
      <w:r w:rsidR="00CA157D">
        <w:t>within the mobile</w:t>
      </w:r>
      <w:r w:rsidR="00EB1C54">
        <w:t xml:space="preserve"> provider</w:t>
      </w:r>
      <w:r w:rsidR="00CA157D">
        <w:t>’s coverage area to</w:t>
      </w:r>
      <w:r w:rsidR="001459A3">
        <w:t xml:space="preserve"> </w:t>
      </w:r>
      <w:r w:rsidRPr="008E18AD">
        <w:t>determine the number of people served by th</w:t>
      </w:r>
      <w:r w:rsidR="00EB1C54">
        <w:t xml:space="preserve">at </w:t>
      </w:r>
      <w:r w:rsidRPr="008E18AD">
        <w:t>provider.</w:t>
      </w:r>
    </w:p>
    <w:bookmarkEnd w:id="6"/>
    <w:p w:rsidR="00D93275" w:rsidP="00636F87" w14:paraId="437913C2" w14:textId="36403901">
      <w:pPr>
        <w:pStyle w:val="ParaNum"/>
      </w:pPr>
      <w:r w:rsidRPr="00D5066D">
        <w:rPr>
          <w:i/>
          <w:iCs/>
        </w:rPr>
        <w:t>Exceptions.</w:t>
      </w:r>
      <w:r>
        <w:t xml:space="preserve">  </w:t>
      </w:r>
      <w:bookmarkStart w:id="8" w:name="_Hlk48553173"/>
      <w:r w:rsidR="00862D5A">
        <w:t>We</w:t>
      </w:r>
      <w:r w:rsidR="000D0DFC">
        <w:t xml:space="preserve"> </w:t>
      </w:r>
      <w:r w:rsidR="005F17DF">
        <w:t xml:space="preserve">also adopt the four exceptions </w:t>
      </w:r>
      <w:r w:rsidR="005B4925">
        <w:t xml:space="preserve">to the model </w:t>
      </w:r>
      <w:r w:rsidR="00B20861">
        <w:t xml:space="preserve">that </w:t>
      </w:r>
      <w:r w:rsidR="006C3956">
        <w:t xml:space="preserve">we </w:t>
      </w:r>
      <w:r w:rsidR="00B20861">
        <w:t>proposed</w:t>
      </w:r>
      <w:r w:rsidRPr="005B4925" w:rsidR="005B4925">
        <w:t xml:space="preserve"> </w:t>
      </w:r>
      <w:r w:rsidR="006C3956">
        <w:t xml:space="preserve">in the </w:t>
      </w:r>
      <w:r w:rsidRPr="006C3956" w:rsidR="006C3956">
        <w:rPr>
          <w:i/>
          <w:iCs/>
        </w:rPr>
        <w:t>Alaska Population Model Public Notice</w:t>
      </w:r>
      <w:r w:rsidRPr="006C3956" w:rsidR="006C3956">
        <w:t xml:space="preserve"> </w:t>
      </w:r>
      <w:r>
        <w:t>(in and around Unalaska</w:t>
      </w:r>
      <w:r w:rsidR="004D422B">
        <w:t>,</w:t>
      </w:r>
      <w:r>
        <w:t xml:space="preserve"> near Nome and Unalakleet</w:t>
      </w:r>
      <w:r w:rsidR="004D422B">
        <w:t>,</w:t>
      </w:r>
      <w:r>
        <w:t xml:space="preserve"> </w:t>
      </w:r>
      <w:r w:rsidR="004D422B">
        <w:t xml:space="preserve">in the </w:t>
      </w:r>
      <w:r>
        <w:t>Prudhoe Bay area</w:t>
      </w:r>
      <w:r w:rsidR="004D422B">
        <w:t>,</w:t>
      </w:r>
      <w:r>
        <w:t xml:space="preserve"> and </w:t>
      </w:r>
      <w:r w:rsidR="004D422B">
        <w:t xml:space="preserve">in the </w:t>
      </w:r>
      <w:r>
        <w:t>Copper Valley area)</w:t>
      </w:r>
      <w:r w:rsidR="005B4925">
        <w:t xml:space="preserve">.  </w:t>
      </w:r>
      <w:r w:rsidR="00F7560C">
        <w:t>Because of the unique nature of the</w:t>
      </w:r>
      <w:r w:rsidR="005B4925">
        <w:t>se four</w:t>
      </w:r>
      <w:r w:rsidR="007511E8">
        <w:t xml:space="preserve"> </w:t>
      </w:r>
      <w:r w:rsidR="00476BDA">
        <w:t>areas</w:t>
      </w:r>
      <w:r w:rsidR="005B4925">
        <w:t>,</w:t>
      </w:r>
      <w:r w:rsidR="00D00EF5">
        <w:t xml:space="preserve"> </w:t>
      </w:r>
      <w:r w:rsidR="005B4925">
        <w:t>the</w:t>
      </w:r>
      <w:r w:rsidR="00F7560C">
        <w:t xml:space="preserve"> alter</w:t>
      </w:r>
      <w:r w:rsidR="00AA3E89">
        <w:t>n</w:t>
      </w:r>
      <w:r w:rsidR="00F7560C">
        <w:t>ate</w:t>
      </w:r>
      <w:r w:rsidR="005B4925">
        <w:t xml:space="preserve"> </w:t>
      </w:r>
      <w:r w:rsidR="00D00EF5">
        <w:t xml:space="preserve">data sources better reflect </w:t>
      </w:r>
      <w:r w:rsidR="004D422B">
        <w:t xml:space="preserve">the </w:t>
      </w:r>
      <w:r w:rsidR="00D00EF5">
        <w:t>location of population</w:t>
      </w:r>
      <w:r w:rsidR="00764F6D">
        <w:t xml:space="preserve"> t</w:t>
      </w:r>
      <w:r>
        <w:t>han t</w:t>
      </w:r>
      <w:r w:rsidR="00764F6D">
        <w:t>he</w:t>
      </w:r>
      <w:r w:rsidR="00647A34">
        <w:t xml:space="preserve"> </w:t>
      </w:r>
      <w:r w:rsidR="00AF33D2">
        <w:t xml:space="preserve">Alaska Population-Distribution </w:t>
      </w:r>
      <w:r w:rsidR="009142D0">
        <w:t>M</w:t>
      </w:r>
      <w:r w:rsidR="00647A34">
        <w:t>odel</w:t>
      </w:r>
      <w:r w:rsidR="000D21AE">
        <w:t>; in addition, no commenters object to these exceptions</w:t>
      </w:r>
      <w:r w:rsidR="00647A34">
        <w:t xml:space="preserve">.  </w:t>
      </w:r>
      <w:r>
        <w:t>Allowing th</w:t>
      </w:r>
      <w:r w:rsidR="00F7560C">
        <w:t>e</w:t>
      </w:r>
      <w:r>
        <w:t>se</w:t>
      </w:r>
      <w:r w:rsidR="00F7560C">
        <w:t xml:space="preserve"> limited</w:t>
      </w:r>
      <w:r>
        <w:t xml:space="preserve"> exceptions to the model</w:t>
      </w:r>
      <w:r w:rsidR="00F7560C">
        <w:t xml:space="preserve"> </w:t>
      </w:r>
      <w:r w:rsidR="004D422B">
        <w:t xml:space="preserve">will </w:t>
      </w:r>
      <w:r w:rsidR="00F7560C">
        <w:t>provide more granular data</w:t>
      </w:r>
      <w:r w:rsidR="004D422B">
        <w:t xml:space="preserve"> </w:t>
      </w:r>
      <w:r w:rsidR="00F7560C">
        <w:t xml:space="preserve">of where </w:t>
      </w:r>
      <w:r w:rsidR="00CD22BA">
        <w:t xml:space="preserve">people </w:t>
      </w:r>
      <w:r w:rsidR="00F7560C">
        <w:t xml:space="preserve">are located in remote areas, and </w:t>
      </w:r>
      <w:r w:rsidR="00F43779">
        <w:t xml:space="preserve">it will </w:t>
      </w:r>
      <w:r w:rsidR="00F7560C">
        <w:t>ensure that participating mobile providers are deploying service that will benefit Alaskans.</w:t>
      </w:r>
      <w:bookmarkEnd w:id="8"/>
    </w:p>
    <w:p w:rsidR="00D50011" w:rsidP="003D506C" w14:paraId="353F05A7" w14:textId="41E050A6">
      <w:pPr>
        <w:pStyle w:val="ParaNum"/>
      </w:pPr>
      <w:r>
        <w:t>W</w:t>
      </w:r>
      <w:r w:rsidR="0001554D">
        <w:t>e reject ATA’s request for mobile</w:t>
      </w:r>
      <w:r w:rsidR="00B32BDB">
        <w:t xml:space="preserve"> </w:t>
      </w:r>
      <w:r w:rsidR="0001554D">
        <w:t>provider</w:t>
      </w:r>
      <w:r w:rsidR="00B32BDB">
        <w:t>s</w:t>
      </w:r>
      <w:r w:rsidR="0001554D">
        <w:t xml:space="preserve"> to “submit available evidence regarding the true location of population no later than six months before the next approaching benchmark</w:t>
      </w:r>
      <w:r w:rsidR="00AD1D1F">
        <w:t>,</w:t>
      </w:r>
      <w:r w:rsidR="0001554D">
        <w:t>”</w:t>
      </w:r>
      <w:r>
        <w:rPr>
          <w:rStyle w:val="FootnoteReference"/>
        </w:rPr>
        <w:footnoteReference w:id="31"/>
      </w:r>
      <w:r w:rsidR="008479B3">
        <w:t xml:space="preserve"> </w:t>
      </w:r>
      <w:r w:rsidR="00AD1D1F">
        <w:t xml:space="preserve">which we interpret to be a </w:t>
      </w:r>
      <w:r w:rsidR="006E7DAE">
        <w:t xml:space="preserve">request to submit </w:t>
      </w:r>
      <w:r w:rsidR="00881474">
        <w:t xml:space="preserve">additional </w:t>
      </w:r>
      <w:r w:rsidR="006E7DAE">
        <w:t xml:space="preserve">exceptions </w:t>
      </w:r>
      <w:r w:rsidR="00881474">
        <w:t xml:space="preserve">to the Alaska Population-Distribution Model </w:t>
      </w:r>
      <w:r w:rsidR="006E7DAE">
        <w:t>by June 30, 2021</w:t>
      </w:r>
      <w:r w:rsidR="0065547B">
        <w:t xml:space="preserve"> (</w:t>
      </w:r>
      <w:r w:rsidR="00C119A6">
        <w:t>six months before the 5-year mark of December 31, 2021</w:t>
      </w:r>
      <w:r w:rsidR="0065547B">
        <w:t>)</w:t>
      </w:r>
      <w:r w:rsidR="00AD1D1F">
        <w:t>.</w:t>
      </w:r>
      <w:r w:rsidR="00881474">
        <w:t xml:space="preserve">  </w:t>
      </w:r>
      <w:r w:rsidRPr="0065547B" w:rsidR="0065547B">
        <w:t>First, we note that mobile providers already have had an opportunity to submit additional exceptions in response</w:t>
      </w:r>
      <w:r w:rsidR="0065547B">
        <w:t xml:space="preserve"> to the </w:t>
      </w:r>
      <w:r w:rsidRPr="0008022E" w:rsidR="0065547B">
        <w:rPr>
          <w:i/>
          <w:iCs/>
        </w:rPr>
        <w:t xml:space="preserve">Alaska </w:t>
      </w:r>
      <w:r w:rsidRPr="0008022E" w:rsidR="0065547B">
        <w:rPr>
          <w:i/>
          <w:iCs/>
        </w:rPr>
        <w:t>Population Model Public Notice</w:t>
      </w:r>
      <w:r w:rsidR="0065547B">
        <w:t xml:space="preserve">, issued </w:t>
      </w:r>
      <w:r w:rsidR="003B385B">
        <w:t>in February</w:t>
      </w:r>
      <w:r w:rsidR="0065547B">
        <w:t>,</w:t>
      </w:r>
      <w:r w:rsidR="003B385B">
        <w:t xml:space="preserve"> and no commenter has identified any exceptions</w:t>
      </w:r>
      <w:r w:rsidR="0001554D">
        <w:t xml:space="preserve"> </w:t>
      </w:r>
      <w:r w:rsidR="003B385B">
        <w:t>other than</w:t>
      </w:r>
      <w:r w:rsidR="00881474">
        <w:t xml:space="preserve"> the four exceptions that we adopt here</w:t>
      </w:r>
      <w:r w:rsidR="003709BC">
        <w:t>.</w:t>
      </w:r>
      <w:r>
        <w:rPr>
          <w:rStyle w:val="FootnoteReference"/>
        </w:rPr>
        <w:footnoteReference w:id="32"/>
      </w:r>
      <w:r w:rsidR="003709BC">
        <w:t xml:space="preserve"> </w:t>
      </w:r>
      <w:r w:rsidR="006E1726">
        <w:t xml:space="preserve"> </w:t>
      </w:r>
      <w:r w:rsidR="0065547B">
        <w:t xml:space="preserve">Second, permitting the submission of </w:t>
      </w:r>
      <w:r w:rsidR="001E069D">
        <w:t>additional</w:t>
      </w:r>
      <w:r w:rsidR="0065547B">
        <w:t xml:space="preserve"> exceptions after </w:t>
      </w:r>
      <w:r w:rsidRPr="00C119A6" w:rsidR="0065547B">
        <w:t>providers’ four-year performance plan resubmissions</w:t>
      </w:r>
      <w:r w:rsidR="0065547B">
        <w:t xml:space="preserve">, </w:t>
      </w:r>
      <w:r w:rsidRPr="0065547B" w:rsidR="0065547B">
        <w:t>due December 31, 2020</w:t>
      </w:r>
      <w:r w:rsidR="0065547B">
        <w:t xml:space="preserve">, would </w:t>
      </w:r>
      <w:r w:rsidR="001E069D">
        <w:t>unnecessarily</w:t>
      </w:r>
      <w:r w:rsidR="0065547B">
        <w:t xml:space="preserve"> complicate the Bureau’s review of those resubmissions, which must include</w:t>
      </w:r>
      <w:r w:rsidR="001E069D">
        <w:t xml:space="preserve"> population coverage commitments based on the model we adopt herein</w:t>
      </w:r>
      <w:r w:rsidR="0065547B">
        <w:t>.</w:t>
      </w:r>
      <w:r>
        <w:rPr>
          <w:rStyle w:val="FootnoteReference"/>
        </w:rPr>
        <w:footnoteReference w:id="33"/>
      </w:r>
      <w:r w:rsidR="00881474">
        <w:t xml:space="preserve">  </w:t>
      </w:r>
      <w:bookmarkStart w:id="9" w:name="_Hlk50710850"/>
      <w:r w:rsidR="0053718F">
        <w:t>W</w:t>
      </w:r>
      <w:r w:rsidR="0065348E">
        <w:t xml:space="preserve">e </w:t>
      </w:r>
      <w:r w:rsidR="0053718F">
        <w:t xml:space="preserve">therefore </w:t>
      </w:r>
      <w:r w:rsidR="0065348E">
        <w:t>decline to allow mobile providers to submit additional exceptions to the model</w:t>
      </w:r>
      <w:r w:rsidR="00387E3D">
        <w:t xml:space="preserve"> </w:t>
      </w:r>
      <w:r w:rsidR="00A13041">
        <w:t xml:space="preserve">and find the amount of time </w:t>
      </w:r>
      <w:r w:rsidR="00A45048">
        <w:t xml:space="preserve">already </w:t>
      </w:r>
      <w:r w:rsidR="00A13041">
        <w:t xml:space="preserve">allowed </w:t>
      </w:r>
      <w:r w:rsidR="00A45048">
        <w:t>for such requests to have been sufficient</w:t>
      </w:r>
      <w:r w:rsidR="0065348E">
        <w:t>.</w:t>
      </w:r>
      <w:bookmarkEnd w:id="9"/>
    </w:p>
    <w:p w:rsidR="005348AD" w:rsidP="00314F09" w14:paraId="262C94B0" w14:textId="0040349A">
      <w:pPr>
        <w:pStyle w:val="ParaNum"/>
      </w:pPr>
      <w:r w:rsidRPr="005348AD">
        <w:rPr>
          <w:i/>
          <w:iCs/>
        </w:rPr>
        <w:t>Frozen-</w:t>
      </w:r>
      <w:r w:rsidRPr="005348AD" w:rsidR="009900B4">
        <w:rPr>
          <w:i/>
          <w:iCs/>
        </w:rPr>
        <w:t xml:space="preserve">Support </w:t>
      </w:r>
      <w:r w:rsidRPr="005348AD">
        <w:rPr>
          <w:i/>
          <w:iCs/>
        </w:rPr>
        <w:t xml:space="preserve">Eligible Census Blocks.  </w:t>
      </w:r>
      <w:r w:rsidR="006C6428">
        <w:t xml:space="preserve">Finally, </w:t>
      </w:r>
      <w:r w:rsidR="00A264E1">
        <w:t>we</w:t>
      </w:r>
      <w:r w:rsidR="0056583D">
        <w:t xml:space="preserve"> </w:t>
      </w:r>
      <w:r w:rsidR="006469C5">
        <w:t xml:space="preserve">adopt our proposal to </w:t>
      </w:r>
      <w:r w:rsidR="00A264E1">
        <w:t xml:space="preserve">use </w:t>
      </w:r>
      <w:r w:rsidR="00D677A6">
        <w:t>the</w:t>
      </w:r>
      <w:r w:rsidR="009F06BF">
        <w:t xml:space="preserve"> </w:t>
      </w:r>
      <w:r w:rsidR="0059324E">
        <w:t xml:space="preserve">Alaska Population-Distribution Model to identify those census blocks in remote areas of Alaska that are eligible for frozen support under the Alaska Plan and that can be counted by participating carriers towards their performance commitments.  </w:t>
      </w:r>
      <w:r>
        <w:t>Specifically, we use the model</w:t>
      </w:r>
      <w:r w:rsidR="00622526">
        <w:t xml:space="preserve"> </w:t>
      </w:r>
      <w:r>
        <w:t xml:space="preserve">to identify those census blocks in remote Alaska where, as of December 31, 2014, less than 85% of the population was covered by 4G LTE </w:t>
      </w:r>
      <w:r w:rsidRPr="00622526">
        <w:t>service of providers that are</w:t>
      </w:r>
      <w:r w:rsidRPr="005348AD">
        <w:t xml:space="preserve"> either unsubsidized or not eligible for frozen support in Alaska</w:t>
      </w:r>
      <w:r>
        <w:t>.</w:t>
      </w:r>
      <w:r w:rsidRPr="00B97E3F" w:rsidR="00B97E3F">
        <w:rPr>
          <w:rStyle w:val="FootnoteReference"/>
        </w:rPr>
        <w:t xml:space="preserve"> </w:t>
      </w:r>
      <w:r>
        <w:rPr>
          <w:rStyle w:val="FootnoteReference"/>
        </w:rPr>
        <w:footnoteReference w:id="34"/>
      </w:r>
      <w:r>
        <w:t xml:space="preserve"> </w:t>
      </w:r>
      <w:r w:rsidRPr="005348AD">
        <w:t xml:space="preserve"> </w:t>
      </w:r>
      <w:r>
        <w:t>W</w:t>
      </w:r>
      <w:r w:rsidR="00622526">
        <w:t xml:space="preserve">e </w:t>
      </w:r>
      <w:r>
        <w:t>apply</w:t>
      </w:r>
      <w:r w:rsidR="00622526">
        <w:t xml:space="preserve"> the Alaska Population-Distribution Model</w:t>
      </w:r>
      <w:r w:rsidR="003D4A8F">
        <w:t>—</w:t>
      </w:r>
      <w:r w:rsidR="00622526">
        <w:t xml:space="preserve">in combination with </w:t>
      </w:r>
      <w:r w:rsidR="0059324E">
        <w:t>2010 block-level population census data</w:t>
      </w:r>
      <w:r>
        <w:rPr>
          <w:rStyle w:val="FootnoteReference"/>
        </w:rPr>
        <w:footnoteReference w:id="35"/>
      </w:r>
      <w:r w:rsidR="00622526">
        <w:t xml:space="preserve"> and</w:t>
      </w:r>
      <w:r w:rsidR="0059324E">
        <w:t xml:space="preserve"> </w:t>
      </w:r>
      <w:r w:rsidR="00622526">
        <w:t xml:space="preserve">Form 477 4G LTE coverage data </w:t>
      </w:r>
      <w:r w:rsidR="00B97E3F">
        <w:t xml:space="preserve">for those unsubsidized or ineligible providers </w:t>
      </w:r>
      <w:r w:rsidR="00622526">
        <w:t>as of December 31, 2014</w:t>
      </w:r>
      <w:r w:rsidR="003D4A8F">
        <w:t>—</w:t>
      </w:r>
      <w:r w:rsidR="00B97E3F">
        <w:t>to generate the list of frozen-support eligible blocks</w:t>
      </w:r>
      <w:r w:rsidR="00622526">
        <w:t xml:space="preserve">.  </w:t>
      </w:r>
    </w:p>
    <w:p w:rsidR="00D343C1" w:rsidP="000F0F6C" w14:paraId="59EE6AD5" w14:textId="67388F0C">
      <w:pPr>
        <w:pStyle w:val="ParaNum"/>
      </w:pPr>
      <w:r>
        <w:t xml:space="preserve">As we explained in the </w:t>
      </w:r>
      <w:r w:rsidRPr="005348AD">
        <w:rPr>
          <w:i/>
          <w:iCs/>
        </w:rPr>
        <w:t>Alaska Population Model Public Notice</w:t>
      </w:r>
      <w:r>
        <w:t>, the</w:t>
      </w:r>
      <w:r w:rsidR="0059324E">
        <w:t xml:space="preserve"> </w:t>
      </w:r>
      <w:r w:rsidR="00FB4E59">
        <w:t>list</w:t>
      </w:r>
      <w:r w:rsidR="0001554D">
        <w:t xml:space="preserve"> of census blocks</w:t>
      </w:r>
      <w:r w:rsidR="00A264E1">
        <w:t xml:space="preserve"> </w:t>
      </w:r>
      <w:r w:rsidR="00622526">
        <w:t xml:space="preserve">generated using our proposed Alaska Population Distribution Model </w:t>
      </w:r>
      <w:r>
        <w:t xml:space="preserve">aligns with the list </w:t>
      </w:r>
      <w:r w:rsidR="00622526">
        <w:t xml:space="preserve">of </w:t>
      </w:r>
      <w:r w:rsidR="001E0D2E">
        <w:t xml:space="preserve">census blocks eligible for </w:t>
      </w:r>
      <w:r w:rsidR="00622526">
        <w:t>frozen</w:t>
      </w:r>
      <w:r w:rsidR="001E0D2E">
        <w:t xml:space="preserve"> </w:t>
      </w:r>
      <w:r w:rsidR="00622526">
        <w:t xml:space="preserve">support </w:t>
      </w:r>
      <w:r w:rsidR="00A264E1">
        <w:t>that</w:t>
      </w:r>
      <w:r w:rsidR="00FB4E59">
        <w:t xml:space="preserve"> GCI submitted on November 29, 2016</w:t>
      </w:r>
      <w:r w:rsidR="004509D3">
        <w:t>.</w:t>
      </w:r>
      <w:r>
        <w:rPr>
          <w:rStyle w:val="FootnoteReference"/>
        </w:rPr>
        <w:footnoteReference w:id="36"/>
      </w:r>
      <w:r w:rsidR="004509D3">
        <w:t xml:space="preserve">  </w:t>
      </w:r>
      <w:r w:rsidR="00570603">
        <w:t xml:space="preserve">Commenters do not object to this list of census blocks, and we find that it is the most accurate list of </w:t>
      </w:r>
      <w:r w:rsidR="001E0D2E">
        <w:t>census blocks eligible for frozen support</w:t>
      </w:r>
      <w:r w:rsidR="00570603">
        <w:t>.</w:t>
      </w:r>
      <w:r w:rsidR="00C572FA">
        <w:t xml:space="preserve">  </w:t>
      </w:r>
      <w:r w:rsidR="006469C5">
        <w:t>Accordingly, we will use this list of frozen-</w:t>
      </w:r>
      <w:r w:rsidR="009900B4">
        <w:t xml:space="preserve">support </w:t>
      </w:r>
      <w:r w:rsidR="006469C5">
        <w:t>eligible</w:t>
      </w:r>
      <w:r w:rsidR="0001554D">
        <w:t xml:space="preserve"> census blocks</w:t>
      </w:r>
      <w:r w:rsidR="00FB4E59">
        <w:t xml:space="preserve"> </w:t>
      </w:r>
      <w:r w:rsidR="00126BD0">
        <w:t xml:space="preserve">to </w:t>
      </w:r>
      <w:r w:rsidR="0001554D">
        <w:t>determine</w:t>
      </w:r>
      <w:r w:rsidR="003C270B">
        <w:t xml:space="preserve"> if mobile providers have met their</w:t>
      </w:r>
      <w:r w:rsidR="00FB4E59">
        <w:t xml:space="preserve"> </w:t>
      </w:r>
      <w:r w:rsidR="0001554D">
        <w:t xml:space="preserve">service </w:t>
      </w:r>
      <w:r w:rsidR="00FB4E59">
        <w:t xml:space="preserve">commitments at the 5 and 10-year </w:t>
      </w:r>
      <w:r w:rsidR="00A67234">
        <w:t>bench</w:t>
      </w:r>
      <w:r w:rsidR="00FB4E59">
        <w:t>marks of the</w:t>
      </w:r>
      <w:r w:rsidR="0001554D">
        <w:t xml:space="preserve"> Alaska</w:t>
      </w:r>
      <w:r w:rsidR="00FB4E59">
        <w:t xml:space="preserve"> </w:t>
      </w:r>
      <w:r w:rsidR="00EF6912">
        <w:t>P</w:t>
      </w:r>
      <w:r w:rsidR="00FB4E59">
        <w:t>lan.</w:t>
      </w:r>
      <w:r w:rsidR="003C270B">
        <w:t xml:space="preserve"> </w:t>
      </w:r>
      <w:r w:rsidR="00E16ECB">
        <w:t xml:space="preserve"> </w:t>
      </w:r>
      <w:r w:rsidR="005348AD">
        <w:t xml:space="preserve">Consistent with the </w:t>
      </w:r>
      <w:r w:rsidR="005348AD">
        <w:rPr>
          <w:i/>
          <w:iCs/>
        </w:rPr>
        <w:t xml:space="preserve">Alaska Plan </w:t>
      </w:r>
      <w:r w:rsidRPr="00B31F1C" w:rsidR="005348AD">
        <w:rPr>
          <w:i/>
          <w:iCs/>
        </w:rPr>
        <w:t>Order</w:t>
      </w:r>
      <w:r w:rsidR="005348AD">
        <w:t xml:space="preserve">, </w:t>
      </w:r>
      <w:r w:rsidR="00B97E3F">
        <w:t>p</w:t>
      </w:r>
      <w:r w:rsidRPr="005348AD" w:rsidR="005348AD">
        <w:t>articipating</w:t>
      </w:r>
      <w:r w:rsidR="005348AD">
        <w:t xml:space="preserve"> providers “may only satisfy their performance commitments through service coverage” in</w:t>
      </w:r>
      <w:r w:rsidR="006469C5">
        <w:t xml:space="preserve"> those census blocks</w:t>
      </w:r>
      <w:r w:rsidR="00180BC6">
        <w:t xml:space="preserve"> </w:t>
      </w:r>
      <w:r w:rsidR="00BC0372">
        <w:t xml:space="preserve">included </w:t>
      </w:r>
      <w:r w:rsidR="00180BC6">
        <w:t>on the list</w:t>
      </w:r>
      <w:r w:rsidR="006469C5">
        <w:t>.</w:t>
      </w:r>
      <w:r>
        <w:rPr>
          <w:rStyle w:val="FootnoteReference"/>
        </w:rPr>
        <w:footnoteReference w:id="37"/>
      </w:r>
      <w:r w:rsidR="00570603">
        <w:t xml:space="preserve">  </w:t>
      </w:r>
      <w:r w:rsidR="0027297C">
        <w:t xml:space="preserve">  </w:t>
      </w:r>
      <w:r w:rsidR="00AF74CF">
        <w:t xml:space="preserve">  </w:t>
      </w:r>
    </w:p>
    <w:p w:rsidR="005F4218" w:rsidP="005F4218" w14:paraId="7C73F851" w14:textId="3204228F">
      <w:pPr>
        <w:pStyle w:val="Heading1"/>
      </w:pPr>
      <w:r>
        <w:t xml:space="preserve">ordering </w:t>
      </w:r>
      <w:r w:rsidR="00E225FD">
        <w:t>clauses</w:t>
      </w:r>
    </w:p>
    <w:p w:rsidR="00E225FD" w:rsidP="00610FC2" w14:paraId="63AEA635" w14:textId="5EE58625">
      <w:pPr>
        <w:pStyle w:val="ParaNum"/>
      </w:pPr>
      <w:r w:rsidRPr="00323B70">
        <w:t>Accordingly, IT IS ORDERED, pursuant to the authority contained in sections 1-4 and</w:t>
      </w:r>
      <w:r>
        <w:t xml:space="preserve"> </w:t>
      </w:r>
      <w:r w:rsidRPr="00323B70">
        <w:t>254 of the Communications Act of 1934, as amended, 47 U.S.C. §§ 151-154 and 254, and sections 0.91,</w:t>
      </w:r>
      <w:r>
        <w:t xml:space="preserve"> </w:t>
      </w:r>
      <w:r w:rsidRPr="00323B70">
        <w:t>0.131, 0.291, 0.311, and 1.106 of the Commission’s rules, 47 CFR §§ 0.91, 0.131, 0.291, 0.311, and</w:t>
      </w:r>
      <w:r>
        <w:t xml:space="preserve"> </w:t>
      </w:r>
      <w:r w:rsidRPr="00323B70">
        <w:t xml:space="preserve">1.106, </w:t>
      </w:r>
      <w:r w:rsidRPr="00C83F67" w:rsidR="00C83F67">
        <w:t xml:space="preserve">and the delegated authority contained in the </w:t>
      </w:r>
      <w:r w:rsidRPr="00C83F67" w:rsidR="00C83F67">
        <w:rPr>
          <w:i/>
          <w:iCs/>
        </w:rPr>
        <w:t>Alaska Plan Order</w:t>
      </w:r>
      <w:r w:rsidRPr="00C83F67" w:rsidR="00C83F67">
        <w:t xml:space="preserve">, 31 FCC </w:t>
      </w:r>
      <w:r w:rsidRPr="00C83F67" w:rsidR="00C83F67">
        <w:t>Rcd</w:t>
      </w:r>
      <w:r w:rsidRPr="00C83F67" w:rsidR="00C83F67">
        <w:t xml:space="preserve"> 10139, 10166, para. </w:t>
      </w:r>
      <w:r w:rsidRPr="00C83F67" w:rsidR="00C83F67">
        <w:t>85,</w:t>
      </w:r>
      <w:r w:rsidR="00CB3F52">
        <w:t xml:space="preserve"> </w:t>
      </w:r>
      <w:r w:rsidR="00E03D7F">
        <w:t>thi</w:t>
      </w:r>
      <w:r w:rsidR="00D97F00">
        <w:t>s Order IS</w:t>
      </w:r>
      <w:r w:rsidR="00445694">
        <w:t xml:space="preserve"> ADOPTED</w:t>
      </w:r>
      <w:r w:rsidRPr="00323B70">
        <w:t>.</w:t>
      </w:r>
    </w:p>
    <w:p w:rsidR="007C73F0" w:rsidP="007C73F0" w14:paraId="2BCCE8A3" w14:textId="6F056F82"/>
    <w:p w:rsidR="000E57A4" w:rsidRPr="00EF1836" w:rsidP="00EF1836" w14:paraId="70B0C8DC" w14:textId="201F106B">
      <w:pPr>
        <w:pStyle w:val="Heading1"/>
        <w:numPr>
          <w:ilvl w:val="0"/>
          <w:numId w:val="0"/>
        </w:numPr>
        <w:spacing w:before="220" w:after="0"/>
        <w:ind w:left="3600" w:firstLine="720"/>
        <w:rPr>
          <w:spacing w:val="-2"/>
        </w:rPr>
      </w:pPr>
      <w:r w:rsidRPr="00EF1836">
        <w:rPr>
          <w:rFonts w:ascii="Times New Roman" w:hAnsi="Times New Roman"/>
          <w:b w:val="0"/>
          <w:caps w:val="0"/>
          <w:spacing w:val="-2"/>
        </w:rPr>
        <w:t xml:space="preserve">FEDERAL COMMUNICATIONS </w:t>
      </w:r>
      <w:r w:rsidRPr="002A29D2">
        <w:rPr>
          <w:rFonts w:ascii="Times New Roman" w:hAnsi="Times New Roman"/>
          <w:b w:val="0"/>
          <w:caps w:val="0"/>
          <w:spacing w:val="-2"/>
        </w:rPr>
        <w:t>COMMISSION</w:t>
      </w:r>
    </w:p>
    <w:p w:rsidR="000E57A4" w:rsidP="000E57A4" w14:paraId="49169928" w14:textId="77777777">
      <w:pPr>
        <w:pStyle w:val="Heading1"/>
        <w:numPr>
          <w:ilvl w:val="0"/>
          <w:numId w:val="0"/>
        </w:numPr>
        <w:spacing w:after="0"/>
        <w:rPr>
          <w:rFonts w:ascii="Times New Roman" w:hAnsi="Times New Roman"/>
          <w:b w:val="0"/>
          <w:caps w:val="0"/>
          <w:spacing w:val="-2"/>
        </w:rPr>
      </w:pPr>
    </w:p>
    <w:p w:rsidR="000E57A4" w:rsidP="000E57A4" w14:paraId="02FE697A" w14:textId="77777777">
      <w:pPr>
        <w:pStyle w:val="ParaNum"/>
        <w:numPr>
          <w:ilvl w:val="0"/>
          <w:numId w:val="0"/>
        </w:numPr>
        <w:spacing w:after="0"/>
      </w:pPr>
    </w:p>
    <w:p w:rsidR="000E57A4" w:rsidP="000E57A4" w14:paraId="75212DE8" w14:textId="77777777">
      <w:pPr>
        <w:pStyle w:val="ParaNum"/>
        <w:numPr>
          <w:ilvl w:val="0"/>
          <w:numId w:val="0"/>
        </w:numPr>
        <w:spacing w:after="0"/>
      </w:pPr>
    </w:p>
    <w:p w:rsidR="000E57A4" w:rsidRPr="002A29D2" w:rsidP="000E57A4" w14:paraId="14EB0D28" w14:textId="77777777">
      <w:pPr>
        <w:pStyle w:val="ParaNum"/>
        <w:numPr>
          <w:ilvl w:val="0"/>
          <w:numId w:val="0"/>
        </w:numPr>
        <w:spacing w:after="0"/>
      </w:pPr>
    </w:p>
    <w:p w:rsidR="000E57A4" w:rsidRPr="00EF1836" w:rsidP="00EF1836" w14:paraId="186462EB" w14:textId="77777777">
      <w:pPr>
        <w:pStyle w:val="Heading1"/>
        <w:numPr>
          <w:ilvl w:val="0"/>
          <w:numId w:val="0"/>
        </w:numPr>
        <w:spacing w:after="0"/>
        <w:rPr>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EF1836">
        <w:rPr>
          <w:rFonts w:ascii="Times New Roman" w:hAnsi="Times New Roman"/>
          <w:b w:val="0"/>
          <w:caps w:val="0"/>
          <w:spacing w:val="-2"/>
        </w:rPr>
        <w:t>Donald Stockdale</w:t>
      </w:r>
      <w:r w:rsidRPr="002A29D2">
        <w:rPr>
          <w:rFonts w:ascii="Times New Roman" w:hAnsi="Times New Roman"/>
          <w:b w:val="0"/>
          <w:caps w:val="0"/>
          <w:spacing w:val="-2"/>
        </w:rPr>
        <w:t xml:space="preserve"> </w:t>
      </w:r>
    </w:p>
    <w:p w:rsidR="000E57A4" w:rsidRPr="00EF1836" w:rsidP="00EF1836" w14:paraId="5E338B5D" w14:textId="77777777">
      <w:pPr>
        <w:pStyle w:val="Heading1"/>
        <w:numPr>
          <w:ilvl w:val="0"/>
          <w:numId w:val="0"/>
        </w:numPr>
        <w:spacing w:after="0"/>
        <w:rPr>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EF1836">
        <w:rPr>
          <w:rFonts w:ascii="Times New Roman" w:hAnsi="Times New Roman"/>
          <w:b w:val="0"/>
          <w:caps w:val="0"/>
          <w:spacing w:val="-2"/>
        </w:rPr>
        <w:t>Chief</w:t>
      </w:r>
    </w:p>
    <w:p w:rsidR="000E57A4" w:rsidRPr="00EF1836" w:rsidP="00EF1836" w14:paraId="7A765F40" w14:textId="77777777">
      <w:pPr>
        <w:pStyle w:val="Heading1"/>
        <w:numPr>
          <w:ilvl w:val="0"/>
          <w:numId w:val="0"/>
        </w:numPr>
        <w:spacing w:after="0"/>
        <w:rPr>
          <w:i/>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EF1836">
        <w:rPr>
          <w:rFonts w:ascii="Times New Roman" w:hAnsi="Times New Roman"/>
          <w:b w:val="0"/>
          <w:caps w:val="0"/>
          <w:spacing w:val="-2"/>
        </w:rPr>
        <w:t>Wireless Telecommunications Bureau</w:t>
      </w:r>
    </w:p>
    <w:p w:rsidR="007C73F0" w:rsidRPr="007C73F0" w:rsidP="004E1235" w14:paraId="3E93B434" w14:textId="77777777">
      <w:pPr>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CD" w:rsidP="0055614C" w14:paraId="7DB543AE" w14:textId="77777777">
    <w:pPr>
      <w:pStyle w:val="Footer"/>
      <w:framePr w:wrap="around" w:vAnchor="text" w:hAnchor="margin" w:xAlign="center" w:y="1"/>
    </w:pPr>
  </w:p>
  <w:p w:rsidR="008609CD" w14:paraId="2DF267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CD" w14:paraId="3C209CC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CD" w14:paraId="65CDD3F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121F" w14:paraId="52E2D68F" w14:textId="77777777">
      <w:r>
        <w:separator/>
      </w:r>
    </w:p>
  </w:footnote>
  <w:footnote w:type="continuationSeparator" w:id="1">
    <w:p w:rsidR="0072121F" w:rsidP="00C721AC" w14:paraId="458E2D8B" w14:textId="77777777">
      <w:pPr>
        <w:spacing w:before="120"/>
        <w:rPr>
          <w:sz w:val="20"/>
        </w:rPr>
      </w:pPr>
      <w:r>
        <w:rPr>
          <w:sz w:val="20"/>
        </w:rPr>
        <w:t xml:space="preserve">(Continued from previous page)  </w:t>
      </w:r>
      <w:r>
        <w:rPr>
          <w:sz w:val="20"/>
        </w:rPr>
        <w:separator/>
      </w:r>
    </w:p>
  </w:footnote>
  <w:footnote w:type="continuationNotice" w:id="2">
    <w:p w:rsidR="0072121F" w:rsidP="00C721AC" w14:paraId="1CD3621D" w14:textId="77777777">
      <w:pPr>
        <w:jc w:val="right"/>
        <w:rPr>
          <w:sz w:val="20"/>
        </w:rPr>
      </w:pPr>
      <w:r>
        <w:rPr>
          <w:sz w:val="20"/>
        </w:rPr>
        <w:t>(continued….)</w:t>
      </w:r>
    </w:p>
  </w:footnote>
  <w:footnote w:id="3">
    <w:p w:rsidR="008609CD" w14:paraId="203A548B" w14:textId="5CA4070C">
      <w:pPr>
        <w:pStyle w:val="FootnoteText"/>
      </w:pPr>
      <w:r>
        <w:rPr>
          <w:rStyle w:val="FootnoteReference"/>
        </w:rPr>
        <w:footnoteRef/>
      </w:r>
      <w:r>
        <w:t xml:space="preserve"> </w:t>
      </w:r>
      <w:r w:rsidRPr="0006118D">
        <w:rPr>
          <w:i/>
          <w:iCs/>
        </w:rPr>
        <w:t xml:space="preserve">See </w:t>
      </w:r>
      <w:r w:rsidRPr="008E670F">
        <w:rPr>
          <w:i/>
        </w:rPr>
        <w:t>Connect America Fund; Universal Service Reform–Mobility Fund; Connect America Fund–Alaska Plan</w:t>
      </w:r>
      <w:r w:rsidRPr="008E670F">
        <w:t xml:space="preserve">, WC Docket Nos. 10-90, 16-271, WT Docket No. 10-208, Report and Order and Further Notice of Proposed Rulemaking, 31 FCC </w:t>
      </w:r>
      <w:r w:rsidRPr="008E670F">
        <w:t>Rcd</w:t>
      </w:r>
      <w:r w:rsidRPr="008E670F">
        <w:t xml:space="preserve"> 10139</w:t>
      </w:r>
      <w:r>
        <w:t>, 10141-42, para. 5</w:t>
      </w:r>
      <w:r w:rsidRPr="008E670F">
        <w:t xml:space="preserve"> (2016) (</w:t>
      </w:r>
      <w:r w:rsidRPr="008E670F">
        <w:rPr>
          <w:i/>
        </w:rPr>
        <w:t>Alaska Plan Order</w:t>
      </w:r>
      <w:r w:rsidRPr="008E670F">
        <w:t>)</w:t>
      </w:r>
      <w:r>
        <w:t xml:space="preserve">; </w:t>
      </w:r>
      <w:r w:rsidRPr="0006118D">
        <w:rPr>
          <w:i/>
          <w:iCs/>
        </w:rPr>
        <w:t>Connect America Fund et al</w:t>
      </w:r>
      <w:r>
        <w:t xml:space="preserve">., WC Docket No. 10-90 et al., Report and Order and Further Notice of Proposed Rulemaking, 26 FCC </w:t>
      </w:r>
      <w:r>
        <w:t>Rcd</w:t>
      </w:r>
      <w:r>
        <w:t xml:space="preserve"> 17663, 17829, paras. 507-08 (2011) (</w:t>
      </w:r>
      <w:r w:rsidRPr="0006118D">
        <w:rPr>
          <w:i/>
          <w:iCs/>
        </w:rPr>
        <w:t>USF Transformation Order</w:t>
      </w:r>
      <w:r>
        <w:t xml:space="preserve">).  Based on the 2010 </w:t>
      </w:r>
      <w:r w:rsidRPr="00EC0590">
        <w:t>census data</w:t>
      </w:r>
      <w:r>
        <w:t xml:space="preserve">, the average census block in Alaska is 50 times (14.7 square miles) the size of the average census block in the other 49 states and the District of Columbia (.28 square miles).  </w:t>
      </w:r>
      <w:r w:rsidRPr="006C7B27">
        <w:rPr>
          <w:i/>
          <w:iCs/>
        </w:rPr>
        <w:t>USF Transformation Order</w:t>
      </w:r>
      <w:r>
        <w:t xml:space="preserve">, 26 FCC </w:t>
      </w:r>
      <w:r>
        <w:t>Rcd</w:t>
      </w:r>
      <w:r>
        <w:t xml:space="preserve"> at 17788, para. 347, n.587.</w:t>
      </w:r>
    </w:p>
  </w:footnote>
  <w:footnote w:id="4">
    <w:p w:rsidR="008609CD" w14:paraId="5F8A138E" w14:textId="694B8FC7">
      <w:pPr>
        <w:pStyle w:val="FootnoteText"/>
      </w:pPr>
      <w:r>
        <w:rPr>
          <w:rStyle w:val="FootnoteReference"/>
        </w:rPr>
        <w:footnoteRef/>
      </w:r>
      <w:r>
        <w:t xml:space="preserve"> </w:t>
      </w:r>
      <w:r w:rsidRPr="008E670F">
        <w:rPr>
          <w:i/>
        </w:rPr>
        <w:t>Alaska Plan Order</w:t>
      </w:r>
      <w:r>
        <w:rPr>
          <w:iCs/>
        </w:rPr>
        <w:t>,</w:t>
      </w:r>
      <w:r w:rsidRPr="008E670F">
        <w:t xml:space="preserve"> 31 FCC </w:t>
      </w:r>
      <w:r w:rsidRPr="008E670F">
        <w:t>Rcd</w:t>
      </w:r>
      <w:r w:rsidRPr="008E670F">
        <w:t xml:space="preserve"> 10139</w:t>
      </w:r>
      <w:r>
        <w:t>.</w:t>
      </w:r>
    </w:p>
  </w:footnote>
  <w:footnote w:id="5">
    <w:p w:rsidR="008609CD" w14:paraId="26A3BE48" w14:textId="2CD5D662">
      <w:pPr>
        <w:pStyle w:val="FootnoteText"/>
      </w:pPr>
      <w:r>
        <w:rPr>
          <w:rStyle w:val="FootnoteReference"/>
        </w:rPr>
        <w:footnoteRef/>
      </w:r>
      <w:r>
        <w:t xml:space="preserve"> </w:t>
      </w:r>
      <w:r w:rsidRPr="0060404F">
        <w:rPr>
          <w:i/>
        </w:rPr>
        <w:t>Alaska Plan Order</w:t>
      </w:r>
      <w:r>
        <w:t xml:space="preserve">, </w:t>
      </w:r>
      <w:r w:rsidRPr="008E670F">
        <w:t xml:space="preserve">31 FCC </w:t>
      </w:r>
      <w:r w:rsidRPr="008E670F">
        <w:t>Rcd</w:t>
      </w:r>
      <w:r w:rsidRPr="008E670F">
        <w:t xml:space="preserve"> </w:t>
      </w:r>
      <w:r>
        <w:t>at 10167</w:t>
      </w:r>
      <w:r w:rsidRPr="008E670F">
        <w:t xml:space="preserve">, </w:t>
      </w:r>
      <w:r>
        <w:t xml:space="preserve">10172, </w:t>
      </w:r>
      <w:r w:rsidRPr="008E670F">
        <w:t>para</w:t>
      </w:r>
      <w:r>
        <w:t>s</w:t>
      </w:r>
      <w:r w:rsidRPr="008E670F">
        <w:t xml:space="preserve">. </w:t>
      </w:r>
      <w:r>
        <w:t xml:space="preserve">86, 102 (creating additional obligations for those mobile providers not committing to provide 10/1 Mbps 4G LTE and that are dependent on satellite backhaul).  The frozen support can be used only to provide mobile voice and broadband service </w:t>
      </w:r>
      <w:r w:rsidRPr="00EE4A2B">
        <w:t xml:space="preserve">in </w:t>
      </w:r>
      <w:r w:rsidRPr="00501633">
        <w:t>those</w:t>
      </w:r>
      <w:r w:rsidRPr="00E1687C">
        <w:t xml:space="preserve"> census blocks in remote Alaska where</w:t>
      </w:r>
      <w:r w:rsidRPr="00DC0116">
        <w:t>, as of December 31, 2014,</w:t>
      </w:r>
      <w:r w:rsidRPr="2EB37278">
        <w:t xml:space="preserve"> less than 85% of the population was covered by </w:t>
      </w:r>
      <w:r>
        <w:t>4G LTE</w:t>
      </w:r>
      <w:r w:rsidRPr="00D733D7">
        <w:t xml:space="preserve"> service of provider</w:t>
      </w:r>
      <w:r w:rsidRPr="009901D6">
        <w:t>s</w:t>
      </w:r>
      <w:r w:rsidRPr="00FD4033">
        <w:t xml:space="preserve"> </w:t>
      </w:r>
      <w:r w:rsidRPr="002C18BB">
        <w:t xml:space="preserve">that </w:t>
      </w:r>
      <w:r>
        <w:t>were</w:t>
      </w:r>
      <w:r w:rsidRPr="002C18BB">
        <w:t xml:space="preserve"> either unsubsidized </w:t>
      </w:r>
      <w:r w:rsidRPr="005A5496">
        <w:t xml:space="preserve">or </w:t>
      </w:r>
      <w:r w:rsidRPr="00477F70">
        <w:t>not eligible for frozen support in Alaska</w:t>
      </w:r>
      <w:r>
        <w:t>.</w:t>
      </w:r>
      <w:r w:rsidRPr="007C3FBC">
        <w:rPr>
          <w:i/>
        </w:rPr>
        <w:t xml:space="preserve"> </w:t>
      </w:r>
      <w:r>
        <w:rPr>
          <w:i/>
        </w:rPr>
        <w:t xml:space="preserve"> </w:t>
      </w:r>
      <w:r w:rsidRPr="0060404F">
        <w:rPr>
          <w:i/>
        </w:rPr>
        <w:t>Alaska Plan Order</w:t>
      </w:r>
      <w:r>
        <w:t xml:space="preserve">, </w:t>
      </w:r>
      <w:r w:rsidRPr="008E670F">
        <w:t xml:space="preserve">31 FCC </w:t>
      </w:r>
      <w:r w:rsidRPr="008E670F">
        <w:t>Rcd</w:t>
      </w:r>
      <w:r w:rsidRPr="008E670F">
        <w:t xml:space="preserve"> </w:t>
      </w:r>
      <w:r>
        <w:t>at 10167</w:t>
      </w:r>
      <w:r w:rsidRPr="008E670F">
        <w:t xml:space="preserve">, para. </w:t>
      </w:r>
      <w:r>
        <w:t>87.</w:t>
      </w:r>
    </w:p>
  </w:footnote>
  <w:footnote w:id="6">
    <w:p w:rsidR="008609CD" w:rsidP="00910725" w14:paraId="745BB040" w14:textId="1E0B912B">
      <w:pPr>
        <w:pStyle w:val="FootnoteText"/>
      </w:pPr>
      <w:r>
        <w:rPr>
          <w:rStyle w:val="FootnoteReference"/>
        </w:rPr>
        <w:footnoteRef/>
      </w:r>
      <w:r>
        <w:t xml:space="preserve"> </w:t>
      </w:r>
      <w:r>
        <w:rPr>
          <w:i/>
        </w:rPr>
        <w:t>Alaska Plan Order</w:t>
      </w:r>
      <w:r w:rsidRPr="008E670F">
        <w:t xml:space="preserve">, 31 FCC </w:t>
      </w:r>
      <w:r>
        <w:t>at</w:t>
      </w:r>
      <w:r w:rsidRPr="008E670F">
        <w:t xml:space="preserve"> </w:t>
      </w:r>
      <w:r>
        <w:t>10162-63</w:t>
      </w:r>
      <w:r w:rsidRPr="008E670F">
        <w:t xml:space="preserve">, para. </w:t>
      </w:r>
      <w:r>
        <w:t xml:space="preserve">72.  The Commission also provided for separate funding to expand service in unserved areas of remote Alaska </w:t>
      </w:r>
      <w:r w:rsidRPr="00374FA2">
        <w:t xml:space="preserve">that </w:t>
      </w:r>
      <w:r>
        <w:t>did</w:t>
      </w:r>
      <w:r w:rsidRPr="00374FA2">
        <w:t xml:space="preserve"> not have commercial mobile radio service as of December 31, 2014</w:t>
      </w:r>
      <w:r>
        <w:t xml:space="preserve">; this funding will be distributed through a reverse-auction process.  For purposes of this latter source of funding, “unserved” areas are defined as those census blocks where less than 15% of the population within the census block was within any mobile provider’s coverage area.  </w:t>
      </w:r>
      <w:r>
        <w:rPr>
          <w:i/>
        </w:rPr>
        <w:t>Id.</w:t>
      </w:r>
      <w:r>
        <w:t xml:space="preserve"> at 10173-74, para. 106.     </w:t>
      </w:r>
    </w:p>
  </w:footnote>
  <w:footnote w:id="7">
    <w:p w:rsidR="008609CD" w:rsidP="00640325" w14:paraId="00D8B98A" w14:textId="7C368DFA">
      <w:pPr>
        <w:pStyle w:val="FootnoteText"/>
      </w:pPr>
      <w:r>
        <w:rPr>
          <w:rStyle w:val="FootnoteReference"/>
        </w:rPr>
        <w:footnoteRef/>
      </w:r>
      <w:r>
        <w:rPr>
          <w:i/>
        </w:rPr>
        <w:t xml:space="preserve"> </w:t>
      </w:r>
      <w:r w:rsidRPr="008E670F">
        <w:rPr>
          <w:i/>
        </w:rPr>
        <w:t>Alaska Plan Order</w:t>
      </w:r>
      <w:r>
        <w:rPr>
          <w:iCs/>
        </w:rPr>
        <w:t xml:space="preserve">, 31 FCC </w:t>
      </w:r>
      <w:r>
        <w:rPr>
          <w:iCs/>
        </w:rPr>
        <w:t>Rcd</w:t>
      </w:r>
      <w:r>
        <w:rPr>
          <w:i/>
        </w:rPr>
        <w:t>.</w:t>
      </w:r>
      <w:r w:rsidRPr="008E670F">
        <w:t xml:space="preserve"> </w:t>
      </w:r>
      <w:r>
        <w:t>at</w:t>
      </w:r>
      <w:r w:rsidRPr="008E670F">
        <w:t xml:space="preserve"> </w:t>
      </w:r>
      <w:r>
        <w:t>10166</w:t>
      </w:r>
      <w:r w:rsidRPr="008E670F">
        <w:t xml:space="preserve">, para. </w:t>
      </w:r>
      <w:r>
        <w:t xml:space="preserve">85.  </w:t>
      </w:r>
    </w:p>
  </w:footnote>
  <w:footnote w:id="8">
    <w:p w:rsidR="00A13170" w:rsidP="00A13170" w14:paraId="3764449B" w14:textId="77777777">
      <w:pPr>
        <w:pStyle w:val="FootnoteText"/>
      </w:pPr>
      <w:r>
        <w:rPr>
          <w:rStyle w:val="FootnoteReference"/>
        </w:rPr>
        <w:footnoteRef/>
      </w:r>
      <w:r>
        <w:t xml:space="preserve"> </w:t>
      </w:r>
      <w:r w:rsidRPr="0060404F">
        <w:rPr>
          <w:i/>
        </w:rPr>
        <w:t>Alaska Plan Order</w:t>
      </w:r>
      <w:r>
        <w:t xml:space="preserve">, </w:t>
      </w:r>
      <w:r w:rsidRPr="008E670F">
        <w:t xml:space="preserve">31 FCC </w:t>
      </w:r>
      <w:r w:rsidRPr="008E670F">
        <w:t>Rcd</w:t>
      </w:r>
      <w:r w:rsidRPr="008E670F">
        <w:t xml:space="preserve"> </w:t>
      </w:r>
      <w:r>
        <w:t>at 10160</w:t>
      </w:r>
      <w:r w:rsidRPr="008E670F">
        <w:t xml:space="preserve">, </w:t>
      </w:r>
      <w:r>
        <w:t xml:space="preserve">10167, </w:t>
      </w:r>
      <w:r w:rsidRPr="008E670F">
        <w:t>para</w:t>
      </w:r>
      <w:r>
        <w:t>s</w:t>
      </w:r>
      <w:r w:rsidRPr="008E670F">
        <w:t xml:space="preserve">. </w:t>
      </w:r>
      <w:r>
        <w:t>67, 85.</w:t>
      </w:r>
    </w:p>
  </w:footnote>
  <w:footnote w:id="9">
    <w:p w:rsidR="008609CD" w:rsidP="008F00DC" w14:paraId="1BA25945" w14:textId="24B6C5CB">
      <w:pPr>
        <w:pStyle w:val="FootnoteText"/>
      </w:pPr>
      <w:r w:rsidRPr="00640325">
        <w:rPr>
          <w:rStyle w:val="FootnoteReference"/>
        </w:rPr>
        <w:footnoteRef/>
      </w:r>
      <w:r w:rsidRPr="00640325">
        <w:t xml:space="preserve"> </w:t>
      </w:r>
      <w:r w:rsidRPr="000E3518">
        <w:rPr>
          <w:i/>
        </w:rPr>
        <w:t xml:space="preserve">Wireless Telecommunications Bureau Approves Performance Plans of the Eight Wireless Providers That Elected </w:t>
      </w:r>
      <w:r>
        <w:rPr>
          <w:i/>
        </w:rPr>
        <w:t>t</w:t>
      </w:r>
      <w:r w:rsidRPr="000E3518">
        <w:rPr>
          <w:i/>
        </w:rPr>
        <w:t>o Participate in the Alaska Plan</w:t>
      </w:r>
      <w:r>
        <w:t xml:space="preserve">, WC Docket No. 16-271, Public Notice, 31 FCC </w:t>
      </w:r>
      <w:r>
        <w:t>Rcd</w:t>
      </w:r>
      <w:r>
        <w:t xml:space="preserve"> 13317, Appx. (WTB 2016) (</w:t>
      </w:r>
      <w:r>
        <w:rPr>
          <w:i/>
        </w:rPr>
        <w:t xml:space="preserve">Wireless </w:t>
      </w:r>
      <w:r w:rsidRPr="006E398C">
        <w:rPr>
          <w:i/>
        </w:rPr>
        <w:t>Commitments N</w:t>
      </w:r>
      <w:r>
        <w:rPr>
          <w:i/>
        </w:rPr>
        <w:t>otice</w:t>
      </w:r>
      <w:r>
        <w:t xml:space="preserve">); </w:t>
      </w:r>
      <w:r w:rsidRPr="000E3518">
        <w:rPr>
          <w:i/>
        </w:rPr>
        <w:t xml:space="preserve">Wireless Telecommunications Bureau Approves </w:t>
      </w:r>
      <w:r>
        <w:rPr>
          <w:i/>
        </w:rPr>
        <w:t xml:space="preserve">ASTAC’s and GCI’s Revised Performance Plans Pursuant to the </w:t>
      </w:r>
      <w:r w:rsidRPr="000E3518">
        <w:rPr>
          <w:i/>
        </w:rPr>
        <w:t>Alaska Plan</w:t>
      </w:r>
      <w:r>
        <w:rPr>
          <w:i/>
        </w:rPr>
        <w:t xml:space="preserve"> Order</w:t>
      </w:r>
      <w:r>
        <w:t xml:space="preserve">, WC Docket No. 16-271, Public Notice, 34 FCC </w:t>
      </w:r>
      <w:r>
        <w:t>Rcd</w:t>
      </w:r>
      <w:r>
        <w:t xml:space="preserve"> 12183, Appx. (WTB 2019); </w:t>
      </w:r>
      <w:r>
        <w:rPr>
          <w:i/>
          <w:iCs/>
        </w:rPr>
        <w:t>see also Alaska Plan Order</w:t>
      </w:r>
      <w:r>
        <w:t xml:space="preserve">, 31 FCC </w:t>
      </w:r>
      <w:r>
        <w:t>Rcd</w:t>
      </w:r>
      <w:r>
        <w:t xml:space="preserve"> at 10160, 10167, paras. 67, 85-86.  The </w:t>
      </w:r>
      <w:r>
        <w:rPr>
          <w:i/>
          <w:iCs/>
        </w:rPr>
        <w:t>Alaska Plan Order</w:t>
      </w:r>
      <w:r>
        <w:t xml:space="preserve"> also req</w:t>
      </w:r>
      <w:r w:rsidRPr="00642EAE">
        <w:t>uire</w:t>
      </w:r>
      <w:r>
        <w:t>d</w:t>
      </w:r>
      <w:r w:rsidRPr="00642EAE">
        <w:t xml:space="preserve"> participating providers </w:t>
      </w:r>
      <w:r>
        <w:t xml:space="preserve">to </w:t>
      </w:r>
      <w:r w:rsidRPr="00642EAE">
        <w:t>update their end-of-term commitments by December 31, 2020</w:t>
      </w:r>
      <w:r w:rsidR="00D84BB9">
        <w:t>,</w:t>
      </w:r>
      <w:r w:rsidRPr="00642EAE">
        <w:t xml:space="preserve"> and </w:t>
      </w:r>
      <w:r w:rsidR="00D84BB9">
        <w:t xml:space="preserve">it </w:t>
      </w:r>
      <w:r>
        <w:t>delegated to the Bureau</w:t>
      </w:r>
      <w:r w:rsidRPr="00642EAE">
        <w:t xml:space="preserve"> </w:t>
      </w:r>
      <w:r w:rsidR="00D84BB9">
        <w:t>authority</w:t>
      </w:r>
      <w:r w:rsidRPr="00642EAE" w:rsidR="00D84BB9">
        <w:t xml:space="preserve"> </w:t>
      </w:r>
      <w:r w:rsidRPr="00642EAE">
        <w:t xml:space="preserve">to review these updates and </w:t>
      </w:r>
      <w:r>
        <w:t xml:space="preserve">to </w:t>
      </w:r>
      <w:r w:rsidRPr="00642EAE">
        <w:t xml:space="preserve">require revised commitments if it serves the public interest.  </w:t>
      </w:r>
      <w:r>
        <w:rPr>
          <w:i/>
          <w:iCs/>
        </w:rPr>
        <w:t>Alaska Plan Order</w:t>
      </w:r>
      <w:r>
        <w:t xml:space="preserve">, 31 FCC </w:t>
      </w:r>
      <w:r>
        <w:t>Rcd</w:t>
      </w:r>
      <w:r w:rsidRPr="00642EAE">
        <w:t xml:space="preserve"> at </w:t>
      </w:r>
      <w:r>
        <w:t xml:space="preserve">10166-67, para. </w:t>
      </w:r>
      <w:r w:rsidRPr="00642EAE">
        <w:t>85</w:t>
      </w:r>
      <w:r>
        <w:t>.</w:t>
      </w:r>
    </w:p>
  </w:footnote>
  <w:footnote w:id="10">
    <w:p w:rsidR="008609CD" w14:paraId="1DBB5937" w14:textId="7146173E">
      <w:pPr>
        <w:pStyle w:val="FootnoteText"/>
      </w:pPr>
      <w:r>
        <w:rPr>
          <w:rStyle w:val="FootnoteReference"/>
        </w:rPr>
        <w:footnoteRef/>
      </w:r>
      <w:r>
        <w:t xml:space="preserve"> </w:t>
      </w:r>
      <w:r w:rsidRPr="008E670F">
        <w:rPr>
          <w:i/>
        </w:rPr>
        <w:t>Alaska Plan Order</w:t>
      </w:r>
      <w:r>
        <w:rPr>
          <w:iCs/>
        </w:rPr>
        <w:t xml:space="preserve">, 31 FCC </w:t>
      </w:r>
      <w:r>
        <w:rPr>
          <w:iCs/>
        </w:rPr>
        <w:t>Rcd</w:t>
      </w:r>
      <w:r>
        <w:rPr>
          <w:i/>
        </w:rPr>
        <w:t>.</w:t>
      </w:r>
      <w:r w:rsidRPr="008E670F">
        <w:t xml:space="preserve"> </w:t>
      </w:r>
      <w:r>
        <w:t>at</w:t>
      </w:r>
      <w:r w:rsidRPr="008E670F">
        <w:t xml:space="preserve"> </w:t>
      </w:r>
      <w:r>
        <w:t>10173</w:t>
      </w:r>
      <w:r w:rsidRPr="008E670F">
        <w:t xml:space="preserve">, para. </w:t>
      </w:r>
      <w:r>
        <w:t>103.</w:t>
      </w:r>
    </w:p>
  </w:footnote>
  <w:footnote w:id="11">
    <w:p w:rsidR="008609CD" w:rsidP="00215BEA" w14:paraId="22A38A23" w14:textId="77777777">
      <w:pPr>
        <w:pStyle w:val="FootnoteText"/>
      </w:pPr>
      <w:r>
        <w:rPr>
          <w:rStyle w:val="FootnoteReference"/>
        </w:rPr>
        <w:footnoteRef/>
      </w:r>
      <w:r>
        <w:t xml:space="preserve"> </w:t>
      </w:r>
      <w:r w:rsidRPr="008E670F">
        <w:rPr>
          <w:i/>
        </w:rPr>
        <w:t>Alaska Plan Order</w:t>
      </w:r>
      <w:r>
        <w:t xml:space="preserve">, </w:t>
      </w:r>
      <w:r w:rsidRPr="008E670F">
        <w:t xml:space="preserve">31 FCC </w:t>
      </w:r>
      <w:r w:rsidRPr="008E670F">
        <w:t>Rcd</w:t>
      </w:r>
      <w:r w:rsidRPr="008E670F">
        <w:t xml:space="preserve"> </w:t>
      </w:r>
      <w:r>
        <w:t>at</w:t>
      </w:r>
      <w:r w:rsidRPr="008E670F">
        <w:t xml:space="preserve"> 101</w:t>
      </w:r>
      <w:r>
        <w:t>66, para. 85.</w:t>
      </w:r>
    </w:p>
  </w:footnote>
  <w:footnote w:id="12">
    <w:p w:rsidR="008609CD" w14:paraId="7609EBBA" w14:textId="6622E831">
      <w:pPr>
        <w:pStyle w:val="FootnoteText"/>
      </w:pPr>
      <w:r>
        <w:rPr>
          <w:rStyle w:val="FootnoteReference"/>
        </w:rPr>
        <w:footnoteRef/>
      </w:r>
      <w:r>
        <w:t xml:space="preserve"> </w:t>
      </w:r>
      <w:r w:rsidRPr="00004EA4" w:rsidR="00FE58A3">
        <w:rPr>
          <w:i/>
          <w:iCs/>
        </w:rPr>
        <w:t>Wireless Telecommunications Bureau Seeks Comment on Population Distribution Model and Eligible Census Block List to be Applied in the Alaska Plan</w:t>
      </w:r>
      <w:r w:rsidR="00FE58A3">
        <w:t xml:space="preserve">, WC Docket No. 16-271, Public Notice, 35 FCC </w:t>
      </w:r>
      <w:r w:rsidR="00FE58A3">
        <w:t>Rcd</w:t>
      </w:r>
      <w:r w:rsidR="00FE58A3">
        <w:t xml:space="preserve"> 1520 (WTB 2020) (</w:t>
      </w:r>
      <w:r w:rsidRPr="00445C00" w:rsidR="00FE58A3">
        <w:rPr>
          <w:i/>
          <w:iCs/>
        </w:rPr>
        <w:t>Alaska Pop</w:t>
      </w:r>
      <w:r w:rsidR="00FE58A3">
        <w:rPr>
          <w:i/>
          <w:iCs/>
        </w:rPr>
        <w:t>ulation</w:t>
      </w:r>
      <w:r w:rsidRPr="00445C00" w:rsidR="00FE58A3">
        <w:rPr>
          <w:i/>
          <w:iCs/>
        </w:rPr>
        <w:t xml:space="preserve"> Model P</w:t>
      </w:r>
      <w:r w:rsidR="00FE58A3">
        <w:rPr>
          <w:i/>
          <w:iCs/>
        </w:rPr>
        <w:t xml:space="preserve">ublic </w:t>
      </w:r>
      <w:r w:rsidRPr="00445C00" w:rsidR="00FE58A3">
        <w:rPr>
          <w:i/>
          <w:iCs/>
        </w:rPr>
        <w:t>N</w:t>
      </w:r>
      <w:r w:rsidR="00FE58A3">
        <w:rPr>
          <w:i/>
          <w:iCs/>
        </w:rPr>
        <w:t>otice</w:t>
      </w:r>
      <w:r w:rsidR="00FE58A3">
        <w:t xml:space="preserve">).  Comments and reply comments to the </w:t>
      </w:r>
      <w:r w:rsidRPr="00445C00" w:rsidR="00FE58A3">
        <w:rPr>
          <w:i/>
          <w:iCs/>
        </w:rPr>
        <w:t>Alaska Pop</w:t>
      </w:r>
      <w:r w:rsidR="00FE58A3">
        <w:rPr>
          <w:i/>
          <w:iCs/>
        </w:rPr>
        <w:t>ulation</w:t>
      </w:r>
      <w:r w:rsidRPr="00445C00" w:rsidR="00FE58A3">
        <w:rPr>
          <w:i/>
          <w:iCs/>
        </w:rPr>
        <w:t xml:space="preserve"> Model P</w:t>
      </w:r>
      <w:r w:rsidR="00FE58A3">
        <w:rPr>
          <w:i/>
          <w:iCs/>
        </w:rPr>
        <w:t xml:space="preserve">ublic </w:t>
      </w:r>
      <w:r w:rsidRPr="00445C00" w:rsidR="00FE58A3">
        <w:rPr>
          <w:i/>
          <w:iCs/>
        </w:rPr>
        <w:t>N</w:t>
      </w:r>
      <w:r w:rsidR="00FE58A3">
        <w:rPr>
          <w:i/>
          <w:iCs/>
        </w:rPr>
        <w:t>otice</w:t>
      </w:r>
      <w:r w:rsidR="00FE58A3">
        <w:t xml:space="preserve"> were initially due March 26, 2020 and April 10, 2020, respectively.  The Bureau extended the deadlines to April 7, 2020 and April 17, 2020, respectively, in response to Alaska Telecom Association’s (ATA’s) motion for extension of time due to COVID-19.  </w:t>
      </w:r>
      <w:r w:rsidRPr="00FD1678" w:rsidR="00FE58A3">
        <w:rPr>
          <w:i/>
          <w:iCs/>
        </w:rPr>
        <w:t>Wireless Telecommunications Bureau Extends Comment Deadlines for Alaska Plan Population Distribution Methodology</w:t>
      </w:r>
      <w:r w:rsidR="00FE58A3">
        <w:t>, WC Docket No. 16-271, Public Notice, DA 20-341 (WTB rel. Mar. 26, 2020).</w:t>
      </w:r>
    </w:p>
  </w:footnote>
  <w:footnote w:id="13">
    <w:p w:rsidR="008609CD" w14:paraId="53CC1A7A" w14:textId="07079F48">
      <w:pPr>
        <w:pStyle w:val="FootnoteText"/>
      </w:pPr>
      <w:r>
        <w:rPr>
          <w:rStyle w:val="FootnoteReference"/>
        </w:rPr>
        <w:footnoteRef/>
      </w:r>
      <w:r>
        <w:t xml:space="preserve"> </w:t>
      </w:r>
      <w:r w:rsidRPr="00445C00">
        <w:rPr>
          <w:i/>
          <w:iCs/>
        </w:rPr>
        <w:t>Alaska Pop</w:t>
      </w:r>
      <w:r>
        <w:rPr>
          <w:i/>
          <w:iCs/>
        </w:rPr>
        <w:t>ulation</w:t>
      </w:r>
      <w:r w:rsidRPr="00445C00">
        <w:rPr>
          <w:i/>
          <w:iCs/>
        </w:rPr>
        <w:t xml:space="preserve"> Model P</w:t>
      </w:r>
      <w:r>
        <w:rPr>
          <w:i/>
          <w:iCs/>
        </w:rPr>
        <w:t xml:space="preserve">ublic </w:t>
      </w:r>
      <w:r w:rsidRPr="00445C00">
        <w:rPr>
          <w:i/>
          <w:iCs/>
        </w:rPr>
        <w:t>N</w:t>
      </w:r>
      <w:r>
        <w:rPr>
          <w:i/>
          <w:iCs/>
        </w:rPr>
        <w:t>otice</w:t>
      </w:r>
      <w:r>
        <w:t xml:space="preserve">, 35 FCC </w:t>
      </w:r>
      <w:r>
        <w:t>Rcd</w:t>
      </w:r>
      <w:r>
        <w:t xml:space="preserve"> at 1523, para. 9.</w:t>
      </w:r>
    </w:p>
  </w:footnote>
  <w:footnote w:id="14">
    <w:p w:rsidR="008609CD" w:rsidRPr="00000483" w14:paraId="446DF059" w14:textId="05A4D8E2">
      <w:pPr>
        <w:pStyle w:val="FootnoteText"/>
      </w:pPr>
      <w:r>
        <w:rPr>
          <w:rStyle w:val="FootnoteReference"/>
        </w:rPr>
        <w:footnoteRef/>
      </w:r>
      <w:r>
        <w:t xml:space="preserve"> </w:t>
      </w:r>
      <w:bookmarkStart w:id="3" w:name="_Hlk43112305"/>
      <w:r w:rsidRPr="00445C00">
        <w:rPr>
          <w:i/>
          <w:iCs/>
        </w:rPr>
        <w:t>Alaska Pop</w:t>
      </w:r>
      <w:r>
        <w:rPr>
          <w:i/>
          <w:iCs/>
        </w:rPr>
        <w:t>ulation</w:t>
      </w:r>
      <w:r w:rsidRPr="00445C00">
        <w:rPr>
          <w:i/>
          <w:iCs/>
        </w:rPr>
        <w:t xml:space="preserve"> Model P</w:t>
      </w:r>
      <w:r>
        <w:rPr>
          <w:i/>
          <w:iCs/>
        </w:rPr>
        <w:t xml:space="preserve">ublic </w:t>
      </w:r>
      <w:r w:rsidRPr="00445C00">
        <w:rPr>
          <w:i/>
          <w:iCs/>
        </w:rPr>
        <w:t>N</w:t>
      </w:r>
      <w:r>
        <w:rPr>
          <w:i/>
          <w:iCs/>
        </w:rPr>
        <w:t>otice</w:t>
      </w:r>
      <w:bookmarkEnd w:id="3"/>
      <w:r>
        <w:t xml:space="preserve">, 35 FCC </w:t>
      </w:r>
      <w:r>
        <w:t>Rcd</w:t>
      </w:r>
      <w:r>
        <w:t xml:space="preserve"> at 1521-22, para. 5.  </w:t>
      </w:r>
    </w:p>
  </w:footnote>
  <w:footnote w:id="15">
    <w:p w:rsidR="008609CD" w14:paraId="32E9DB70" w14:textId="386F629F">
      <w:pPr>
        <w:pStyle w:val="FootnoteText"/>
      </w:pPr>
      <w:r>
        <w:rPr>
          <w:rStyle w:val="FootnoteReference"/>
        </w:rPr>
        <w:footnoteRef/>
      </w:r>
      <w:r>
        <w:t xml:space="preserve"> TIGER stands for Topologically Integrated Geographic Encoding and Referencing.  These are geospatial data that the U.S. Census Bureau uses to describe land attributes, such as roads, railroads, landmarks, lakes, and rivers, and boundaries, such as counties, census tracts, and census blocks.  </w:t>
      </w:r>
      <w:r w:rsidRPr="00C43124">
        <w:rPr>
          <w:i/>
        </w:rPr>
        <w:t>See</w:t>
      </w:r>
      <w:r>
        <w:t xml:space="preserve"> U.S. </w:t>
      </w:r>
      <w:r w:rsidRPr="00610AE7">
        <w:t>Census</w:t>
      </w:r>
      <w:r>
        <w:t xml:space="preserve"> Bureau</w:t>
      </w:r>
      <w:r w:rsidRPr="00610AE7">
        <w:t xml:space="preserve">, </w:t>
      </w:r>
      <w:r>
        <w:t xml:space="preserve">TIGER/Line Shapefiles 2010, at 1-1 (2012), </w:t>
      </w:r>
      <w:hyperlink r:id="rId1" w:history="1">
        <w:r>
          <w:rPr>
            <w:rStyle w:val="Hyperlink"/>
          </w:rPr>
          <w:t>https://www2.census.gov/geo/pdfs/maps-data/data/tiger/tgrshp2010/TGRSHP10SF1.pdf</w:t>
        </w:r>
      </w:hyperlink>
      <w:r>
        <w:t xml:space="preserve">.  </w:t>
      </w:r>
    </w:p>
  </w:footnote>
  <w:footnote w:id="16">
    <w:p w:rsidR="008609CD" w14:paraId="17C72C16" w14:textId="025EA792">
      <w:pPr>
        <w:pStyle w:val="FootnoteText"/>
      </w:pPr>
      <w:r>
        <w:rPr>
          <w:rStyle w:val="FootnoteReference"/>
        </w:rPr>
        <w:footnoteRef/>
      </w:r>
      <w:r>
        <w:t xml:space="preserve"> The proposed methodology</w:t>
      </w:r>
      <w:r w:rsidRPr="00324D06">
        <w:t xml:space="preserve"> </w:t>
      </w:r>
      <w:r>
        <w:t xml:space="preserve">excludes </w:t>
      </w:r>
      <w:r w:rsidRPr="00324D06">
        <w:t>certain minor routes</w:t>
      </w:r>
      <w:r>
        <w:t xml:space="preserve"> </w:t>
      </w:r>
      <w:r w:rsidRPr="00324D06">
        <w:t>less likely to predict the location of a residence (</w:t>
      </w:r>
      <w:r>
        <w:t xml:space="preserve">e.g., </w:t>
      </w:r>
      <w:r w:rsidRPr="00324D06">
        <w:t>unnamed roads, roads marked as “trails” and passable only by 4WD vehicles, and pedestrian trails).</w:t>
      </w:r>
      <w:r>
        <w:t xml:space="preserve">  Specifically, it excludes roads coded as S1500, S17010, S1750, S1820, and S1830 in the 2019 TIGER/Line Shapefiles.  </w:t>
      </w:r>
      <w:r w:rsidRPr="00445C00">
        <w:rPr>
          <w:i/>
          <w:iCs/>
        </w:rPr>
        <w:t>Alaska Pop</w:t>
      </w:r>
      <w:r>
        <w:rPr>
          <w:i/>
          <w:iCs/>
        </w:rPr>
        <w:t>ulation</w:t>
      </w:r>
      <w:r w:rsidRPr="00445C00">
        <w:rPr>
          <w:i/>
          <w:iCs/>
        </w:rPr>
        <w:t xml:space="preserve"> Model P</w:t>
      </w:r>
      <w:r>
        <w:rPr>
          <w:i/>
          <w:iCs/>
        </w:rPr>
        <w:t xml:space="preserve">ublic </w:t>
      </w:r>
      <w:r w:rsidRPr="00445C00">
        <w:rPr>
          <w:i/>
          <w:iCs/>
        </w:rPr>
        <w:t>N</w:t>
      </w:r>
      <w:r>
        <w:rPr>
          <w:i/>
          <w:iCs/>
        </w:rPr>
        <w:t>otice</w:t>
      </w:r>
      <w:r>
        <w:t xml:space="preserve">, 35 FCC </w:t>
      </w:r>
      <w:r>
        <w:t>Rcd</w:t>
      </w:r>
      <w:r>
        <w:t xml:space="preserve"> at 1521-22, para. 5.  </w:t>
      </w:r>
      <w:r w:rsidRPr="00FE5425">
        <w:t xml:space="preserve">Large areas of Alaska are uninhabited but have highways running through </w:t>
      </w:r>
      <w:r w:rsidR="00270C0F">
        <w:t xml:space="preserve">them, </w:t>
      </w:r>
      <w:r w:rsidRPr="00FE5425">
        <w:t xml:space="preserve">and many villages are unconnected to each other by highways or major roads.  </w:t>
      </w:r>
      <w:r>
        <w:rPr>
          <w:i/>
          <w:iCs/>
        </w:rPr>
        <w:t xml:space="preserve">See </w:t>
      </w:r>
      <w:r w:rsidRPr="00BA2C65">
        <w:t xml:space="preserve">GCI Nov. 29, 2016 </w:t>
      </w:r>
      <w:r w:rsidRPr="009E358A">
        <w:rPr>
          <w:i/>
          <w:iCs/>
        </w:rPr>
        <w:t xml:space="preserve">Ex </w:t>
      </w:r>
      <w:r w:rsidRPr="009E358A">
        <w:rPr>
          <w:i/>
          <w:iCs/>
        </w:rPr>
        <w:t>Parte</w:t>
      </w:r>
      <w:r>
        <w:t xml:space="preserve"> at 2.</w:t>
      </w:r>
    </w:p>
  </w:footnote>
  <w:footnote w:id="17">
    <w:p w:rsidR="008609CD" w:rsidRPr="009E358A" w:rsidP="00DD3407" w14:paraId="3D3AFB2A" w14:textId="151AAD02">
      <w:pPr>
        <w:pStyle w:val="FootnoteText"/>
        <w:rPr>
          <w:i/>
          <w:iCs/>
        </w:rPr>
      </w:pPr>
      <w:r>
        <w:rPr>
          <w:rStyle w:val="FootnoteReference"/>
        </w:rPr>
        <w:footnoteRef/>
      </w:r>
      <w:r>
        <w:t xml:space="preserve"> </w:t>
      </w:r>
      <w:bookmarkStart w:id="4" w:name="_Hlk41045508"/>
      <w:r>
        <w:t xml:space="preserve">The complete list of excluded land areas (i.e., areas where people are unlikely to reside) are areas designated as Bureau of Land Management, Major Military, National Forest Service, National </w:t>
      </w:r>
      <w:r w:rsidRPr="001530E3">
        <w:t>Park</w:t>
      </w:r>
      <w:r>
        <w:t xml:space="preserve"> Service</w:t>
      </w:r>
      <w:r w:rsidRPr="001530E3">
        <w:t xml:space="preserve">, National Wildlife Refuge, State, </w:t>
      </w:r>
      <w:r>
        <w:t xml:space="preserve">and </w:t>
      </w:r>
      <w:r w:rsidRPr="001530E3">
        <w:t xml:space="preserve">Wild and Scenic Rivers. </w:t>
      </w:r>
      <w:bookmarkEnd w:id="4"/>
      <w:r>
        <w:t xml:space="preserve"> If an area is modeled to have a population due to its proximity to a road, but is categorized as being within one of these </w:t>
      </w:r>
      <w:r w:rsidR="007D0D10">
        <w:t>designated areas</w:t>
      </w:r>
      <w:r>
        <w:t xml:space="preserve">, that specific area would be </w:t>
      </w:r>
      <w:r w:rsidR="001F4286">
        <w:t>removed from</w:t>
      </w:r>
      <w:r>
        <w:t xml:space="preserve"> the rest of the modeled populated area.  </w:t>
      </w:r>
    </w:p>
  </w:footnote>
  <w:footnote w:id="18">
    <w:p w:rsidR="008609CD" w:rsidP="005F07A9" w14:paraId="7B5CB18A" w14:textId="24045EF4">
      <w:pPr>
        <w:pStyle w:val="FootnoteText"/>
      </w:pPr>
      <w:r>
        <w:rPr>
          <w:rStyle w:val="FootnoteReference"/>
        </w:rPr>
        <w:footnoteRef/>
      </w:r>
      <w:r>
        <w:t xml:space="preserve"> </w:t>
      </w:r>
      <w:r w:rsidRPr="00445C00" w:rsidR="00073B35">
        <w:rPr>
          <w:i/>
          <w:iCs/>
        </w:rPr>
        <w:t>Alaska Pop</w:t>
      </w:r>
      <w:r w:rsidR="00073B35">
        <w:rPr>
          <w:i/>
          <w:iCs/>
        </w:rPr>
        <w:t>ulation</w:t>
      </w:r>
      <w:r w:rsidRPr="00445C00" w:rsidR="00073B35">
        <w:rPr>
          <w:i/>
          <w:iCs/>
        </w:rPr>
        <w:t xml:space="preserve"> Model P</w:t>
      </w:r>
      <w:r w:rsidR="00073B35">
        <w:rPr>
          <w:i/>
          <w:iCs/>
        </w:rPr>
        <w:t xml:space="preserve">ublic </w:t>
      </w:r>
      <w:r w:rsidRPr="00445C00" w:rsidR="00073B35">
        <w:rPr>
          <w:i/>
          <w:iCs/>
        </w:rPr>
        <w:t>N</w:t>
      </w:r>
      <w:r w:rsidR="00073B35">
        <w:rPr>
          <w:i/>
          <w:iCs/>
        </w:rPr>
        <w:t>otice</w:t>
      </w:r>
      <w:r w:rsidR="00073B35">
        <w:t xml:space="preserve">, 35 FCC </w:t>
      </w:r>
      <w:r w:rsidR="00073B35">
        <w:t>Rcd</w:t>
      </w:r>
      <w:r w:rsidR="00073B35">
        <w:t xml:space="preserve"> at 152</w:t>
      </w:r>
      <w:r w:rsidR="00DD52AC">
        <w:t>2</w:t>
      </w:r>
      <w:r w:rsidR="00073B35">
        <w:t xml:space="preserve">, para. </w:t>
      </w:r>
      <w:r w:rsidR="00DD52AC">
        <w:t>7</w:t>
      </w:r>
      <w:r>
        <w:rPr>
          <w:i/>
          <w:iCs/>
        </w:rPr>
        <w:t>.</w:t>
      </w:r>
      <w:r>
        <w:t xml:space="preserve"> </w:t>
      </w:r>
      <w:r w:rsidR="00F00CC2">
        <w:t xml:space="preserve"> </w:t>
      </w:r>
    </w:p>
  </w:footnote>
  <w:footnote w:id="19">
    <w:p w:rsidR="008609CD" w:rsidRPr="00A029A2" w:rsidP="00010508" w14:paraId="24308702" w14:textId="21682A19">
      <w:pPr>
        <w:pStyle w:val="FootnoteText"/>
      </w:pPr>
      <w:r>
        <w:rPr>
          <w:rStyle w:val="FootnoteReference"/>
        </w:rPr>
        <w:footnoteRef/>
      </w:r>
      <w:r w:rsidRPr="00EF1836">
        <w:t xml:space="preserve"> </w:t>
      </w:r>
      <w:r w:rsidR="00DD52AC">
        <w:rPr>
          <w:i/>
          <w:iCs/>
        </w:rPr>
        <w:t>Id</w:t>
      </w:r>
      <w:r w:rsidRPr="00010508">
        <w:t>.</w:t>
      </w:r>
      <w:r>
        <w:t xml:space="preserve"> </w:t>
      </w:r>
      <w:r w:rsidR="00F00CC2">
        <w:t>at 1522-23, paras. 7, 9</w:t>
      </w:r>
      <w:r>
        <w:t xml:space="preserve"> </w:t>
      </w:r>
    </w:p>
  </w:footnote>
  <w:footnote w:id="20">
    <w:p w:rsidR="008609CD" w:rsidRPr="002141A0" w:rsidP="00765C07" w14:paraId="0BBD0CD4" w14:textId="76ED0659">
      <w:pPr>
        <w:pStyle w:val="FootnoteText"/>
      </w:pPr>
      <w:r>
        <w:rPr>
          <w:rStyle w:val="FootnoteReference"/>
        </w:rPr>
        <w:footnoteRef/>
      </w:r>
      <w:r>
        <w:t xml:space="preserve"> </w:t>
      </w:r>
      <w:r w:rsidRPr="00445C00">
        <w:rPr>
          <w:i/>
          <w:iCs/>
        </w:rPr>
        <w:t>Alaska Pop</w:t>
      </w:r>
      <w:r>
        <w:rPr>
          <w:i/>
          <w:iCs/>
        </w:rPr>
        <w:t>ulation</w:t>
      </w:r>
      <w:r w:rsidRPr="00445C00">
        <w:rPr>
          <w:i/>
          <w:iCs/>
        </w:rPr>
        <w:t xml:space="preserve"> Model P</w:t>
      </w:r>
      <w:r>
        <w:rPr>
          <w:i/>
          <w:iCs/>
        </w:rPr>
        <w:t xml:space="preserve">ublic </w:t>
      </w:r>
      <w:r w:rsidRPr="00445C00">
        <w:rPr>
          <w:i/>
          <w:iCs/>
        </w:rPr>
        <w:t>N</w:t>
      </w:r>
      <w:r>
        <w:rPr>
          <w:i/>
          <w:iCs/>
        </w:rPr>
        <w:t>otice</w:t>
      </w:r>
      <w:r>
        <w:t xml:space="preserve">, 35 FCC </w:t>
      </w:r>
      <w:r>
        <w:t>Rcd</w:t>
      </w:r>
      <w:r>
        <w:t xml:space="preserve"> at 1523-24, para. 11, citing </w:t>
      </w:r>
      <w:r w:rsidRPr="00DA1307">
        <w:rPr>
          <w:i/>
          <w:iCs/>
        </w:rPr>
        <w:t>Establishing the</w:t>
      </w:r>
      <w:r w:rsidRPr="001F72F6">
        <w:rPr>
          <w:i/>
        </w:rPr>
        <w:t xml:space="preserve"> </w:t>
      </w:r>
      <w:r w:rsidRPr="00DA1307">
        <w:rPr>
          <w:i/>
          <w:iCs/>
        </w:rPr>
        <w:t>Digital Opportunity Data Collection; Modernizing the FCC Form 477 Data Program</w:t>
      </w:r>
      <w:r w:rsidRPr="00DA1307">
        <w:t>, WC Docket Nos. 19-195, 11-10, Report and</w:t>
      </w:r>
      <w:r w:rsidRPr="001F72F6">
        <w:t xml:space="preserve"> Order</w:t>
      </w:r>
      <w:r w:rsidRPr="00DA1307">
        <w:t xml:space="preserve"> and Second Further Notice of Proposed Rulemaking, 34 FCC </w:t>
      </w:r>
      <w:r w:rsidRPr="00DA1307">
        <w:t>Rcd</w:t>
      </w:r>
      <w:r w:rsidRPr="00DA1307">
        <w:t xml:space="preserve"> 7505, 75</w:t>
      </w:r>
      <w:r>
        <w:t>45-49</w:t>
      </w:r>
      <w:r w:rsidRPr="00DA1307">
        <w:t>, para</w:t>
      </w:r>
      <w:r>
        <w:t>s</w:t>
      </w:r>
      <w:r w:rsidRPr="00DA1307">
        <w:t xml:space="preserve">. </w:t>
      </w:r>
      <w:r>
        <w:t>99-111</w:t>
      </w:r>
      <w:r w:rsidRPr="00DA1307">
        <w:t xml:space="preserve"> (2019)</w:t>
      </w:r>
      <w:r>
        <w:t xml:space="preserve"> (</w:t>
      </w:r>
      <w:r w:rsidRPr="006C7B27">
        <w:rPr>
          <w:rFonts w:ascii="TimesNewRomanPS-ItalicMT" w:hAnsi="TimesNewRomanPS-ItalicMT" w:cs="TimesNewRomanPS-ItalicMT"/>
          <w:i/>
          <w:iCs/>
        </w:rPr>
        <w:t>Digital Opportunity Data Collection Order</w:t>
      </w:r>
      <w:r>
        <w:rPr>
          <w:rFonts w:ascii="TimesNewRomanPS-ItalicMT" w:hAnsi="TimesNewRomanPS-ItalicMT" w:cs="TimesNewRomanPS-ItalicMT"/>
        </w:rPr>
        <w:t>)</w:t>
      </w:r>
      <w:r>
        <w:t xml:space="preserve">.  </w:t>
      </w:r>
      <w:r w:rsidRPr="00146CFB">
        <w:t xml:space="preserve">The Commission </w:t>
      </w:r>
      <w:r>
        <w:t xml:space="preserve">had </w:t>
      </w:r>
      <w:r w:rsidRPr="00146CFB">
        <w:t>proposed</w:t>
      </w:r>
      <w:r>
        <w:t xml:space="preserve"> in the </w:t>
      </w:r>
      <w:r w:rsidRPr="0006118D">
        <w:rPr>
          <w:i/>
          <w:iCs/>
        </w:rPr>
        <w:t>Digital Opportunity Data Collection Order</w:t>
      </w:r>
      <w:r w:rsidRPr="00EF1836">
        <w:rPr>
          <w:i/>
        </w:rPr>
        <w:t xml:space="preserve"> </w:t>
      </w:r>
      <w:r w:rsidRPr="00146CFB">
        <w:t>to create and integrate a tool into the Digital Opportunity Data Collection that maps broadband-serviceable locations (e.g., houses, businesses, structures</w:t>
      </w:r>
      <w:r w:rsidRPr="002141A0">
        <w:t xml:space="preserve">), and sought comment on what kinds of locations should be included as broadband-serviceable.  </w:t>
      </w:r>
      <w:r w:rsidRPr="00184115">
        <w:rPr>
          <w:i/>
          <w:iCs/>
        </w:rPr>
        <w:t>Digital Opportunity Data Collection Order</w:t>
      </w:r>
      <w:r w:rsidRPr="00184115">
        <w:t xml:space="preserve">, 34 FCC </w:t>
      </w:r>
      <w:r w:rsidRPr="00184115">
        <w:t>Rcd</w:t>
      </w:r>
      <w:r w:rsidRPr="00184115">
        <w:t xml:space="preserve"> at 7545-49, paras. 99-111; </w:t>
      </w:r>
      <w:r w:rsidRPr="00184115">
        <w:rPr>
          <w:i/>
          <w:iCs/>
        </w:rPr>
        <w:t>see also Establishing the Digital Opportunity Data Collection; Modernizing the FCC Form 477 Data Program</w:t>
      </w:r>
      <w:r w:rsidRPr="00184115">
        <w:t>, WC Docket Nos. 19-195, 11-10, Second Report and Order and Third Further Notice of Proposed Rulemaking, FCC 20-94 (rel. Jul. 17, 2020).</w:t>
      </w:r>
    </w:p>
  </w:footnote>
  <w:footnote w:id="21">
    <w:p w:rsidR="008609CD" w14:paraId="681B0C1E" w14:textId="56BB7042">
      <w:pPr>
        <w:pStyle w:val="FootnoteText"/>
      </w:pPr>
      <w:r>
        <w:rPr>
          <w:rStyle w:val="FootnoteReference"/>
        </w:rPr>
        <w:footnoteRef/>
      </w:r>
      <w:r>
        <w:t xml:space="preserve"> </w:t>
      </w:r>
      <w:r w:rsidRPr="00445C00">
        <w:rPr>
          <w:i/>
          <w:iCs/>
        </w:rPr>
        <w:t>Alaska Pop</w:t>
      </w:r>
      <w:r>
        <w:rPr>
          <w:i/>
          <w:iCs/>
        </w:rPr>
        <w:t>ulation</w:t>
      </w:r>
      <w:r w:rsidRPr="00445C00">
        <w:rPr>
          <w:i/>
          <w:iCs/>
        </w:rPr>
        <w:t xml:space="preserve"> Model P</w:t>
      </w:r>
      <w:r>
        <w:rPr>
          <w:i/>
          <w:iCs/>
        </w:rPr>
        <w:t xml:space="preserve">ublic </w:t>
      </w:r>
      <w:r w:rsidRPr="00445C00">
        <w:rPr>
          <w:i/>
          <w:iCs/>
        </w:rPr>
        <w:t>N</w:t>
      </w:r>
      <w:r>
        <w:rPr>
          <w:i/>
          <w:iCs/>
        </w:rPr>
        <w:t>otice</w:t>
      </w:r>
      <w:r>
        <w:t xml:space="preserve">, 35 FCC </w:t>
      </w:r>
      <w:r>
        <w:t>Rcd</w:t>
      </w:r>
      <w:r>
        <w:t xml:space="preserve"> at 1524, para. 12.</w:t>
      </w:r>
      <w:r w:rsidR="009D0590">
        <w:t xml:space="preserve">  </w:t>
      </w:r>
      <w:r w:rsidR="00750701">
        <w:t xml:space="preserve">The Bureau did not seek comment on </w:t>
      </w:r>
      <w:r w:rsidRPr="009D0590" w:rsidR="009D0590">
        <w:t>GCI</w:t>
      </w:r>
      <w:r w:rsidR="00750701">
        <w:t>’s</w:t>
      </w:r>
      <w:r w:rsidRPr="009D0590" w:rsidR="009D0590">
        <w:t xml:space="preserve"> </w:t>
      </w:r>
      <w:r w:rsidR="009D0590">
        <w:t>assert</w:t>
      </w:r>
      <w:r w:rsidR="00750701">
        <w:t>ion</w:t>
      </w:r>
      <w:r w:rsidR="009D0590">
        <w:t xml:space="preserve"> that a subset of its list of frozen-support eligible blocks </w:t>
      </w:r>
      <w:r w:rsidRPr="009D0590" w:rsidR="009D0590">
        <w:t xml:space="preserve">also </w:t>
      </w:r>
      <w:r w:rsidR="009D0590">
        <w:t xml:space="preserve">is </w:t>
      </w:r>
      <w:r w:rsidRPr="009D0590" w:rsidR="009D0590">
        <w:t xml:space="preserve">eligible for funding from the unserved-areas reverse auction. </w:t>
      </w:r>
      <w:r w:rsidR="00750701">
        <w:t xml:space="preserve"> </w:t>
      </w:r>
      <w:r w:rsidRPr="0008022E" w:rsidR="00750701">
        <w:rPr>
          <w:i/>
          <w:iCs/>
        </w:rPr>
        <w:t>Alaska Population Model Public Notice</w:t>
      </w:r>
      <w:r w:rsidRPr="009D0590" w:rsidR="00750701">
        <w:t xml:space="preserve">, 35 FCC </w:t>
      </w:r>
      <w:r w:rsidRPr="009D0590" w:rsidR="00750701">
        <w:t>Rcd</w:t>
      </w:r>
      <w:r w:rsidRPr="009D0590" w:rsidR="00750701">
        <w:t xml:space="preserve"> at 1524, para. 12.</w:t>
      </w:r>
      <w:r w:rsidRPr="009D0590" w:rsidR="009D0590">
        <w:t xml:space="preserve"> </w:t>
      </w:r>
      <w:r w:rsidR="00750701">
        <w:t xml:space="preserve"> </w:t>
      </w:r>
      <w:r w:rsidRPr="003B4E6F" w:rsidR="009D0590">
        <w:rPr>
          <w:i/>
          <w:iCs/>
        </w:rPr>
        <w:t>See</w:t>
      </w:r>
      <w:r w:rsidR="00750701">
        <w:rPr>
          <w:i/>
          <w:iCs/>
        </w:rPr>
        <w:t xml:space="preserve"> also</w:t>
      </w:r>
      <w:r w:rsidRPr="009D0590" w:rsidR="009D0590">
        <w:t xml:space="preserve"> </w:t>
      </w:r>
      <w:r w:rsidR="003D4A8F">
        <w:t xml:space="preserve">Letter from Julie A. </w:t>
      </w:r>
      <w:r w:rsidR="003D4A8F">
        <w:t>Veach</w:t>
      </w:r>
      <w:r w:rsidR="003D4A8F">
        <w:t xml:space="preserve">, Counsel, GCI, to Marlene H. Dortch, Secretary, FCC, WC Docket No. 16-271, at 1 (filed Nov. 29, 2016) (GCI Nov. 29, 2016 </w:t>
      </w:r>
      <w:r w:rsidRPr="003B4E6F" w:rsidR="003D4A8F">
        <w:rPr>
          <w:i/>
        </w:rPr>
        <w:t xml:space="preserve">Ex </w:t>
      </w:r>
      <w:r w:rsidRPr="003B4E6F" w:rsidR="003D4A8F">
        <w:rPr>
          <w:i/>
        </w:rPr>
        <w:t>Parte</w:t>
      </w:r>
      <w:r w:rsidR="003D4A8F">
        <w:t xml:space="preserve">).  </w:t>
      </w:r>
    </w:p>
  </w:footnote>
  <w:footnote w:id="22">
    <w:p w:rsidR="008609CD" w:rsidP="000A4889" w14:paraId="5B6DFC6E" w14:textId="33264459">
      <w:pPr>
        <w:pStyle w:val="FootnoteText"/>
      </w:pPr>
      <w:r>
        <w:rPr>
          <w:rStyle w:val="FootnoteReference"/>
        </w:rPr>
        <w:footnoteRef/>
      </w:r>
      <w:r>
        <w:t xml:space="preserve"> We use the same 2010 population census data throughout the life of the Alaska Plan to control for the number of people </w:t>
      </w:r>
      <w:r w:rsidR="00E76FEA">
        <w:t xml:space="preserve">that a mobile provider </w:t>
      </w:r>
      <w:r>
        <w:t>committed to be covered over the life of the Alaska Plan.  Otherwise, mobile providers would be subject to population changes that they cannot control for in their population-covered commitments.</w:t>
      </w:r>
    </w:p>
  </w:footnote>
  <w:footnote w:id="23">
    <w:p w:rsidR="008609CD" w14:paraId="50189EB1" w14:textId="32613EF9">
      <w:pPr>
        <w:pStyle w:val="FootnoteText"/>
      </w:pPr>
      <w:r>
        <w:rPr>
          <w:rStyle w:val="FootnoteReference"/>
        </w:rPr>
        <w:footnoteRef/>
      </w:r>
      <w:r>
        <w:t xml:space="preserve"> ATA Comments at 1.</w:t>
      </w:r>
    </w:p>
  </w:footnote>
  <w:footnote w:id="24">
    <w:p w:rsidR="008609CD" w14:paraId="47CF765D" w14:textId="5FE166D1">
      <w:pPr>
        <w:pStyle w:val="FootnoteText"/>
      </w:pPr>
      <w:r>
        <w:rPr>
          <w:rStyle w:val="FootnoteReference"/>
        </w:rPr>
        <w:footnoteRef/>
      </w:r>
      <w:r>
        <w:t xml:space="preserve"> ATA Comments at 3.  </w:t>
      </w:r>
    </w:p>
  </w:footnote>
  <w:footnote w:id="25">
    <w:p w:rsidR="008609CD" w:rsidP="008C40D8" w14:paraId="6FFDDC3E" w14:textId="6FCE87F7">
      <w:pPr>
        <w:pStyle w:val="FootnoteText"/>
      </w:pPr>
      <w:r>
        <w:rPr>
          <w:rStyle w:val="FootnoteReference"/>
        </w:rPr>
        <w:footnoteRef/>
      </w:r>
      <w:r>
        <w:t xml:space="preserve"> </w:t>
      </w:r>
      <w:r w:rsidR="00F5403D">
        <w:t>We recognize that t</w:t>
      </w:r>
      <w:r>
        <w:t>he Broadband DATA Act mandates that the Commission “shall create a common dataset of all locations in the United States where fixed broadband internet access service can be installed, as determined by the Commission.”  Broadband DATA Act, Pub. L. No. 116-130, 134 Stat. 228, 230, § 802(b)(1)(A)(</w:t>
      </w:r>
      <w:r>
        <w:t>i</w:t>
      </w:r>
      <w:r>
        <w:t>).  </w:t>
      </w:r>
      <w:r w:rsidR="001134D8">
        <w:t>Mobile coverage could be superimposed on such a fixed location map to determine</w:t>
      </w:r>
      <w:r w:rsidR="0041338F">
        <w:t>, for example,</w:t>
      </w:r>
      <w:r w:rsidR="001134D8">
        <w:t xml:space="preserve"> how many locations are covered</w:t>
      </w:r>
      <w:r w:rsidR="0041338F">
        <w:t xml:space="preserve"> </w:t>
      </w:r>
      <w:r w:rsidR="001134D8">
        <w:t xml:space="preserve">within a census block.  </w:t>
      </w:r>
      <w:r w:rsidR="00BC7EF7">
        <w:rPr>
          <w:i/>
          <w:iCs/>
        </w:rPr>
        <w:t>See, e.g.</w:t>
      </w:r>
      <w:r w:rsidR="00BC7EF7">
        <w:t xml:space="preserve">, </w:t>
      </w:r>
      <w:r w:rsidRPr="00445C00" w:rsidR="00BC7EF7">
        <w:rPr>
          <w:i/>
          <w:iCs/>
        </w:rPr>
        <w:t>Alaska Pop</w:t>
      </w:r>
      <w:r w:rsidR="00BC7EF7">
        <w:rPr>
          <w:i/>
          <w:iCs/>
        </w:rPr>
        <w:t>ulation</w:t>
      </w:r>
      <w:r w:rsidRPr="00445C00" w:rsidR="00BC7EF7">
        <w:rPr>
          <w:i/>
          <w:iCs/>
        </w:rPr>
        <w:t xml:space="preserve"> Model P</w:t>
      </w:r>
      <w:r w:rsidR="00BC7EF7">
        <w:rPr>
          <w:i/>
          <w:iCs/>
        </w:rPr>
        <w:t xml:space="preserve">ublic </w:t>
      </w:r>
      <w:r w:rsidRPr="00445C00" w:rsidR="00BC7EF7">
        <w:rPr>
          <w:i/>
          <w:iCs/>
        </w:rPr>
        <w:t>N</w:t>
      </w:r>
      <w:r w:rsidR="00BC7EF7">
        <w:rPr>
          <w:i/>
          <w:iCs/>
        </w:rPr>
        <w:t>otice</w:t>
      </w:r>
      <w:r w:rsidR="00BC7EF7">
        <w:t xml:space="preserve">, 35 FCC </w:t>
      </w:r>
      <w:r w:rsidR="00BC7EF7">
        <w:t>Rcd</w:t>
      </w:r>
      <w:r w:rsidR="00BC7EF7">
        <w:t xml:space="preserve"> at 1523, para. 11 (seeking comment on whether a database of </w:t>
      </w:r>
      <w:r w:rsidR="00A60D74">
        <w:t xml:space="preserve">broadband-serviceable locations could be used to </w:t>
      </w:r>
      <w:r w:rsidR="0041338F">
        <w:t xml:space="preserve">estimate distribution of population to </w:t>
      </w:r>
      <w:r w:rsidR="00A60D74">
        <w:t>determine whether mobile providers have met their performance commitments)</w:t>
      </w:r>
      <w:r w:rsidR="00BC7EF7">
        <w:t xml:space="preserve">.  </w:t>
      </w:r>
      <w:r w:rsidR="00F5403D">
        <w:t>However, given that</w:t>
      </w:r>
      <w:r>
        <w:t xml:space="preserve"> the Broadband DATA Act requires that the Commission competitively bid any contract to create that common dataset (Broadband Serviceable Location Fabric) and the Commission has not had any funding appropriated, we </w:t>
      </w:r>
      <w:r w:rsidR="00476BDA">
        <w:t xml:space="preserve">cannot be confident </w:t>
      </w:r>
      <w:r>
        <w:t xml:space="preserve">that dataset </w:t>
      </w:r>
      <w:r w:rsidR="00476BDA">
        <w:t xml:space="preserve">will </w:t>
      </w:r>
      <w:r>
        <w:t>be available by the end of 2021. </w:t>
      </w:r>
    </w:p>
  </w:footnote>
  <w:footnote w:id="26">
    <w:p w:rsidR="008609CD" w:rsidP="00783BBA" w14:paraId="39E1F2F0" w14:textId="77777777">
      <w:pPr>
        <w:pStyle w:val="FootnoteText"/>
      </w:pPr>
      <w:r>
        <w:rPr>
          <w:rStyle w:val="FootnoteReference"/>
        </w:rPr>
        <w:footnoteRef/>
      </w:r>
      <w:r>
        <w:t xml:space="preserve"> </w:t>
      </w:r>
      <w:r w:rsidRPr="008E670F">
        <w:rPr>
          <w:i/>
        </w:rPr>
        <w:t>Alaska Plan Order</w:t>
      </w:r>
      <w:r>
        <w:t xml:space="preserve">, </w:t>
      </w:r>
      <w:r w:rsidRPr="008E670F">
        <w:t xml:space="preserve">31 FCC </w:t>
      </w:r>
      <w:r w:rsidRPr="008E670F">
        <w:t>Rcd</w:t>
      </w:r>
      <w:r w:rsidRPr="008E670F">
        <w:t xml:space="preserve"> </w:t>
      </w:r>
      <w:r>
        <w:t>at</w:t>
      </w:r>
      <w:r w:rsidRPr="008E670F">
        <w:t xml:space="preserve"> 101</w:t>
      </w:r>
      <w:r>
        <w:t>73</w:t>
      </w:r>
      <w:r w:rsidRPr="008E670F">
        <w:t xml:space="preserve">, para. </w:t>
      </w:r>
      <w:r>
        <w:t xml:space="preserve">103 (“[The Commission will] rely on participating carriers’ Form 477 [nationwide coverage] submissions in determining whether each carrier’s 5-year and 10-year milestones have been met.”).     </w:t>
      </w:r>
      <w:r w:rsidRPr="00E546C9">
        <w:t xml:space="preserve"> </w:t>
      </w:r>
    </w:p>
  </w:footnote>
  <w:footnote w:id="27">
    <w:p w:rsidR="008609CD" w:rsidRPr="00286AD3" w:rsidP="00783BBA" w14:paraId="2C31A6B9" w14:textId="6EE420D5">
      <w:pPr>
        <w:pStyle w:val="FootnoteText"/>
        <w:rPr>
          <w:i/>
          <w:iCs/>
        </w:rPr>
      </w:pPr>
      <w:r>
        <w:rPr>
          <w:rStyle w:val="FootnoteReference"/>
        </w:rPr>
        <w:footnoteRef/>
      </w:r>
      <w:r>
        <w:t xml:space="preserve"> </w:t>
      </w:r>
      <w:r w:rsidRPr="00215BEA">
        <w:t xml:space="preserve">In addition, </w:t>
      </w:r>
      <w:r w:rsidR="00F5403D">
        <w:t>we note that</w:t>
      </w:r>
      <w:r w:rsidRPr="00215BEA" w:rsidR="00F5403D">
        <w:t xml:space="preserve"> </w:t>
      </w:r>
      <w:r w:rsidRPr="00215BEA">
        <w:t>the Alaska Plan is a census-block based plan (i.e., eligible areas are allowed or excluded at the census block level)</w:t>
      </w:r>
      <w:r w:rsidR="008F4FD6">
        <w:t xml:space="preserve"> and that</w:t>
      </w:r>
      <w:r w:rsidRPr="00215BEA">
        <w:t xml:space="preserve"> Form 477 coverage data are not census-block based</w:t>
      </w:r>
      <w:r w:rsidR="008F4FD6">
        <w:t xml:space="preserve">.  Accordingly, use of Form 477 coverage data would </w:t>
      </w:r>
      <w:r w:rsidRPr="00215BEA">
        <w:t>require</w:t>
      </w:r>
      <w:r w:rsidR="008F4FD6">
        <w:t xml:space="preserve"> </w:t>
      </w:r>
      <w:r w:rsidRPr="00215BEA">
        <w:t>additional analysis</w:t>
      </w:r>
      <w:r>
        <w:t>—such as superimposing Form 477 coverage polygons onto census block maps—</w:t>
      </w:r>
      <w:r w:rsidRPr="00215BEA">
        <w:t>to determine whether mobile providers have met their performance obligations</w:t>
      </w:r>
      <w:r>
        <w:t xml:space="preserve"> for a census block</w:t>
      </w:r>
      <w:r w:rsidRPr="00215BEA">
        <w:t xml:space="preserve">.  </w:t>
      </w:r>
      <w:r w:rsidRPr="000164C3">
        <w:rPr>
          <w:i/>
          <w:iCs/>
        </w:rPr>
        <w:t>See Alaska Plan Order</w:t>
      </w:r>
      <w:r>
        <w:t xml:space="preserve">, 31 FCC </w:t>
      </w:r>
      <w:r>
        <w:t>Rcd</w:t>
      </w:r>
      <w:r>
        <w:t xml:space="preserve"> at 10167, para. 87; FCC, Form 477 Instructions, For Filings As Of December 31, 2019, and Beyond 25 (2019), </w:t>
      </w:r>
      <w:hyperlink r:id="rId1" w:history="1">
        <w:r>
          <w:rPr>
            <w:rStyle w:val="Hyperlink"/>
          </w:rPr>
          <w:t>https://us-fcc.app.box.com/v/Form477Instructions</w:t>
        </w:r>
      </w:hyperlink>
      <w:r>
        <w:t>.</w:t>
      </w:r>
    </w:p>
  </w:footnote>
  <w:footnote w:id="28">
    <w:p w:rsidR="008609CD" w:rsidP="00783BBA" w14:paraId="07D5D044" w14:textId="3FB11E6C">
      <w:pPr>
        <w:pStyle w:val="FootnoteText"/>
      </w:pPr>
      <w:r>
        <w:rPr>
          <w:rStyle w:val="FootnoteReference"/>
        </w:rPr>
        <w:footnoteRef/>
      </w:r>
      <w:r>
        <w:t xml:space="preserve"> </w:t>
      </w:r>
      <w:r>
        <w:rPr>
          <w:i/>
          <w:iCs/>
        </w:rPr>
        <w:t xml:space="preserve">See </w:t>
      </w:r>
      <w:r w:rsidRPr="00070B2D">
        <w:t xml:space="preserve">ATA Feb. 8, 2019 </w:t>
      </w:r>
      <w:r w:rsidRPr="00070B2D">
        <w:rPr>
          <w:i/>
          <w:iCs/>
        </w:rPr>
        <w:t xml:space="preserve">Ex </w:t>
      </w:r>
      <w:r w:rsidRPr="00070B2D">
        <w:rPr>
          <w:i/>
          <w:iCs/>
        </w:rPr>
        <w:t>Parte</w:t>
      </w:r>
      <w:r w:rsidRPr="00070B2D">
        <w:t xml:space="preserve"> at </w:t>
      </w:r>
      <w:r>
        <w:t xml:space="preserve">2 (“Alaska is a vast state with some populated census blocks as large as New Jersey.”).  </w:t>
      </w:r>
    </w:p>
  </w:footnote>
  <w:footnote w:id="29">
    <w:p w:rsidR="008609CD" w:rsidP="00523E19" w14:paraId="68BB0D98" w14:textId="77777777">
      <w:pPr>
        <w:pStyle w:val="FootnoteText"/>
      </w:pPr>
      <w:r>
        <w:rPr>
          <w:rStyle w:val="FootnoteReference"/>
        </w:rPr>
        <w:footnoteRef/>
      </w:r>
      <w:r>
        <w:t xml:space="preserve"> </w:t>
      </w:r>
      <w:r w:rsidRPr="000164C3">
        <w:rPr>
          <w:i/>
          <w:iCs/>
        </w:rPr>
        <w:t>See Alaska Plan Order</w:t>
      </w:r>
      <w:r>
        <w:t xml:space="preserve">, 31 FCC </w:t>
      </w:r>
      <w:r>
        <w:t>Rcd</w:t>
      </w:r>
      <w:r>
        <w:t xml:space="preserve"> at 10173, para. 103.  </w:t>
      </w:r>
    </w:p>
  </w:footnote>
  <w:footnote w:id="30">
    <w:p w:rsidR="008609CD" w:rsidP="00523E19" w14:paraId="18D11471" w14:textId="34D2E0A9">
      <w:pPr>
        <w:pStyle w:val="FootnoteText"/>
      </w:pPr>
      <w:r>
        <w:rPr>
          <w:rStyle w:val="FootnoteReference"/>
        </w:rPr>
        <w:footnoteRef/>
      </w:r>
      <w:r>
        <w:t xml:space="preserve"> The Bureau locked the population on 2010 census data levels, to control for population changes that could occur over the ten years of the Alaska Plan.  </w:t>
      </w:r>
      <w:r w:rsidRPr="0006118D">
        <w:rPr>
          <w:i/>
          <w:iCs/>
        </w:rPr>
        <w:t>See</w:t>
      </w:r>
      <w:r>
        <w:t xml:space="preserve"> </w:t>
      </w:r>
      <w:r w:rsidRPr="00445C00">
        <w:rPr>
          <w:i/>
          <w:iCs/>
        </w:rPr>
        <w:t>Alaska Pop</w:t>
      </w:r>
      <w:r>
        <w:rPr>
          <w:i/>
          <w:iCs/>
        </w:rPr>
        <w:t>ulation</w:t>
      </w:r>
      <w:r w:rsidRPr="00445C00">
        <w:rPr>
          <w:i/>
          <w:iCs/>
        </w:rPr>
        <w:t xml:space="preserve"> Model P</w:t>
      </w:r>
      <w:r>
        <w:rPr>
          <w:i/>
          <w:iCs/>
        </w:rPr>
        <w:t xml:space="preserve">ublic </w:t>
      </w:r>
      <w:r w:rsidRPr="00445C00">
        <w:rPr>
          <w:i/>
          <w:iCs/>
        </w:rPr>
        <w:t>N</w:t>
      </w:r>
      <w:r>
        <w:rPr>
          <w:i/>
          <w:iCs/>
        </w:rPr>
        <w:t>otice</w:t>
      </w:r>
      <w:r>
        <w:t xml:space="preserve">, 35 FCC </w:t>
      </w:r>
      <w:r>
        <w:t>Rcd</w:t>
      </w:r>
      <w:r>
        <w:t xml:space="preserve"> at 1524, n.23.  </w:t>
      </w:r>
    </w:p>
  </w:footnote>
  <w:footnote w:id="31">
    <w:p w:rsidR="008609CD" w14:paraId="4A3D2548" w14:textId="338DED32">
      <w:pPr>
        <w:pStyle w:val="FootnoteText"/>
      </w:pPr>
      <w:r>
        <w:rPr>
          <w:rStyle w:val="FootnoteReference"/>
        </w:rPr>
        <w:footnoteRef/>
      </w:r>
      <w:r>
        <w:t xml:space="preserve"> ATA Comments at 4.</w:t>
      </w:r>
    </w:p>
  </w:footnote>
  <w:footnote w:id="32">
    <w:p w:rsidR="008609CD" w:rsidP="003709BC" w14:paraId="462E0F80" w14:textId="57821E86">
      <w:pPr>
        <w:pStyle w:val="FootnoteText"/>
      </w:pPr>
      <w:r>
        <w:rPr>
          <w:rStyle w:val="FootnoteReference"/>
        </w:rPr>
        <w:footnoteRef/>
      </w:r>
      <w:r>
        <w:t xml:space="preserve"> </w:t>
      </w:r>
      <w:r w:rsidRPr="005A5B42">
        <w:rPr>
          <w:i/>
          <w:iCs/>
        </w:rPr>
        <w:t>See</w:t>
      </w:r>
      <w:r>
        <w:t xml:space="preserve"> </w:t>
      </w:r>
      <w:r w:rsidRPr="00010508">
        <w:t xml:space="preserve">ATA Feb. 8, 2019 </w:t>
      </w:r>
      <w:r w:rsidRPr="00151553">
        <w:rPr>
          <w:i/>
          <w:iCs/>
        </w:rPr>
        <w:t>Ex</w:t>
      </w:r>
      <w:r w:rsidRPr="00010508">
        <w:rPr>
          <w:i/>
          <w:iCs/>
        </w:rPr>
        <w:t xml:space="preserve"> </w:t>
      </w:r>
      <w:r w:rsidRPr="00010508">
        <w:rPr>
          <w:i/>
          <w:iCs/>
        </w:rPr>
        <w:t>Parte</w:t>
      </w:r>
      <w:r>
        <w:t xml:space="preserve"> at 1.  </w:t>
      </w:r>
    </w:p>
  </w:footnote>
  <w:footnote w:id="33">
    <w:p w:rsidR="00881474" w14:paraId="7E0BBF98" w14:textId="21E37187">
      <w:pPr>
        <w:pStyle w:val="FootnoteText"/>
      </w:pPr>
      <w:r>
        <w:rPr>
          <w:rStyle w:val="FootnoteReference"/>
        </w:rPr>
        <w:footnoteRef/>
      </w:r>
      <w:r>
        <w:t xml:space="preserve"> </w:t>
      </w:r>
      <w:r w:rsidRPr="00881474">
        <w:rPr>
          <w:i/>
          <w:iCs/>
        </w:rPr>
        <w:t>See</w:t>
      </w:r>
      <w:r w:rsidRPr="00881474">
        <w:t xml:space="preserve"> 47 CFR § 54.317(f) (“Alaska Plan participants shall, no later than the end of the fourth year of the ten-year term, review and modify their end-of-term commitments in light of any new developments, including newly available infrastructure.”).</w:t>
      </w:r>
    </w:p>
  </w:footnote>
  <w:footnote w:id="34">
    <w:p w:rsidR="008609CD" w:rsidP="00B97E3F" w14:paraId="26F11288" w14:textId="77777777">
      <w:pPr>
        <w:pStyle w:val="FootnoteText"/>
      </w:pPr>
      <w:r>
        <w:rPr>
          <w:rStyle w:val="FootnoteReference"/>
        </w:rPr>
        <w:footnoteRef/>
      </w:r>
      <w:r>
        <w:t xml:space="preserve"> F</w:t>
      </w:r>
      <w:r w:rsidRPr="00622526">
        <w:t>rozen support can be used only to provide mobile voice and broadband service in</w:t>
      </w:r>
      <w:r>
        <w:t xml:space="preserve"> </w:t>
      </w:r>
      <w:r w:rsidRPr="00622526">
        <w:t>those census blocks in remote Alaska where, as of December 31, 2014, less than 85% of the population</w:t>
      </w:r>
      <w:r>
        <w:t xml:space="preserve"> </w:t>
      </w:r>
      <w:r w:rsidRPr="00622526">
        <w:t xml:space="preserve">was covered by </w:t>
      </w:r>
      <w:r>
        <w:t>the 4G LTE</w:t>
      </w:r>
      <w:r w:rsidRPr="00622526">
        <w:t xml:space="preserve"> service of providers that are</w:t>
      </w:r>
      <w:r>
        <w:t xml:space="preserve"> </w:t>
      </w:r>
      <w:r w:rsidRPr="00622526">
        <w:t>either unsubsidized or not eligible for frozen support in Alaska .</w:t>
      </w:r>
      <w:r>
        <w:t xml:space="preserve">  </w:t>
      </w:r>
      <w:r w:rsidRPr="00EB7F92">
        <w:rPr>
          <w:i/>
          <w:iCs/>
        </w:rPr>
        <w:t>Alaska Plan Order</w:t>
      </w:r>
      <w:r w:rsidRPr="00622526">
        <w:t xml:space="preserve">, 31 FCC </w:t>
      </w:r>
      <w:r w:rsidRPr="00622526">
        <w:t>Rcd</w:t>
      </w:r>
      <w:r w:rsidRPr="00622526">
        <w:t xml:space="preserve"> at 1016</w:t>
      </w:r>
      <w:r>
        <w:t>7, para. 87.</w:t>
      </w:r>
    </w:p>
  </w:footnote>
  <w:footnote w:id="35">
    <w:p w:rsidR="008609CD" w14:paraId="0B8041CC" w14:textId="6AC876A6">
      <w:pPr>
        <w:pStyle w:val="FootnoteText"/>
      </w:pPr>
      <w:r>
        <w:rPr>
          <w:rStyle w:val="FootnoteReference"/>
        </w:rPr>
        <w:footnoteRef/>
      </w:r>
      <w:r>
        <w:t xml:space="preserve"> We use 2010 U.S. Census Bureau data because such data was the most recent data available as of December 31, 2014.</w:t>
      </w:r>
    </w:p>
  </w:footnote>
  <w:footnote w:id="36">
    <w:p w:rsidR="008609CD" w:rsidRPr="00AA3E89" w:rsidP="00AA3E89" w14:paraId="48CCBDD7" w14:textId="2E703C03">
      <w:pPr>
        <w:pStyle w:val="FootnoteText"/>
      </w:pPr>
      <w:r>
        <w:rPr>
          <w:rStyle w:val="FootnoteReference"/>
        </w:rPr>
        <w:footnoteRef/>
      </w:r>
      <w:r>
        <w:t xml:space="preserve"> GCI Nov. 29, 2016 </w:t>
      </w:r>
      <w:r w:rsidRPr="006279CD">
        <w:rPr>
          <w:i/>
        </w:rPr>
        <w:t xml:space="preserve">Ex </w:t>
      </w:r>
      <w:r w:rsidRPr="00BC6030">
        <w:rPr>
          <w:i/>
        </w:rPr>
        <w:t>Parte</w:t>
      </w:r>
      <w:r>
        <w:rPr>
          <w:iCs/>
        </w:rPr>
        <w:t>, Attach</w:t>
      </w:r>
      <w:r>
        <w:t xml:space="preserve">.; </w:t>
      </w:r>
      <w:r w:rsidRPr="00445C00">
        <w:rPr>
          <w:i/>
          <w:iCs/>
        </w:rPr>
        <w:t>Alaska Pop</w:t>
      </w:r>
      <w:r>
        <w:rPr>
          <w:i/>
          <w:iCs/>
        </w:rPr>
        <w:t>ulation</w:t>
      </w:r>
      <w:r w:rsidRPr="00445C00">
        <w:rPr>
          <w:i/>
          <w:iCs/>
        </w:rPr>
        <w:t xml:space="preserve"> Model P</w:t>
      </w:r>
      <w:r>
        <w:rPr>
          <w:i/>
          <w:iCs/>
        </w:rPr>
        <w:t xml:space="preserve">ublic </w:t>
      </w:r>
      <w:r w:rsidRPr="00445C00">
        <w:rPr>
          <w:i/>
          <w:iCs/>
        </w:rPr>
        <w:t>N</w:t>
      </w:r>
      <w:r>
        <w:rPr>
          <w:i/>
          <w:iCs/>
        </w:rPr>
        <w:t>otice</w:t>
      </w:r>
      <w:r>
        <w:t xml:space="preserve">, 35 FCC </w:t>
      </w:r>
      <w:r>
        <w:t>Rcd</w:t>
      </w:r>
      <w:r>
        <w:t xml:space="preserve"> at 1524, para. 12.  As we explained in the </w:t>
      </w:r>
      <w:r w:rsidRPr="00445C00">
        <w:rPr>
          <w:i/>
          <w:iCs/>
        </w:rPr>
        <w:t>Alaska Pop</w:t>
      </w:r>
      <w:r>
        <w:rPr>
          <w:i/>
          <w:iCs/>
        </w:rPr>
        <w:t>ulation</w:t>
      </w:r>
      <w:r w:rsidRPr="00445C00">
        <w:rPr>
          <w:i/>
          <w:iCs/>
        </w:rPr>
        <w:t xml:space="preserve"> Model P</w:t>
      </w:r>
      <w:r>
        <w:rPr>
          <w:i/>
          <w:iCs/>
        </w:rPr>
        <w:t xml:space="preserve">ublic </w:t>
      </w:r>
      <w:r w:rsidRPr="00445C00">
        <w:rPr>
          <w:i/>
          <w:iCs/>
        </w:rPr>
        <w:t>N</w:t>
      </w:r>
      <w:r>
        <w:rPr>
          <w:i/>
          <w:iCs/>
        </w:rPr>
        <w:t>otice</w:t>
      </w:r>
      <w:r>
        <w:t xml:space="preserve">, </w:t>
      </w:r>
      <w:r w:rsidRPr="00AA3E89">
        <w:t xml:space="preserve">in the four geographic areas where ATA </w:t>
      </w:r>
      <w:r>
        <w:t>proposed</w:t>
      </w:r>
      <w:r w:rsidRPr="00AA3E89">
        <w:t xml:space="preserve"> using certain local data sources to</w:t>
      </w:r>
      <w:r>
        <w:t xml:space="preserve"> </w:t>
      </w:r>
      <w:r w:rsidRPr="00AA3E89">
        <w:t xml:space="preserve">estimate population distribution instead of GCI’s </w:t>
      </w:r>
      <w:r>
        <w:t>methodology</w:t>
      </w:r>
      <w:r w:rsidRPr="00AA3E89">
        <w:t>, there was no 4G LTE service from an</w:t>
      </w:r>
      <w:r>
        <w:t xml:space="preserve"> </w:t>
      </w:r>
      <w:r w:rsidRPr="00AA3E89">
        <w:t>ineligible or unsubsidized provider as of December 31, 2014 (i.e</w:t>
      </w:r>
      <w:r w:rsidRPr="00AA3E89">
        <w:rPr>
          <w:i/>
          <w:iCs/>
        </w:rPr>
        <w:t>.</w:t>
      </w:r>
      <w:r w:rsidRPr="00AA3E89">
        <w:t>, census blocks in these areas would be</w:t>
      </w:r>
      <w:r>
        <w:t xml:space="preserve"> </w:t>
      </w:r>
      <w:r w:rsidRPr="00AA3E89">
        <w:t>eligible for frozen support, regardless of the methodology used to estimate the location of Alaskans).</w:t>
      </w:r>
      <w:r>
        <w:t xml:space="preserve">  </w:t>
      </w:r>
      <w:r w:rsidRPr="00AA3E89">
        <w:t xml:space="preserve">Accordingly, </w:t>
      </w:r>
      <w:r>
        <w:t>GCI’s</w:t>
      </w:r>
      <w:r w:rsidRPr="00AA3E89">
        <w:t xml:space="preserve"> list of frozen-eligible blocks</w:t>
      </w:r>
      <w:r>
        <w:t>,</w:t>
      </w:r>
      <w:r w:rsidRPr="00AA3E89">
        <w:t xml:space="preserve"> submitted </w:t>
      </w:r>
      <w:r>
        <w:t>before</w:t>
      </w:r>
      <w:r w:rsidRPr="00AA3E89">
        <w:t xml:space="preserve"> ATA’s recommendation</w:t>
      </w:r>
      <w:r>
        <w:t>,</w:t>
      </w:r>
      <w:r w:rsidRPr="00AA3E89">
        <w:t xml:space="preserve"> w</w:t>
      </w:r>
      <w:r>
        <w:t xml:space="preserve">as the same as the list the Bureau generated using the </w:t>
      </w:r>
      <w:r w:rsidRPr="00AA3E89">
        <w:t>Alaska Population Distribution Model</w:t>
      </w:r>
      <w:r>
        <w:t>.</w:t>
      </w:r>
    </w:p>
  </w:footnote>
  <w:footnote w:id="37">
    <w:p w:rsidR="008609CD" w14:paraId="7C615C86" w14:textId="55DD7279">
      <w:pPr>
        <w:pStyle w:val="FootnoteText"/>
      </w:pPr>
      <w:r>
        <w:rPr>
          <w:rStyle w:val="FootnoteReference"/>
        </w:rPr>
        <w:footnoteRef/>
      </w:r>
      <w:r>
        <w:t xml:space="preserve"> </w:t>
      </w:r>
      <w:r w:rsidRPr="00EB7F92">
        <w:rPr>
          <w:i/>
          <w:iCs/>
        </w:rPr>
        <w:t>Alaska Plan Order</w:t>
      </w:r>
      <w:r w:rsidRPr="00622526">
        <w:t xml:space="preserve">, 31 FCC </w:t>
      </w:r>
      <w:r w:rsidRPr="00622526">
        <w:t>Rcd</w:t>
      </w:r>
      <w:r w:rsidRPr="00622526">
        <w:t xml:space="preserve"> at 1016</w:t>
      </w:r>
      <w:r>
        <w:t>7, para.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CD" w:rsidP="00810B6F" w14:paraId="56657B74" w14:textId="1BCAB349">
    <w:pPr>
      <w:pStyle w:val="Header"/>
      <w:rPr>
        <w:b w:val="0"/>
      </w:rPr>
    </w:pPr>
    <w:r>
      <w:tab/>
      <w:t>Federal Communications Commission</w:t>
    </w:r>
    <w:r>
      <w:tab/>
    </w:r>
    <w:r w:rsidR="00AF7EC0">
      <w:t>DA 20-1097</w:t>
    </w:r>
  </w:p>
  <w:p w:rsidR="008609CD" w14:paraId="0E3DE86F" w14:textId="51D17C6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609CD" w14:paraId="780AB54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CD" w:rsidP="00810B6F" w14:paraId="630D5FF6" w14:textId="7E0C1F7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F7EC0">
      <w:t>DA 20-1097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CC0E3B"/>
    <w:multiLevelType w:val="hybridMultilevel"/>
    <w:tmpl w:val="DFC0556A"/>
    <w:lvl w:ilvl="0">
      <w:start w:va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376616A"/>
    <w:multiLevelType w:val="hybridMultilevel"/>
    <w:tmpl w:val="3148F0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DF06A8"/>
    <w:multiLevelType w:val="hybridMultilevel"/>
    <w:tmpl w:val="BABA29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C53B65"/>
    <w:multiLevelType w:val="hybridMultilevel"/>
    <w:tmpl w:val="B3B842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2783F3D"/>
    <w:multiLevelType w:val="hybridMultilevel"/>
    <w:tmpl w:val="A59CF7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9157E6D"/>
    <w:multiLevelType w:val="hybridMultilevel"/>
    <w:tmpl w:val="F80809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3"/>
  </w:num>
  <w:num w:numId="4">
    <w:abstractNumId w:val="8"/>
  </w:num>
  <w:num w:numId="5">
    <w:abstractNumId w:val="2"/>
  </w:num>
  <w:num w:numId="6">
    <w:abstractNumId w:val="0"/>
  </w:num>
  <w:num w:numId="7">
    <w:abstractNumId w:val="7"/>
  </w:num>
  <w:num w:numId="8">
    <w:abstractNumId w:val="11"/>
  </w:num>
  <w:num w:numId="9">
    <w:abstractNumId w:val="9"/>
    <w:lvlOverride w:ilvl="0">
      <w:startOverride w:val="1"/>
    </w:lvlOverride>
  </w:num>
  <w:num w:numId="10">
    <w:abstractNumId w:val="9"/>
    <w:lvlOverride w:ilvl="0">
      <w:startOverride w:val="1"/>
    </w:lvlOverride>
  </w:num>
  <w:num w:numId="11">
    <w:abstractNumId w:val="4"/>
  </w:num>
  <w:num w:numId="12">
    <w:abstractNumId w:val="10"/>
  </w:num>
  <w:num w:numId="13">
    <w:abstractNumId w:val="6"/>
  </w:num>
  <w:num w:numId="14">
    <w:abstractNumId w:val="5"/>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1AF"/>
    <w:rsid w:val="00000483"/>
    <w:rsid w:val="000007F1"/>
    <w:rsid w:val="00001586"/>
    <w:rsid w:val="00001859"/>
    <w:rsid w:val="00002671"/>
    <w:rsid w:val="00004EA4"/>
    <w:rsid w:val="000058E0"/>
    <w:rsid w:val="00006355"/>
    <w:rsid w:val="00007E5F"/>
    <w:rsid w:val="00010508"/>
    <w:rsid w:val="00010B9D"/>
    <w:rsid w:val="0001521E"/>
    <w:rsid w:val="0001554D"/>
    <w:rsid w:val="000164C3"/>
    <w:rsid w:val="0002002F"/>
    <w:rsid w:val="00020D38"/>
    <w:rsid w:val="00021720"/>
    <w:rsid w:val="00021C52"/>
    <w:rsid w:val="000269E8"/>
    <w:rsid w:val="000310E5"/>
    <w:rsid w:val="00034808"/>
    <w:rsid w:val="00035FDD"/>
    <w:rsid w:val="00036039"/>
    <w:rsid w:val="000371F7"/>
    <w:rsid w:val="00037D48"/>
    <w:rsid w:val="00037F90"/>
    <w:rsid w:val="000420C3"/>
    <w:rsid w:val="0004552A"/>
    <w:rsid w:val="00045668"/>
    <w:rsid w:val="00050C1C"/>
    <w:rsid w:val="000524E9"/>
    <w:rsid w:val="000531CC"/>
    <w:rsid w:val="00054F4E"/>
    <w:rsid w:val="000552E9"/>
    <w:rsid w:val="00056521"/>
    <w:rsid w:val="000605ED"/>
    <w:rsid w:val="0006118D"/>
    <w:rsid w:val="0006177B"/>
    <w:rsid w:val="00061A6F"/>
    <w:rsid w:val="00062351"/>
    <w:rsid w:val="00064FE1"/>
    <w:rsid w:val="000651CB"/>
    <w:rsid w:val="00065BB8"/>
    <w:rsid w:val="0006697C"/>
    <w:rsid w:val="000675FF"/>
    <w:rsid w:val="00067C7A"/>
    <w:rsid w:val="00070B2D"/>
    <w:rsid w:val="00073B35"/>
    <w:rsid w:val="00073BC3"/>
    <w:rsid w:val="00073DF2"/>
    <w:rsid w:val="000775DB"/>
    <w:rsid w:val="0008022E"/>
    <w:rsid w:val="000817E9"/>
    <w:rsid w:val="0008235D"/>
    <w:rsid w:val="00082C06"/>
    <w:rsid w:val="000875BF"/>
    <w:rsid w:val="000920EA"/>
    <w:rsid w:val="000956B5"/>
    <w:rsid w:val="00096D8C"/>
    <w:rsid w:val="00097645"/>
    <w:rsid w:val="000A1A18"/>
    <w:rsid w:val="000A4889"/>
    <w:rsid w:val="000A5AB0"/>
    <w:rsid w:val="000A5B27"/>
    <w:rsid w:val="000A5E66"/>
    <w:rsid w:val="000B0A9E"/>
    <w:rsid w:val="000B237C"/>
    <w:rsid w:val="000B3955"/>
    <w:rsid w:val="000B3D03"/>
    <w:rsid w:val="000B5FBE"/>
    <w:rsid w:val="000B60AA"/>
    <w:rsid w:val="000C0A0A"/>
    <w:rsid w:val="000C0B65"/>
    <w:rsid w:val="000C59F3"/>
    <w:rsid w:val="000C5AC7"/>
    <w:rsid w:val="000D06C2"/>
    <w:rsid w:val="000D0BAC"/>
    <w:rsid w:val="000D0DFC"/>
    <w:rsid w:val="000D21AE"/>
    <w:rsid w:val="000D5508"/>
    <w:rsid w:val="000D590B"/>
    <w:rsid w:val="000E05FE"/>
    <w:rsid w:val="000E18CF"/>
    <w:rsid w:val="000E1CE6"/>
    <w:rsid w:val="000E3518"/>
    <w:rsid w:val="000E3D42"/>
    <w:rsid w:val="000E4CE7"/>
    <w:rsid w:val="000E4E6D"/>
    <w:rsid w:val="000E5235"/>
    <w:rsid w:val="000E57A4"/>
    <w:rsid w:val="000F0F6C"/>
    <w:rsid w:val="000F0F91"/>
    <w:rsid w:val="000F378E"/>
    <w:rsid w:val="000F37A4"/>
    <w:rsid w:val="000F3F84"/>
    <w:rsid w:val="000F46D4"/>
    <w:rsid w:val="000F525B"/>
    <w:rsid w:val="000F6255"/>
    <w:rsid w:val="000F719C"/>
    <w:rsid w:val="001019A3"/>
    <w:rsid w:val="00105F8B"/>
    <w:rsid w:val="001068CD"/>
    <w:rsid w:val="00107608"/>
    <w:rsid w:val="00110CCC"/>
    <w:rsid w:val="00111442"/>
    <w:rsid w:val="0011190B"/>
    <w:rsid w:val="00112E11"/>
    <w:rsid w:val="001134D8"/>
    <w:rsid w:val="00115343"/>
    <w:rsid w:val="001169A6"/>
    <w:rsid w:val="0012047C"/>
    <w:rsid w:val="001207A8"/>
    <w:rsid w:val="00122BD5"/>
    <w:rsid w:val="0012469A"/>
    <w:rsid w:val="001257D0"/>
    <w:rsid w:val="00126BD0"/>
    <w:rsid w:val="00127366"/>
    <w:rsid w:val="00133F79"/>
    <w:rsid w:val="00134087"/>
    <w:rsid w:val="00135902"/>
    <w:rsid w:val="001360AD"/>
    <w:rsid w:val="00137C70"/>
    <w:rsid w:val="00142909"/>
    <w:rsid w:val="00142949"/>
    <w:rsid w:val="00143BC1"/>
    <w:rsid w:val="001446C6"/>
    <w:rsid w:val="001459A3"/>
    <w:rsid w:val="00146A82"/>
    <w:rsid w:val="00146B19"/>
    <w:rsid w:val="00146CFB"/>
    <w:rsid w:val="00150064"/>
    <w:rsid w:val="001510D5"/>
    <w:rsid w:val="00151553"/>
    <w:rsid w:val="001520C6"/>
    <w:rsid w:val="00152C4D"/>
    <w:rsid w:val="001530E3"/>
    <w:rsid w:val="001531D1"/>
    <w:rsid w:val="00153636"/>
    <w:rsid w:val="001544F0"/>
    <w:rsid w:val="0015512E"/>
    <w:rsid w:val="00155D91"/>
    <w:rsid w:val="00157210"/>
    <w:rsid w:val="00161C2B"/>
    <w:rsid w:val="00163D14"/>
    <w:rsid w:val="001640BA"/>
    <w:rsid w:val="00165636"/>
    <w:rsid w:val="00165B5B"/>
    <w:rsid w:val="00166C2E"/>
    <w:rsid w:val="00173000"/>
    <w:rsid w:val="00174519"/>
    <w:rsid w:val="00174B22"/>
    <w:rsid w:val="00180BC6"/>
    <w:rsid w:val="00183AF1"/>
    <w:rsid w:val="00184115"/>
    <w:rsid w:val="00184605"/>
    <w:rsid w:val="00184BC2"/>
    <w:rsid w:val="00184E0F"/>
    <w:rsid w:val="001858CB"/>
    <w:rsid w:val="00190736"/>
    <w:rsid w:val="0019214D"/>
    <w:rsid w:val="00194A66"/>
    <w:rsid w:val="001A11DB"/>
    <w:rsid w:val="001A1766"/>
    <w:rsid w:val="001A215D"/>
    <w:rsid w:val="001A2253"/>
    <w:rsid w:val="001A4CD0"/>
    <w:rsid w:val="001A53F4"/>
    <w:rsid w:val="001A6909"/>
    <w:rsid w:val="001A7675"/>
    <w:rsid w:val="001B2444"/>
    <w:rsid w:val="001B2A70"/>
    <w:rsid w:val="001B2ADE"/>
    <w:rsid w:val="001B3FFE"/>
    <w:rsid w:val="001B49F4"/>
    <w:rsid w:val="001B5E5C"/>
    <w:rsid w:val="001B70CD"/>
    <w:rsid w:val="001C1625"/>
    <w:rsid w:val="001C1F9F"/>
    <w:rsid w:val="001C68F6"/>
    <w:rsid w:val="001C6F22"/>
    <w:rsid w:val="001D3122"/>
    <w:rsid w:val="001D47BE"/>
    <w:rsid w:val="001D48A7"/>
    <w:rsid w:val="001D4DC8"/>
    <w:rsid w:val="001D5F4C"/>
    <w:rsid w:val="001D6BCF"/>
    <w:rsid w:val="001D6EB4"/>
    <w:rsid w:val="001D7788"/>
    <w:rsid w:val="001D7ED2"/>
    <w:rsid w:val="001E01CA"/>
    <w:rsid w:val="001E069D"/>
    <w:rsid w:val="001E0D2E"/>
    <w:rsid w:val="001E2C4B"/>
    <w:rsid w:val="001E416F"/>
    <w:rsid w:val="001E5B47"/>
    <w:rsid w:val="001E5BAC"/>
    <w:rsid w:val="001E5D78"/>
    <w:rsid w:val="001E652C"/>
    <w:rsid w:val="001F1D86"/>
    <w:rsid w:val="001F222B"/>
    <w:rsid w:val="001F2D55"/>
    <w:rsid w:val="001F4286"/>
    <w:rsid w:val="001F5DEB"/>
    <w:rsid w:val="001F6632"/>
    <w:rsid w:val="001F72F6"/>
    <w:rsid w:val="001F7B20"/>
    <w:rsid w:val="00200E49"/>
    <w:rsid w:val="002017C1"/>
    <w:rsid w:val="002044A0"/>
    <w:rsid w:val="00204A75"/>
    <w:rsid w:val="002076E3"/>
    <w:rsid w:val="00211517"/>
    <w:rsid w:val="0021303A"/>
    <w:rsid w:val="002141A0"/>
    <w:rsid w:val="0021582C"/>
    <w:rsid w:val="00215BEA"/>
    <w:rsid w:val="00217CCB"/>
    <w:rsid w:val="0022117A"/>
    <w:rsid w:val="0022349B"/>
    <w:rsid w:val="00224CC0"/>
    <w:rsid w:val="00224E4B"/>
    <w:rsid w:val="00226670"/>
    <w:rsid w:val="002267DA"/>
    <w:rsid w:val="00230ED0"/>
    <w:rsid w:val="00233045"/>
    <w:rsid w:val="002345F6"/>
    <w:rsid w:val="00234AE3"/>
    <w:rsid w:val="00234C09"/>
    <w:rsid w:val="00235B73"/>
    <w:rsid w:val="00235DB4"/>
    <w:rsid w:val="00236B3A"/>
    <w:rsid w:val="0023779F"/>
    <w:rsid w:val="00237AE5"/>
    <w:rsid w:val="00237CAC"/>
    <w:rsid w:val="00237FB4"/>
    <w:rsid w:val="002408ED"/>
    <w:rsid w:val="002414D9"/>
    <w:rsid w:val="002421F1"/>
    <w:rsid w:val="00242497"/>
    <w:rsid w:val="0024426C"/>
    <w:rsid w:val="00244F79"/>
    <w:rsid w:val="00245861"/>
    <w:rsid w:val="00246D75"/>
    <w:rsid w:val="002472F9"/>
    <w:rsid w:val="00251946"/>
    <w:rsid w:val="0025269A"/>
    <w:rsid w:val="00252CAA"/>
    <w:rsid w:val="00255837"/>
    <w:rsid w:val="00257FB6"/>
    <w:rsid w:val="00261314"/>
    <w:rsid w:val="00263C5C"/>
    <w:rsid w:val="00264C3E"/>
    <w:rsid w:val="002661D3"/>
    <w:rsid w:val="00270C0F"/>
    <w:rsid w:val="00270E99"/>
    <w:rsid w:val="00272149"/>
    <w:rsid w:val="0027297C"/>
    <w:rsid w:val="00273D71"/>
    <w:rsid w:val="00274087"/>
    <w:rsid w:val="00274808"/>
    <w:rsid w:val="002752D1"/>
    <w:rsid w:val="00275CF5"/>
    <w:rsid w:val="00277994"/>
    <w:rsid w:val="0028220B"/>
    <w:rsid w:val="0028273C"/>
    <w:rsid w:val="0028301F"/>
    <w:rsid w:val="00285017"/>
    <w:rsid w:val="00285552"/>
    <w:rsid w:val="00286AD3"/>
    <w:rsid w:val="00287EC2"/>
    <w:rsid w:val="00292B04"/>
    <w:rsid w:val="002949BE"/>
    <w:rsid w:val="002A2248"/>
    <w:rsid w:val="002A2651"/>
    <w:rsid w:val="002A28F6"/>
    <w:rsid w:val="002A29D2"/>
    <w:rsid w:val="002A2D2E"/>
    <w:rsid w:val="002A401D"/>
    <w:rsid w:val="002A5A8E"/>
    <w:rsid w:val="002A7DF8"/>
    <w:rsid w:val="002B243E"/>
    <w:rsid w:val="002B7269"/>
    <w:rsid w:val="002C00E8"/>
    <w:rsid w:val="002C18BB"/>
    <w:rsid w:val="002C19AA"/>
    <w:rsid w:val="002C2DF3"/>
    <w:rsid w:val="002C6B77"/>
    <w:rsid w:val="002C6F38"/>
    <w:rsid w:val="002D5589"/>
    <w:rsid w:val="002D5790"/>
    <w:rsid w:val="002D655C"/>
    <w:rsid w:val="002D6995"/>
    <w:rsid w:val="002D6E7F"/>
    <w:rsid w:val="002D7B16"/>
    <w:rsid w:val="002E03F6"/>
    <w:rsid w:val="002E06CF"/>
    <w:rsid w:val="002E330C"/>
    <w:rsid w:val="002E5A6C"/>
    <w:rsid w:val="002E75A5"/>
    <w:rsid w:val="002E7CC4"/>
    <w:rsid w:val="002F1173"/>
    <w:rsid w:val="002F16D6"/>
    <w:rsid w:val="002F1C68"/>
    <w:rsid w:val="002F272E"/>
    <w:rsid w:val="002F299D"/>
    <w:rsid w:val="002F3D52"/>
    <w:rsid w:val="002F5030"/>
    <w:rsid w:val="002F55B4"/>
    <w:rsid w:val="00304264"/>
    <w:rsid w:val="00307227"/>
    <w:rsid w:val="003077B6"/>
    <w:rsid w:val="003101BD"/>
    <w:rsid w:val="003118C3"/>
    <w:rsid w:val="00313B83"/>
    <w:rsid w:val="00314E97"/>
    <w:rsid w:val="00314F09"/>
    <w:rsid w:val="00315345"/>
    <w:rsid w:val="00315F75"/>
    <w:rsid w:val="00316571"/>
    <w:rsid w:val="00323B70"/>
    <w:rsid w:val="00323BF0"/>
    <w:rsid w:val="00324D06"/>
    <w:rsid w:val="0032647F"/>
    <w:rsid w:val="0032765E"/>
    <w:rsid w:val="00331557"/>
    <w:rsid w:val="00331DF6"/>
    <w:rsid w:val="00332BC8"/>
    <w:rsid w:val="00333208"/>
    <w:rsid w:val="00333375"/>
    <w:rsid w:val="00333B05"/>
    <w:rsid w:val="00333E6E"/>
    <w:rsid w:val="003349E6"/>
    <w:rsid w:val="00335785"/>
    <w:rsid w:val="00342816"/>
    <w:rsid w:val="00343749"/>
    <w:rsid w:val="0035031D"/>
    <w:rsid w:val="00353E95"/>
    <w:rsid w:val="00354488"/>
    <w:rsid w:val="00354E6C"/>
    <w:rsid w:val="003557F5"/>
    <w:rsid w:val="0035582E"/>
    <w:rsid w:val="003637B1"/>
    <w:rsid w:val="00365689"/>
    <w:rsid w:val="003656A0"/>
    <w:rsid w:val="003658BA"/>
    <w:rsid w:val="003660ED"/>
    <w:rsid w:val="00366659"/>
    <w:rsid w:val="003667C9"/>
    <w:rsid w:val="003709BC"/>
    <w:rsid w:val="003724C4"/>
    <w:rsid w:val="00374EAE"/>
    <w:rsid w:val="00374FA2"/>
    <w:rsid w:val="0037562E"/>
    <w:rsid w:val="00380552"/>
    <w:rsid w:val="00380AF5"/>
    <w:rsid w:val="00380F0D"/>
    <w:rsid w:val="003851D8"/>
    <w:rsid w:val="0038785A"/>
    <w:rsid w:val="00387E3D"/>
    <w:rsid w:val="003A0B87"/>
    <w:rsid w:val="003A1C28"/>
    <w:rsid w:val="003A3166"/>
    <w:rsid w:val="003A75A8"/>
    <w:rsid w:val="003B04F3"/>
    <w:rsid w:val="003B0550"/>
    <w:rsid w:val="003B385B"/>
    <w:rsid w:val="003B4876"/>
    <w:rsid w:val="003B4E6F"/>
    <w:rsid w:val="003B5655"/>
    <w:rsid w:val="003B5851"/>
    <w:rsid w:val="003B694F"/>
    <w:rsid w:val="003C13A9"/>
    <w:rsid w:val="003C20FA"/>
    <w:rsid w:val="003C270B"/>
    <w:rsid w:val="003C283D"/>
    <w:rsid w:val="003C370F"/>
    <w:rsid w:val="003C3CD6"/>
    <w:rsid w:val="003C71EA"/>
    <w:rsid w:val="003D01AF"/>
    <w:rsid w:val="003D0391"/>
    <w:rsid w:val="003D1F82"/>
    <w:rsid w:val="003D2DD1"/>
    <w:rsid w:val="003D3B8E"/>
    <w:rsid w:val="003D4A8F"/>
    <w:rsid w:val="003D506C"/>
    <w:rsid w:val="003D51D1"/>
    <w:rsid w:val="003D787A"/>
    <w:rsid w:val="003E2B52"/>
    <w:rsid w:val="003E2C47"/>
    <w:rsid w:val="003E33B5"/>
    <w:rsid w:val="003E4600"/>
    <w:rsid w:val="003E47F7"/>
    <w:rsid w:val="003E5809"/>
    <w:rsid w:val="003E6A36"/>
    <w:rsid w:val="003E6EC8"/>
    <w:rsid w:val="003E7603"/>
    <w:rsid w:val="003F0033"/>
    <w:rsid w:val="003F171C"/>
    <w:rsid w:val="003F2DE0"/>
    <w:rsid w:val="00400B63"/>
    <w:rsid w:val="00400B7B"/>
    <w:rsid w:val="00400C66"/>
    <w:rsid w:val="004018EE"/>
    <w:rsid w:val="00401C06"/>
    <w:rsid w:val="00403E5A"/>
    <w:rsid w:val="004042CD"/>
    <w:rsid w:val="00406808"/>
    <w:rsid w:val="004071D5"/>
    <w:rsid w:val="00407AA9"/>
    <w:rsid w:val="004103B1"/>
    <w:rsid w:val="00412376"/>
    <w:rsid w:val="00412A65"/>
    <w:rsid w:val="00412FC5"/>
    <w:rsid w:val="0041338F"/>
    <w:rsid w:val="00413B9E"/>
    <w:rsid w:val="004147C7"/>
    <w:rsid w:val="00415B27"/>
    <w:rsid w:val="00415F3F"/>
    <w:rsid w:val="00416062"/>
    <w:rsid w:val="0041669D"/>
    <w:rsid w:val="00420820"/>
    <w:rsid w:val="00420C71"/>
    <w:rsid w:val="00422276"/>
    <w:rsid w:val="004242F1"/>
    <w:rsid w:val="004252E9"/>
    <w:rsid w:val="0042534F"/>
    <w:rsid w:val="00426784"/>
    <w:rsid w:val="00426F50"/>
    <w:rsid w:val="00432F3D"/>
    <w:rsid w:val="00435944"/>
    <w:rsid w:val="00435E25"/>
    <w:rsid w:val="00440C05"/>
    <w:rsid w:val="00441A5F"/>
    <w:rsid w:val="00442BBE"/>
    <w:rsid w:val="00445694"/>
    <w:rsid w:val="00445A00"/>
    <w:rsid w:val="00445C00"/>
    <w:rsid w:val="004470B9"/>
    <w:rsid w:val="004506F1"/>
    <w:rsid w:val="004509D3"/>
    <w:rsid w:val="0045176A"/>
    <w:rsid w:val="00451A94"/>
    <w:rsid w:val="00451B0F"/>
    <w:rsid w:val="004520A4"/>
    <w:rsid w:val="00453B5A"/>
    <w:rsid w:val="00457477"/>
    <w:rsid w:val="00460341"/>
    <w:rsid w:val="004622B3"/>
    <w:rsid w:val="004624DE"/>
    <w:rsid w:val="004629BE"/>
    <w:rsid w:val="00462B03"/>
    <w:rsid w:val="00462E6A"/>
    <w:rsid w:val="00464804"/>
    <w:rsid w:val="0047097B"/>
    <w:rsid w:val="004724B5"/>
    <w:rsid w:val="004734DE"/>
    <w:rsid w:val="00473C73"/>
    <w:rsid w:val="00474E61"/>
    <w:rsid w:val="00476BDA"/>
    <w:rsid w:val="00477E91"/>
    <w:rsid w:val="00477F70"/>
    <w:rsid w:val="00482719"/>
    <w:rsid w:val="004841E0"/>
    <w:rsid w:val="00484987"/>
    <w:rsid w:val="00484C5C"/>
    <w:rsid w:val="00491819"/>
    <w:rsid w:val="00492294"/>
    <w:rsid w:val="00494144"/>
    <w:rsid w:val="00495A52"/>
    <w:rsid w:val="004A04CF"/>
    <w:rsid w:val="004A0C36"/>
    <w:rsid w:val="004A2051"/>
    <w:rsid w:val="004A2C39"/>
    <w:rsid w:val="004A2E9D"/>
    <w:rsid w:val="004A35F3"/>
    <w:rsid w:val="004A3EA8"/>
    <w:rsid w:val="004A470D"/>
    <w:rsid w:val="004A6572"/>
    <w:rsid w:val="004B0A95"/>
    <w:rsid w:val="004B1F3D"/>
    <w:rsid w:val="004B2122"/>
    <w:rsid w:val="004B31F8"/>
    <w:rsid w:val="004B4D6C"/>
    <w:rsid w:val="004C0455"/>
    <w:rsid w:val="004C1929"/>
    <w:rsid w:val="004C1D86"/>
    <w:rsid w:val="004C2EE3"/>
    <w:rsid w:val="004C3BAB"/>
    <w:rsid w:val="004C47DF"/>
    <w:rsid w:val="004C5131"/>
    <w:rsid w:val="004C6E3E"/>
    <w:rsid w:val="004C6F9B"/>
    <w:rsid w:val="004C7302"/>
    <w:rsid w:val="004D1CB2"/>
    <w:rsid w:val="004D32E8"/>
    <w:rsid w:val="004D3B9C"/>
    <w:rsid w:val="004D422B"/>
    <w:rsid w:val="004D448A"/>
    <w:rsid w:val="004D46CA"/>
    <w:rsid w:val="004D67A1"/>
    <w:rsid w:val="004E011D"/>
    <w:rsid w:val="004E0B64"/>
    <w:rsid w:val="004E1235"/>
    <w:rsid w:val="004E17A5"/>
    <w:rsid w:val="004E273D"/>
    <w:rsid w:val="004E30DB"/>
    <w:rsid w:val="004E4418"/>
    <w:rsid w:val="004E4A22"/>
    <w:rsid w:val="004E4B5D"/>
    <w:rsid w:val="004E61C6"/>
    <w:rsid w:val="004E632F"/>
    <w:rsid w:val="004F0473"/>
    <w:rsid w:val="004F1C1F"/>
    <w:rsid w:val="004F4798"/>
    <w:rsid w:val="004F5C6D"/>
    <w:rsid w:val="004F648C"/>
    <w:rsid w:val="0050004A"/>
    <w:rsid w:val="00501633"/>
    <w:rsid w:val="00502EEC"/>
    <w:rsid w:val="005061B1"/>
    <w:rsid w:val="00507181"/>
    <w:rsid w:val="00507936"/>
    <w:rsid w:val="0051070D"/>
    <w:rsid w:val="00510FE2"/>
    <w:rsid w:val="00511968"/>
    <w:rsid w:val="005122C1"/>
    <w:rsid w:val="005127D9"/>
    <w:rsid w:val="00512E8C"/>
    <w:rsid w:val="00514ABA"/>
    <w:rsid w:val="00520A13"/>
    <w:rsid w:val="00520F8A"/>
    <w:rsid w:val="00523E19"/>
    <w:rsid w:val="00524753"/>
    <w:rsid w:val="00525BBA"/>
    <w:rsid w:val="00526657"/>
    <w:rsid w:val="005348AD"/>
    <w:rsid w:val="00535128"/>
    <w:rsid w:val="00535468"/>
    <w:rsid w:val="00536851"/>
    <w:rsid w:val="00536EBE"/>
    <w:rsid w:val="0053718F"/>
    <w:rsid w:val="005374D7"/>
    <w:rsid w:val="0054011B"/>
    <w:rsid w:val="00541A9A"/>
    <w:rsid w:val="0054367A"/>
    <w:rsid w:val="00543D22"/>
    <w:rsid w:val="00544574"/>
    <w:rsid w:val="00544C6E"/>
    <w:rsid w:val="005462FA"/>
    <w:rsid w:val="005507CA"/>
    <w:rsid w:val="00550C5C"/>
    <w:rsid w:val="0055143F"/>
    <w:rsid w:val="0055207D"/>
    <w:rsid w:val="00553C23"/>
    <w:rsid w:val="0055416B"/>
    <w:rsid w:val="00554918"/>
    <w:rsid w:val="00555440"/>
    <w:rsid w:val="0055614C"/>
    <w:rsid w:val="00557610"/>
    <w:rsid w:val="00557796"/>
    <w:rsid w:val="00563928"/>
    <w:rsid w:val="005640E7"/>
    <w:rsid w:val="00564806"/>
    <w:rsid w:val="00564C53"/>
    <w:rsid w:val="0056583D"/>
    <w:rsid w:val="00566D06"/>
    <w:rsid w:val="00570603"/>
    <w:rsid w:val="00575115"/>
    <w:rsid w:val="00576A2F"/>
    <w:rsid w:val="0057744B"/>
    <w:rsid w:val="005805D4"/>
    <w:rsid w:val="00580972"/>
    <w:rsid w:val="00580BBB"/>
    <w:rsid w:val="00583A59"/>
    <w:rsid w:val="00583B1E"/>
    <w:rsid w:val="005845F2"/>
    <w:rsid w:val="00584679"/>
    <w:rsid w:val="00585886"/>
    <w:rsid w:val="00586182"/>
    <w:rsid w:val="00590F9E"/>
    <w:rsid w:val="00591316"/>
    <w:rsid w:val="0059207C"/>
    <w:rsid w:val="00592454"/>
    <w:rsid w:val="0059324E"/>
    <w:rsid w:val="00594751"/>
    <w:rsid w:val="005948D6"/>
    <w:rsid w:val="005976D3"/>
    <w:rsid w:val="005A0EF6"/>
    <w:rsid w:val="005A1EC9"/>
    <w:rsid w:val="005A26C3"/>
    <w:rsid w:val="005A5496"/>
    <w:rsid w:val="005A5B42"/>
    <w:rsid w:val="005A73F5"/>
    <w:rsid w:val="005A7916"/>
    <w:rsid w:val="005B1151"/>
    <w:rsid w:val="005B1160"/>
    <w:rsid w:val="005B12BE"/>
    <w:rsid w:val="005B20E4"/>
    <w:rsid w:val="005B2B6F"/>
    <w:rsid w:val="005B3595"/>
    <w:rsid w:val="005B4925"/>
    <w:rsid w:val="005B7A02"/>
    <w:rsid w:val="005C1140"/>
    <w:rsid w:val="005C12D8"/>
    <w:rsid w:val="005C195F"/>
    <w:rsid w:val="005C1B42"/>
    <w:rsid w:val="005C1DFF"/>
    <w:rsid w:val="005C3A7D"/>
    <w:rsid w:val="005C5312"/>
    <w:rsid w:val="005C6E5E"/>
    <w:rsid w:val="005C72D1"/>
    <w:rsid w:val="005D043E"/>
    <w:rsid w:val="005D13EE"/>
    <w:rsid w:val="005D3AB9"/>
    <w:rsid w:val="005D683D"/>
    <w:rsid w:val="005D7FB6"/>
    <w:rsid w:val="005E07CF"/>
    <w:rsid w:val="005E08C7"/>
    <w:rsid w:val="005E0B7F"/>
    <w:rsid w:val="005E11A5"/>
    <w:rsid w:val="005E14C2"/>
    <w:rsid w:val="005E3126"/>
    <w:rsid w:val="005F07A9"/>
    <w:rsid w:val="005F08A7"/>
    <w:rsid w:val="005F0A76"/>
    <w:rsid w:val="005F0AAE"/>
    <w:rsid w:val="005F17DF"/>
    <w:rsid w:val="005F2403"/>
    <w:rsid w:val="005F4218"/>
    <w:rsid w:val="005F605E"/>
    <w:rsid w:val="005F7AD8"/>
    <w:rsid w:val="006006AF"/>
    <w:rsid w:val="00600704"/>
    <w:rsid w:val="00600851"/>
    <w:rsid w:val="0060137C"/>
    <w:rsid w:val="00602999"/>
    <w:rsid w:val="0060404F"/>
    <w:rsid w:val="006050F1"/>
    <w:rsid w:val="006055F5"/>
    <w:rsid w:val="00605F0E"/>
    <w:rsid w:val="00606809"/>
    <w:rsid w:val="00607164"/>
    <w:rsid w:val="00607878"/>
    <w:rsid w:val="00607BA5"/>
    <w:rsid w:val="00607CAD"/>
    <w:rsid w:val="00610609"/>
    <w:rsid w:val="00610AE7"/>
    <w:rsid w:val="00610C24"/>
    <w:rsid w:val="00610FC2"/>
    <w:rsid w:val="00611387"/>
    <w:rsid w:val="0061180A"/>
    <w:rsid w:val="0061219D"/>
    <w:rsid w:val="00615194"/>
    <w:rsid w:val="006176F5"/>
    <w:rsid w:val="00617D59"/>
    <w:rsid w:val="006207FB"/>
    <w:rsid w:val="00620C0D"/>
    <w:rsid w:val="00622526"/>
    <w:rsid w:val="0062282F"/>
    <w:rsid w:val="0062300C"/>
    <w:rsid w:val="0062361F"/>
    <w:rsid w:val="00624C15"/>
    <w:rsid w:val="00625D55"/>
    <w:rsid w:val="00626EB6"/>
    <w:rsid w:val="006279CD"/>
    <w:rsid w:val="006304F6"/>
    <w:rsid w:val="00630B0F"/>
    <w:rsid w:val="00634FF8"/>
    <w:rsid w:val="006359AA"/>
    <w:rsid w:val="00635C5D"/>
    <w:rsid w:val="00635E4A"/>
    <w:rsid w:val="00635F52"/>
    <w:rsid w:val="00636B94"/>
    <w:rsid w:val="00636F87"/>
    <w:rsid w:val="00636FF9"/>
    <w:rsid w:val="00640325"/>
    <w:rsid w:val="0064195B"/>
    <w:rsid w:val="00642EAE"/>
    <w:rsid w:val="006450FF"/>
    <w:rsid w:val="006469C5"/>
    <w:rsid w:val="00647A34"/>
    <w:rsid w:val="00651323"/>
    <w:rsid w:val="0065218A"/>
    <w:rsid w:val="0065348E"/>
    <w:rsid w:val="006544B1"/>
    <w:rsid w:val="0065547B"/>
    <w:rsid w:val="00655D03"/>
    <w:rsid w:val="00662364"/>
    <w:rsid w:val="00665054"/>
    <w:rsid w:val="006656F9"/>
    <w:rsid w:val="00666179"/>
    <w:rsid w:val="0067027B"/>
    <w:rsid w:val="006723D8"/>
    <w:rsid w:val="00673E00"/>
    <w:rsid w:val="006741CC"/>
    <w:rsid w:val="006745B6"/>
    <w:rsid w:val="006754E5"/>
    <w:rsid w:val="006758F6"/>
    <w:rsid w:val="006812D8"/>
    <w:rsid w:val="00682F86"/>
    <w:rsid w:val="00683388"/>
    <w:rsid w:val="00683CCE"/>
    <w:rsid w:val="00683F84"/>
    <w:rsid w:val="006842AA"/>
    <w:rsid w:val="006859CC"/>
    <w:rsid w:val="00690B5B"/>
    <w:rsid w:val="0069518D"/>
    <w:rsid w:val="00695925"/>
    <w:rsid w:val="00697427"/>
    <w:rsid w:val="006978DC"/>
    <w:rsid w:val="006A41D7"/>
    <w:rsid w:val="006A56F7"/>
    <w:rsid w:val="006A6A81"/>
    <w:rsid w:val="006A781B"/>
    <w:rsid w:val="006A7DD5"/>
    <w:rsid w:val="006B1584"/>
    <w:rsid w:val="006B2134"/>
    <w:rsid w:val="006B3F84"/>
    <w:rsid w:val="006B7C27"/>
    <w:rsid w:val="006C07D0"/>
    <w:rsid w:val="006C3956"/>
    <w:rsid w:val="006C4BB2"/>
    <w:rsid w:val="006C6428"/>
    <w:rsid w:val="006C77CF"/>
    <w:rsid w:val="006C7B27"/>
    <w:rsid w:val="006D0B09"/>
    <w:rsid w:val="006D0FEA"/>
    <w:rsid w:val="006D16AF"/>
    <w:rsid w:val="006D1DE5"/>
    <w:rsid w:val="006D67AC"/>
    <w:rsid w:val="006E0A7B"/>
    <w:rsid w:val="006E1726"/>
    <w:rsid w:val="006E1772"/>
    <w:rsid w:val="006E398C"/>
    <w:rsid w:val="006E42E5"/>
    <w:rsid w:val="006E65F8"/>
    <w:rsid w:val="006E72E1"/>
    <w:rsid w:val="006E7CF8"/>
    <w:rsid w:val="006E7DAE"/>
    <w:rsid w:val="006F0DCE"/>
    <w:rsid w:val="006F1617"/>
    <w:rsid w:val="006F3343"/>
    <w:rsid w:val="006F47A0"/>
    <w:rsid w:val="006F4B8C"/>
    <w:rsid w:val="006F4BEE"/>
    <w:rsid w:val="006F4D59"/>
    <w:rsid w:val="006F6953"/>
    <w:rsid w:val="006F7393"/>
    <w:rsid w:val="00701D62"/>
    <w:rsid w:val="00701E45"/>
    <w:rsid w:val="007021D8"/>
    <w:rsid w:val="0070224F"/>
    <w:rsid w:val="00703474"/>
    <w:rsid w:val="007043DF"/>
    <w:rsid w:val="00706F61"/>
    <w:rsid w:val="00707377"/>
    <w:rsid w:val="007073C6"/>
    <w:rsid w:val="007076DB"/>
    <w:rsid w:val="007111B6"/>
    <w:rsid w:val="007115F7"/>
    <w:rsid w:val="00712D4A"/>
    <w:rsid w:val="007130F0"/>
    <w:rsid w:val="00714DAB"/>
    <w:rsid w:val="00715260"/>
    <w:rsid w:val="00720840"/>
    <w:rsid w:val="0072121F"/>
    <w:rsid w:val="00721C9E"/>
    <w:rsid w:val="00727B26"/>
    <w:rsid w:val="0073020A"/>
    <w:rsid w:val="00730E15"/>
    <w:rsid w:val="00731DF2"/>
    <w:rsid w:val="007321F5"/>
    <w:rsid w:val="0073669B"/>
    <w:rsid w:val="00736A77"/>
    <w:rsid w:val="0073718E"/>
    <w:rsid w:val="00741453"/>
    <w:rsid w:val="007417AC"/>
    <w:rsid w:val="007417E5"/>
    <w:rsid w:val="00743AE5"/>
    <w:rsid w:val="00747DC1"/>
    <w:rsid w:val="00750701"/>
    <w:rsid w:val="00750B66"/>
    <w:rsid w:val="007511E8"/>
    <w:rsid w:val="00751B99"/>
    <w:rsid w:val="00751F71"/>
    <w:rsid w:val="00754081"/>
    <w:rsid w:val="00756388"/>
    <w:rsid w:val="007567D2"/>
    <w:rsid w:val="00760683"/>
    <w:rsid w:val="00760F2F"/>
    <w:rsid w:val="00761529"/>
    <w:rsid w:val="0076156A"/>
    <w:rsid w:val="00762B30"/>
    <w:rsid w:val="00763950"/>
    <w:rsid w:val="00764A2A"/>
    <w:rsid w:val="00764F6D"/>
    <w:rsid w:val="00765C07"/>
    <w:rsid w:val="00767574"/>
    <w:rsid w:val="007676EB"/>
    <w:rsid w:val="0076794E"/>
    <w:rsid w:val="007679F3"/>
    <w:rsid w:val="00770AF3"/>
    <w:rsid w:val="00770D85"/>
    <w:rsid w:val="00771159"/>
    <w:rsid w:val="00772447"/>
    <w:rsid w:val="00772B04"/>
    <w:rsid w:val="00773710"/>
    <w:rsid w:val="0078014F"/>
    <w:rsid w:val="007813FA"/>
    <w:rsid w:val="00782555"/>
    <w:rsid w:val="00783442"/>
    <w:rsid w:val="00783BBA"/>
    <w:rsid w:val="00783DEB"/>
    <w:rsid w:val="00784FAE"/>
    <w:rsid w:val="007851CA"/>
    <w:rsid w:val="007855F8"/>
    <w:rsid w:val="00785689"/>
    <w:rsid w:val="00786428"/>
    <w:rsid w:val="00787127"/>
    <w:rsid w:val="0079018A"/>
    <w:rsid w:val="00790E0C"/>
    <w:rsid w:val="00792658"/>
    <w:rsid w:val="0079754B"/>
    <w:rsid w:val="007A0DD5"/>
    <w:rsid w:val="007A1E6D"/>
    <w:rsid w:val="007A2A98"/>
    <w:rsid w:val="007A4680"/>
    <w:rsid w:val="007A59BD"/>
    <w:rsid w:val="007B086B"/>
    <w:rsid w:val="007B0E46"/>
    <w:rsid w:val="007B0EB2"/>
    <w:rsid w:val="007B19AC"/>
    <w:rsid w:val="007B1D4A"/>
    <w:rsid w:val="007B2820"/>
    <w:rsid w:val="007B2987"/>
    <w:rsid w:val="007B35E4"/>
    <w:rsid w:val="007B50CE"/>
    <w:rsid w:val="007B774A"/>
    <w:rsid w:val="007B7FA3"/>
    <w:rsid w:val="007C2C25"/>
    <w:rsid w:val="007C37C0"/>
    <w:rsid w:val="007C3FBC"/>
    <w:rsid w:val="007C4D4C"/>
    <w:rsid w:val="007C73F0"/>
    <w:rsid w:val="007D04D8"/>
    <w:rsid w:val="007D0D10"/>
    <w:rsid w:val="007D1634"/>
    <w:rsid w:val="007D3358"/>
    <w:rsid w:val="007D4519"/>
    <w:rsid w:val="007D5C53"/>
    <w:rsid w:val="007D5EA0"/>
    <w:rsid w:val="007D6D1E"/>
    <w:rsid w:val="007D7032"/>
    <w:rsid w:val="007D7168"/>
    <w:rsid w:val="007D7613"/>
    <w:rsid w:val="007E0208"/>
    <w:rsid w:val="007E094F"/>
    <w:rsid w:val="007E09C8"/>
    <w:rsid w:val="007E1D0D"/>
    <w:rsid w:val="007E21BB"/>
    <w:rsid w:val="007E39A1"/>
    <w:rsid w:val="007F138F"/>
    <w:rsid w:val="007F1F5C"/>
    <w:rsid w:val="007F2975"/>
    <w:rsid w:val="007F2AE5"/>
    <w:rsid w:val="007F3963"/>
    <w:rsid w:val="007F3D25"/>
    <w:rsid w:val="00800751"/>
    <w:rsid w:val="0080346B"/>
    <w:rsid w:val="008037F3"/>
    <w:rsid w:val="00803A7B"/>
    <w:rsid w:val="00804D84"/>
    <w:rsid w:val="008050A9"/>
    <w:rsid w:val="00807D6B"/>
    <w:rsid w:val="00810B6F"/>
    <w:rsid w:val="008123D6"/>
    <w:rsid w:val="00812ABC"/>
    <w:rsid w:val="00812C83"/>
    <w:rsid w:val="00814E51"/>
    <w:rsid w:val="008169E3"/>
    <w:rsid w:val="008171EC"/>
    <w:rsid w:val="00817661"/>
    <w:rsid w:val="0082048F"/>
    <w:rsid w:val="00821800"/>
    <w:rsid w:val="00822CE0"/>
    <w:rsid w:val="00824D8D"/>
    <w:rsid w:val="0082543E"/>
    <w:rsid w:val="008256AD"/>
    <w:rsid w:val="00825EFC"/>
    <w:rsid w:val="0082660B"/>
    <w:rsid w:val="00826B49"/>
    <w:rsid w:val="00826BD6"/>
    <w:rsid w:val="00826F4F"/>
    <w:rsid w:val="00827409"/>
    <w:rsid w:val="00827BFC"/>
    <w:rsid w:val="00830A00"/>
    <w:rsid w:val="008319DB"/>
    <w:rsid w:val="00832133"/>
    <w:rsid w:val="008327B3"/>
    <w:rsid w:val="00833454"/>
    <w:rsid w:val="00836A03"/>
    <w:rsid w:val="00841AB1"/>
    <w:rsid w:val="00842D33"/>
    <w:rsid w:val="00843986"/>
    <w:rsid w:val="00844185"/>
    <w:rsid w:val="0084566D"/>
    <w:rsid w:val="00847166"/>
    <w:rsid w:val="008479B3"/>
    <w:rsid w:val="0085192D"/>
    <w:rsid w:val="00852762"/>
    <w:rsid w:val="00852858"/>
    <w:rsid w:val="008570D7"/>
    <w:rsid w:val="0085757C"/>
    <w:rsid w:val="008609CD"/>
    <w:rsid w:val="008612C0"/>
    <w:rsid w:val="00862D5A"/>
    <w:rsid w:val="00862D8D"/>
    <w:rsid w:val="00863B43"/>
    <w:rsid w:val="008664B7"/>
    <w:rsid w:val="00867AEA"/>
    <w:rsid w:val="00867FF9"/>
    <w:rsid w:val="0087267C"/>
    <w:rsid w:val="00873089"/>
    <w:rsid w:val="0087399D"/>
    <w:rsid w:val="00875A95"/>
    <w:rsid w:val="00876304"/>
    <w:rsid w:val="00881474"/>
    <w:rsid w:val="00882121"/>
    <w:rsid w:val="00883387"/>
    <w:rsid w:val="00884EA6"/>
    <w:rsid w:val="008901D9"/>
    <w:rsid w:val="0089111B"/>
    <w:rsid w:val="0089118D"/>
    <w:rsid w:val="00891710"/>
    <w:rsid w:val="00893A48"/>
    <w:rsid w:val="008A34A3"/>
    <w:rsid w:val="008A4585"/>
    <w:rsid w:val="008A7295"/>
    <w:rsid w:val="008B0090"/>
    <w:rsid w:val="008B44D6"/>
    <w:rsid w:val="008B558F"/>
    <w:rsid w:val="008B64EC"/>
    <w:rsid w:val="008C36C3"/>
    <w:rsid w:val="008C40D8"/>
    <w:rsid w:val="008C509A"/>
    <w:rsid w:val="008C5798"/>
    <w:rsid w:val="008C68F1"/>
    <w:rsid w:val="008C7237"/>
    <w:rsid w:val="008C7327"/>
    <w:rsid w:val="008D172E"/>
    <w:rsid w:val="008D24DD"/>
    <w:rsid w:val="008D2673"/>
    <w:rsid w:val="008D2D27"/>
    <w:rsid w:val="008D492E"/>
    <w:rsid w:val="008D4CF8"/>
    <w:rsid w:val="008D500E"/>
    <w:rsid w:val="008E0344"/>
    <w:rsid w:val="008E18AD"/>
    <w:rsid w:val="008E2AA4"/>
    <w:rsid w:val="008E360F"/>
    <w:rsid w:val="008E50C8"/>
    <w:rsid w:val="008E53D7"/>
    <w:rsid w:val="008E670F"/>
    <w:rsid w:val="008F00DC"/>
    <w:rsid w:val="008F36C2"/>
    <w:rsid w:val="008F4FD6"/>
    <w:rsid w:val="008F5384"/>
    <w:rsid w:val="008F6453"/>
    <w:rsid w:val="008F6ACC"/>
    <w:rsid w:val="0090033B"/>
    <w:rsid w:val="00901C32"/>
    <w:rsid w:val="00901EA7"/>
    <w:rsid w:val="00901ECC"/>
    <w:rsid w:val="009039DB"/>
    <w:rsid w:val="00904C7B"/>
    <w:rsid w:val="009067EE"/>
    <w:rsid w:val="00906B02"/>
    <w:rsid w:val="0091020C"/>
    <w:rsid w:val="00910725"/>
    <w:rsid w:val="0091256A"/>
    <w:rsid w:val="009138FF"/>
    <w:rsid w:val="009142D0"/>
    <w:rsid w:val="009143C1"/>
    <w:rsid w:val="00921803"/>
    <w:rsid w:val="00921B99"/>
    <w:rsid w:val="009228B1"/>
    <w:rsid w:val="00923028"/>
    <w:rsid w:val="00923F20"/>
    <w:rsid w:val="0092526A"/>
    <w:rsid w:val="0092591D"/>
    <w:rsid w:val="00926503"/>
    <w:rsid w:val="00931846"/>
    <w:rsid w:val="0093247D"/>
    <w:rsid w:val="0093345D"/>
    <w:rsid w:val="00936C0F"/>
    <w:rsid w:val="009373CA"/>
    <w:rsid w:val="00937659"/>
    <w:rsid w:val="00940F48"/>
    <w:rsid w:val="00942BB4"/>
    <w:rsid w:val="00943AA8"/>
    <w:rsid w:val="00944343"/>
    <w:rsid w:val="009448AF"/>
    <w:rsid w:val="009454A7"/>
    <w:rsid w:val="0094557B"/>
    <w:rsid w:val="009460EA"/>
    <w:rsid w:val="00947BD2"/>
    <w:rsid w:val="00952399"/>
    <w:rsid w:val="009531BC"/>
    <w:rsid w:val="00954996"/>
    <w:rsid w:val="0095595D"/>
    <w:rsid w:val="009560D8"/>
    <w:rsid w:val="00956220"/>
    <w:rsid w:val="00956408"/>
    <w:rsid w:val="00957212"/>
    <w:rsid w:val="00960454"/>
    <w:rsid w:val="0096296B"/>
    <w:rsid w:val="009657AE"/>
    <w:rsid w:val="009668F8"/>
    <w:rsid w:val="0096693B"/>
    <w:rsid w:val="00966C2B"/>
    <w:rsid w:val="00966D5F"/>
    <w:rsid w:val="00967070"/>
    <w:rsid w:val="0096791D"/>
    <w:rsid w:val="00971254"/>
    <w:rsid w:val="0097220C"/>
    <w:rsid w:val="009726D8"/>
    <w:rsid w:val="00972BFF"/>
    <w:rsid w:val="00973FE7"/>
    <w:rsid w:val="009756FF"/>
    <w:rsid w:val="00977068"/>
    <w:rsid w:val="00981428"/>
    <w:rsid w:val="0098153C"/>
    <w:rsid w:val="00981629"/>
    <w:rsid w:val="00981FDE"/>
    <w:rsid w:val="0098267D"/>
    <w:rsid w:val="00982D3B"/>
    <w:rsid w:val="00983E01"/>
    <w:rsid w:val="00986C17"/>
    <w:rsid w:val="009900B4"/>
    <w:rsid w:val="009901D6"/>
    <w:rsid w:val="00990797"/>
    <w:rsid w:val="00990D19"/>
    <w:rsid w:val="009938CF"/>
    <w:rsid w:val="00993E4A"/>
    <w:rsid w:val="009A068F"/>
    <w:rsid w:val="009A235A"/>
    <w:rsid w:val="009A2C86"/>
    <w:rsid w:val="009A38B8"/>
    <w:rsid w:val="009A3A48"/>
    <w:rsid w:val="009A5368"/>
    <w:rsid w:val="009A68D0"/>
    <w:rsid w:val="009A7421"/>
    <w:rsid w:val="009B3F36"/>
    <w:rsid w:val="009B68E5"/>
    <w:rsid w:val="009C1D43"/>
    <w:rsid w:val="009C3C23"/>
    <w:rsid w:val="009C3CFF"/>
    <w:rsid w:val="009C4029"/>
    <w:rsid w:val="009C410F"/>
    <w:rsid w:val="009C45E5"/>
    <w:rsid w:val="009C4A51"/>
    <w:rsid w:val="009C6257"/>
    <w:rsid w:val="009C64B1"/>
    <w:rsid w:val="009D0590"/>
    <w:rsid w:val="009D248C"/>
    <w:rsid w:val="009D3F10"/>
    <w:rsid w:val="009D71FF"/>
    <w:rsid w:val="009D7306"/>
    <w:rsid w:val="009D7308"/>
    <w:rsid w:val="009E358A"/>
    <w:rsid w:val="009E3B40"/>
    <w:rsid w:val="009E511C"/>
    <w:rsid w:val="009E557C"/>
    <w:rsid w:val="009E580C"/>
    <w:rsid w:val="009F06BF"/>
    <w:rsid w:val="009F158F"/>
    <w:rsid w:val="009F15B4"/>
    <w:rsid w:val="009F63DF"/>
    <w:rsid w:val="009F656E"/>
    <w:rsid w:val="009F6847"/>
    <w:rsid w:val="009F76DB"/>
    <w:rsid w:val="00A029A2"/>
    <w:rsid w:val="00A03A5C"/>
    <w:rsid w:val="00A10B15"/>
    <w:rsid w:val="00A13041"/>
    <w:rsid w:val="00A13170"/>
    <w:rsid w:val="00A13E5D"/>
    <w:rsid w:val="00A16E3F"/>
    <w:rsid w:val="00A16F71"/>
    <w:rsid w:val="00A21555"/>
    <w:rsid w:val="00A23C5E"/>
    <w:rsid w:val="00A24969"/>
    <w:rsid w:val="00A264E1"/>
    <w:rsid w:val="00A27627"/>
    <w:rsid w:val="00A2787D"/>
    <w:rsid w:val="00A301D1"/>
    <w:rsid w:val="00A305DB"/>
    <w:rsid w:val="00A314B9"/>
    <w:rsid w:val="00A32C3B"/>
    <w:rsid w:val="00A33DC9"/>
    <w:rsid w:val="00A403B0"/>
    <w:rsid w:val="00A415C7"/>
    <w:rsid w:val="00A42D60"/>
    <w:rsid w:val="00A4426A"/>
    <w:rsid w:val="00A45048"/>
    <w:rsid w:val="00A4525D"/>
    <w:rsid w:val="00A453BC"/>
    <w:rsid w:val="00A45803"/>
    <w:rsid w:val="00A45D7F"/>
    <w:rsid w:val="00A45F4F"/>
    <w:rsid w:val="00A47D7B"/>
    <w:rsid w:val="00A51987"/>
    <w:rsid w:val="00A51A79"/>
    <w:rsid w:val="00A5590B"/>
    <w:rsid w:val="00A567E9"/>
    <w:rsid w:val="00A600A9"/>
    <w:rsid w:val="00A605B5"/>
    <w:rsid w:val="00A60D74"/>
    <w:rsid w:val="00A63813"/>
    <w:rsid w:val="00A65142"/>
    <w:rsid w:val="00A65FB9"/>
    <w:rsid w:val="00A67234"/>
    <w:rsid w:val="00A7073C"/>
    <w:rsid w:val="00A70F0C"/>
    <w:rsid w:val="00A711EB"/>
    <w:rsid w:val="00A71AC5"/>
    <w:rsid w:val="00A74103"/>
    <w:rsid w:val="00A760F3"/>
    <w:rsid w:val="00A819D7"/>
    <w:rsid w:val="00A83110"/>
    <w:rsid w:val="00A83409"/>
    <w:rsid w:val="00A86A6D"/>
    <w:rsid w:val="00A86B67"/>
    <w:rsid w:val="00A928EE"/>
    <w:rsid w:val="00A95258"/>
    <w:rsid w:val="00A9527D"/>
    <w:rsid w:val="00A95614"/>
    <w:rsid w:val="00A97545"/>
    <w:rsid w:val="00A97982"/>
    <w:rsid w:val="00A979BF"/>
    <w:rsid w:val="00AA199F"/>
    <w:rsid w:val="00AA3E89"/>
    <w:rsid w:val="00AA55B7"/>
    <w:rsid w:val="00AA5B9E"/>
    <w:rsid w:val="00AA78FA"/>
    <w:rsid w:val="00AB2407"/>
    <w:rsid w:val="00AB2855"/>
    <w:rsid w:val="00AB2EE8"/>
    <w:rsid w:val="00AB53DF"/>
    <w:rsid w:val="00AB56EA"/>
    <w:rsid w:val="00AB701E"/>
    <w:rsid w:val="00AB7F76"/>
    <w:rsid w:val="00AC00BF"/>
    <w:rsid w:val="00AC174A"/>
    <w:rsid w:val="00AC1ABA"/>
    <w:rsid w:val="00AC52F1"/>
    <w:rsid w:val="00AD1D1F"/>
    <w:rsid w:val="00AD1E43"/>
    <w:rsid w:val="00AD440B"/>
    <w:rsid w:val="00AD7532"/>
    <w:rsid w:val="00AE0E03"/>
    <w:rsid w:val="00AE19B3"/>
    <w:rsid w:val="00AE3C66"/>
    <w:rsid w:val="00AE511E"/>
    <w:rsid w:val="00AF0CFA"/>
    <w:rsid w:val="00AF1633"/>
    <w:rsid w:val="00AF33D2"/>
    <w:rsid w:val="00AF3EC4"/>
    <w:rsid w:val="00AF74CF"/>
    <w:rsid w:val="00AF7EC0"/>
    <w:rsid w:val="00B05C04"/>
    <w:rsid w:val="00B05F32"/>
    <w:rsid w:val="00B060DF"/>
    <w:rsid w:val="00B06BA5"/>
    <w:rsid w:val="00B07D82"/>
    <w:rsid w:val="00B07E5C"/>
    <w:rsid w:val="00B13767"/>
    <w:rsid w:val="00B13F10"/>
    <w:rsid w:val="00B14A7E"/>
    <w:rsid w:val="00B15224"/>
    <w:rsid w:val="00B15C9A"/>
    <w:rsid w:val="00B20577"/>
    <w:rsid w:val="00B20861"/>
    <w:rsid w:val="00B24D8D"/>
    <w:rsid w:val="00B25875"/>
    <w:rsid w:val="00B27A95"/>
    <w:rsid w:val="00B31110"/>
    <w:rsid w:val="00B31F1C"/>
    <w:rsid w:val="00B32BDB"/>
    <w:rsid w:val="00B34053"/>
    <w:rsid w:val="00B35832"/>
    <w:rsid w:val="00B40804"/>
    <w:rsid w:val="00B41938"/>
    <w:rsid w:val="00B429A7"/>
    <w:rsid w:val="00B42A13"/>
    <w:rsid w:val="00B43079"/>
    <w:rsid w:val="00B439F1"/>
    <w:rsid w:val="00B4743E"/>
    <w:rsid w:val="00B47EE1"/>
    <w:rsid w:val="00B51F85"/>
    <w:rsid w:val="00B52FD5"/>
    <w:rsid w:val="00B53713"/>
    <w:rsid w:val="00B5510F"/>
    <w:rsid w:val="00B5561E"/>
    <w:rsid w:val="00B56B65"/>
    <w:rsid w:val="00B56CDF"/>
    <w:rsid w:val="00B56EA9"/>
    <w:rsid w:val="00B60822"/>
    <w:rsid w:val="00B60BEA"/>
    <w:rsid w:val="00B60C32"/>
    <w:rsid w:val="00B61BA5"/>
    <w:rsid w:val="00B63723"/>
    <w:rsid w:val="00B638A3"/>
    <w:rsid w:val="00B63AE4"/>
    <w:rsid w:val="00B650A0"/>
    <w:rsid w:val="00B70817"/>
    <w:rsid w:val="00B71A03"/>
    <w:rsid w:val="00B72353"/>
    <w:rsid w:val="00B746AA"/>
    <w:rsid w:val="00B75BFB"/>
    <w:rsid w:val="00B80C68"/>
    <w:rsid w:val="00B811F7"/>
    <w:rsid w:val="00B825BB"/>
    <w:rsid w:val="00B874D7"/>
    <w:rsid w:val="00B90AA4"/>
    <w:rsid w:val="00B92864"/>
    <w:rsid w:val="00B9354B"/>
    <w:rsid w:val="00B957E8"/>
    <w:rsid w:val="00B97E3F"/>
    <w:rsid w:val="00BA03C4"/>
    <w:rsid w:val="00BA0A0E"/>
    <w:rsid w:val="00BA0B5F"/>
    <w:rsid w:val="00BA2C65"/>
    <w:rsid w:val="00BA4161"/>
    <w:rsid w:val="00BA45EA"/>
    <w:rsid w:val="00BA481A"/>
    <w:rsid w:val="00BA5422"/>
    <w:rsid w:val="00BA5BE9"/>
    <w:rsid w:val="00BA5DC6"/>
    <w:rsid w:val="00BA6196"/>
    <w:rsid w:val="00BA7D4A"/>
    <w:rsid w:val="00BA7EBB"/>
    <w:rsid w:val="00BB158C"/>
    <w:rsid w:val="00BB6178"/>
    <w:rsid w:val="00BB7119"/>
    <w:rsid w:val="00BB71AE"/>
    <w:rsid w:val="00BC0372"/>
    <w:rsid w:val="00BC0DEA"/>
    <w:rsid w:val="00BC299B"/>
    <w:rsid w:val="00BC3DA5"/>
    <w:rsid w:val="00BC6030"/>
    <w:rsid w:val="00BC6D8C"/>
    <w:rsid w:val="00BC7EF7"/>
    <w:rsid w:val="00BD0657"/>
    <w:rsid w:val="00BD0990"/>
    <w:rsid w:val="00BD09AD"/>
    <w:rsid w:val="00BD2384"/>
    <w:rsid w:val="00BD2D26"/>
    <w:rsid w:val="00BD3D3A"/>
    <w:rsid w:val="00BD5A0B"/>
    <w:rsid w:val="00BD63D4"/>
    <w:rsid w:val="00BE0E80"/>
    <w:rsid w:val="00BE10B4"/>
    <w:rsid w:val="00BE1411"/>
    <w:rsid w:val="00BE160B"/>
    <w:rsid w:val="00BE246D"/>
    <w:rsid w:val="00BF006D"/>
    <w:rsid w:val="00BF038D"/>
    <w:rsid w:val="00BF40A1"/>
    <w:rsid w:val="00BF647E"/>
    <w:rsid w:val="00C0065C"/>
    <w:rsid w:val="00C02DE0"/>
    <w:rsid w:val="00C031C7"/>
    <w:rsid w:val="00C0448D"/>
    <w:rsid w:val="00C05D8C"/>
    <w:rsid w:val="00C0706E"/>
    <w:rsid w:val="00C071E1"/>
    <w:rsid w:val="00C07395"/>
    <w:rsid w:val="00C119A6"/>
    <w:rsid w:val="00C13865"/>
    <w:rsid w:val="00C152A9"/>
    <w:rsid w:val="00C17A19"/>
    <w:rsid w:val="00C20D2D"/>
    <w:rsid w:val="00C23ABE"/>
    <w:rsid w:val="00C30EEF"/>
    <w:rsid w:val="00C33592"/>
    <w:rsid w:val="00C34006"/>
    <w:rsid w:val="00C357D8"/>
    <w:rsid w:val="00C367B8"/>
    <w:rsid w:val="00C36A30"/>
    <w:rsid w:val="00C36B4C"/>
    <w:rsid w:val="00C40B9B"/>
    <w:rsid w:val="00C426B1"/>
    <w:rsid w:val="00C43124"/>
    <w:rsid w:val="00C43341"/>
    <w:rsid w:val="00C442EB"/>
    <w:rsid w:val="00C45FB6"/>
    <w:rsid w:val="00C47C6A"/>
    <w:rsid w:val="00C47E28"/>
    <w:rsid w:val="00C506BE"/>
    <w:rsid w:val="00C50B9C"/>
    <w:rsid w:val="00C51168"/>
    <w:rsid w:val="00C52503"/>
    <w:rsid w:val="00C54264"/>
    <w:rsid w:val="00C55AAD"/>
    <w:rsid w:val="00C56BD5"/>
    <w:rsid w:val="00C572FA"/>
    <w:rsid w:val="00C6106F"/>
    <w:rsid w:val="00C63C57"/>
    <w:rsid w:val="00C64AD7"/>
    <w:rsid w:val="00C66160"/>
    <w:rsid w:val="00C666C8"/>
    <w:rsid w:val="00C67F5B"/>
    <w:rsid w:val="00C70A36"/>
    <w:rsid w:val="00C7202D"/>
    <w:rsid w:val="00C721AC"/>
    <w:rsid w:val="00C74DBE"/>
    <w:rsid w:val="00C77339"/>
    <w:rsid w:val="00C77433"/>
    <w:rsid w:val="00C778DA"/>
    <w:rsid w:val="00C80546"/>
    <w:rsid w:val="00C808E7"/>
    <w:rsid w:val="00C810AB"/>
    <w:rsid w:val="00C81BD0"/>
    <w:rsid w:val="00C82C46"/>
    <w:rsid w:val="00C82E93"/>
    <w:rsid w:val="00C82F18"/>
    <w:rsid w:val="00C83E6F"/>
    <w:rsid w:val="00C83F67"/>
    <w:rsid w:val="00C874C0"/>
    <w:rsid w:val="00C90D6A"/>
    <w:rsid w:val="00C916E1"/>
    <w:rsid w:val="00C931C9"/>
    <w:rsid w:val="00C94018"/>
    <w:rsid w:val="00C945EC"/>
    <w:rsid w:val="00C95E1D"/>
    <w:rsid w:val="00C966F9"/>
    <w:rsid w:val="00C96A9D"/>
    <w:rsid w:val="00CA157D"/>
    <w:rsid w:val="00CA247E"/>
    <w:rsid w:val="00CA291B"/>
    <w:rsid w:val="00CA2F43"/>
    <w:rsid w:val="00CA3302"/>
    <w:rsid w:val="00CA439F"/>
    <w:rsid w:val="00CA6D21"/>
    <w:rsid w:val="00CA7B60"/>
    <w:rsid w:val="00CA7EBB"/>
    <w:rsid w:val="00CB3F52"/>
    <w:rsid w:val="00CB4FBD"/>
    <w:rsid w:val="00CC0061"/>
    <w:rsid w:val="00CC1B56"/>
    <w:rsid w:val="00CC46AD"/>
    <w:rsid w:val="00CC51FB"/>
    <w:rsid w:val="00CC579F"/>
    <w:rsid w:val="00CC6839"/>
    <w:rsid w:val="00CC6BF3"/>
    <w:rsid w:val="00CC72B6"/>
    <w:rsid w:val="00CC7533"/>
    <w:rsid w:val="00CD2029"/>
    <w:rsid w:val="00CD22BA"/>
    <w:rsid w:val="00CD2EFE"/>
    <w:rsid w:val="00CD33AD"/>
    <w:rsid w:val="00CE2557"/>
    <w:rsid w:val="00CE26AE"/>
    <w:rsid w:val="00CE27AF"/>
    <w:rsid w:val="00CE416E"/>
    <w:rsid w:val="00CE484A"/>
    <w:rsid w:val="00CE5649"/>
    <w:rsid w:val="00CE6D6B"/>
    <w:rsid w:val="00CE721B"/>
    <w:rsid w:val="00CF007B"/>
    <w:rsid w:val="00CF29FD"/>
    <w:rsid w:val="00CF3ED6"/>
    <w:rsid w:val="00CF3F6A"/>
    <w:rsid w:val="00CF4E45"/>
    <w:rsid w:val="00CF7809"/>
    <w:rsid w:val="00CF7F9B"/>
    <w:rsid w:val="00D00057"/>
    <w:rsid w:val="00D00EF5"/>
    <w:rsid w:val="00D0218D"/>
    <w:rsid w:val="00D0417A"/>
    <w:rsid w:val="00D065E8"/>
    <w:rsid w:val="00D073FB"/>
    <w:rsid w:val="00D07898"/>
    <w:rsid w:val="00D10339"/>
    <w:rsid w:val="00D126BE"/>
    <w:rsid w:val="00D1402B"/>
    <w:rsid w:val="00D14401"/>
    <w:rsid w:val="00D15FAD"/>
    <w:rsid w:val="00D163ED"/>
    <w:rsid w:val="00D1704A"/>
    <w:rsid w:val="00D2525D"/>
    <w:rsid w:val="00D25FB5"/>
    <w:rsid w:val="00D26135"/>
    <w:rsid w:val="00D26DF8"/>
    <w:rsid w:val="00D271AB"/>
    <w:rsid w:val="00D27C72"/>
    <w:rsid w:val="00D307A5"/>
    <w:rsid w:val="00D30A9F"/>
    <w:rsid w:val="00D3159A"/>
    <w:rsid w:val="00D320D1"/>
    <w:rsid w:val="00D326DA"/>
    <w:rsid w:val="00D343C1"/>
    <w:rsid w:val="00D3659A"/>
    <w:rsid w:val="00D37249"/>
    <w:rsid w:val="00D378B2"/>
    <w:rsid w:val="00D37A32"/>
    <w:rsid w:val="00D40824"/>
    <w:rsid w:val="00D4192A"/>
    <w:rsid w:val="00D42D6F"/>
    <w:rsid w:val="00D43D54"/>
    <w:rsid w:val="00D44223"/>
    <w:rsid w:val="00D44600"/>
    <w:rsid w:val="00D44C7E"/>
    <w:rsid w:val="00D46D46"/>
    <w:rsid w:val="00D473F3"/>
    <w:rsid w:val="00D4760A"/>
    <w:rsid w:val="00D50011"/>
    <w:rsid w:val="00D50332"/>
    <w:rsid w:val="00D5066D"/>
    <w:rsid w:val="00D51192"/>
    <w:rsid w:val="00D5501F"/>
    <w:rsid w:val="00D5505E"/>
    <w:rsid w:val="00D56D5A"/>
    <w:rsid w:val="00D574C3"/>
    <w:rsid w:val="00D627AC"/>
    <w:rsid w:val="00D62A3C"/>
    <w:rsid w:val="00D63B02"/>
    <w:rsid w:val="00D6409A"/>
    <w:rsid w:val="00D64B89"/>
    <w:rsid w:val="00D654EF"/>
    <w:rsid w:val="00D6686D"/>
    <w:rsid w:val="00D677A6"/>
    <w:rsid w:val="00D70E23"/>
    <w:rsid w:val="00D721D9"/>
    <w:rsid w:val="00D733D7"/>
    <w:rsid w:val="00D77F4F"/>
    <w:rsid w:val="00D8047F"/>
    <w:rsid w:val="00D80EDE"/>
    <w:rsid w:val="00D81347"/>
    <w:rsid w:val="00D82AAF"/>
    <w:rsid w:val="00D832A9"/>
    <w:rsid w:val="00D83CCC"/>
    <w:rsid w:val="00D84BB9"/>
    <w:rsid w:val="00D8538A"/>
    <w:rsid w:val="00D90DA7"/>
    <w:rsid w:val="00D91764"/>
    <w:rsid w:val="00D91C61"/>
    <w:rsid w:val="00D92883"/>
    <w:rsid w:val="00D93275"/>
    <w:rsid w:val="00D939D3"/>
    <w:rsid w:val="00D944EE"/>
    <w:rsid w:val="00D965F3"/>
    <w:rsid w:val="00D96655"/>
    <w:rsid w:val="00D96700"/>
    <w:rsid w:val="00D97D7D"/>
    <w:rsid w:val="00D97F00"/>
    <w:rsid w:val="00D97F43"/>
    <w:rsid w:val="00DA045B"/>
    <w:rsid w:val="00DA1307"/>
    <w:rsid w:val="00DA1A57"/>
    <w:rsid w:val="00DA2529"/>
    <w:rsid w:val="00DA51ED"/>
    <w:rsid w:val="00DA59F7"/>
    <w:rsid w:val="00DA5F22"/>
    <w:rsid w:val="00DA61EE"/>
    <w:rsid w:val="00DA7E50"/>
    <w:rsid w:val="00DA7EFD"/>
    <w:rsid w:val="00DB0298"/>
    <w:rsid w:val="00DB0737"/>
    <w:rsid w:val="00DB11AB"/>
    <w:rsid w:val="00DB130A"/>
    <w:rsid w:val="00DB2BA4"/>
    <w:rsid w:val="00DB2EBB"/>
    <w:rsid w:val="00DB3FD8"/>
    <w:rsid w:val="00DB5C78"/>
    <w:rsid w:val="00DB6823"/>
    <w:rsid w:val="00DB6929"/>
    <w:rsid w:val="00DB7CDF"/>
    <w:rsid w:val="00DC0116"/>
    <w:rsid w:val="00DC0A66"/>
    <w:rsid w:val="00DC10A1"/>
    <w:rsid w:val="00DC352A"/>
    <w:rsid w:val="00DC44B3"/>
    <w:rsid w:val="00DC655F"/>
    <w:rsid w:val="00DC7471"/>
    <w:rsid w:val="00DC7802"/>
    <w:rsid w:val="00DD0544"/>
    <w:rsid w:val="00DD0B59"/>
    <w:rsid w:val="00DD16C0"/>
    <w:rsid w:val="00DD2015"/>
    <w:rsid w:val="00DD26B9"/>
    <w:rsid w:val="00DD3407"/>
    <w:rsid w:val="00DD52AC"/>
    <w:rsid w:val="00DD59A7"/>
    <w:rsid w:val="00DD7EBD"/>
    <w:rsid w:val="00DE0167"/>
    <w:rsid w:val="00DE1054"/>
    <w:rsid w:val="00DE1E4F"/>
    <w:rsid w:val="00DE47E4"/>
    <w:rsid w:val="00DE7DCB"/>
    <w:rsid w:val="00DF0581"/>
    <w:rsid w:val="00DF1315"/>
    <w:rsid w:val="00DF4F07"/>
    <w:rsid w:val="00DF62B6"/>
    <w:rsid w:val="00DF7C8E"/>
    <w:rsid w:val="00E03106"/>
    <w:rsid w:val="00E0361E"/>
    <w:rsid w:val="00E03D7F"/>
    <w:rsid w:val="00E07225"/>
    <w:rsid w:val="00E116D8"/>
    <w:rsid w:val="00E11C7A"/>
    <w:rsid w:val="00E1268D"/>
    <w:rsid w:val="00E13A89"/>
    <w:rsid w:val="00E1498E"/>
    <w:rsid w:val="00E1687C"/>
    <w:rsid w:val="00E16ECB"/>
    <w:rsid w:val="00E2166A"/>
    <w:rsid w:val="00E2172A"/>
    <w:rsid w:val="00E217E5"/>
    <w:rsid w:val="00E225FD"/>
    <w:rsid w:val="00E26330"/>
    <w:rsid w:val="00E268CD"/>
    <w:rsid w:val="00E26A74"/>
    <w:rsid w:val="00E3082C"/>
    <w:rsid w:val="00E30F1C"/>
    <w:rsid w:val="00E30F96"/>
    <w:rsid w:val="00E327D4"/>
    <w:rsid w:val="00E35086"/>
    <w:rsid w:val="00E37F99"/>
    <w:rsid w:val="00E41A32"/>
    <w:rsid w:val="00E45282"/>
    <w:rsid w:val="00E46FAB"/>
    <w:rsid w:val="00E47E33"/>
    <w:rsid w:val="00E507A9"/>
    <w:rsid w:val="00E50BFD"/>
    <w:rsid w:val="00E531A0"/>
    <w:rsid w:val="00E5409F"/>
    <w:rsid w:val="00E546C9"/>
    <w:rsid w:val="00E54B1E"/>
    <w:rsid w:val="00E5501C"/>
    <w:rsid w:val="00E55A59"/>
    <w:rsid w:val="00E57021"/>
    <w:rsid w:val="00E57FED"/>
    <w:rsid w:val="00E60890"/>
    <w:rsid w:val="00E61124"/>
    <w:rsid w:val="00E62260"/>
    <w:rsid w:val="00E63980"/>
    <w:rsid w:val="00E63DF7"/>
    <w:rsid w:val="00E652D3"/>
    <w:rsid w:val="00E657FE"/>
    <w:rsid w:val="00E65AD2"/>
    <w:rsid w:val="00E70FE4"/>
    <w:rsid w:val="00E71D97"/>
    <w:rsid w:val="00E72C1B"/>
    <w:rsid w:val="00E737E5"/>
    <w:rsid w:val="00E74FD3"/>
    <w:rsid w:val="00E74FFA"/>
    <w:rsid w:val="00E767E2"/>
    <w:rsid w:val="00E76FEA"/>
    <w:rsid w:val="00E77751"/>
    <w:rsid w:val="00E806B2"/>
    <w:rsid w:val="00E83B40"/>
    <w:rsid w:val="00E85A57"/>
    <w:rsid w:val="00E87223"/>
    <w:rsid w:val="00E9389A"/>
    <w:rsid w:val="00E94729"/>
    <w:rsid w:val="00E974E9"/>
    <w:rsid w:val="00EA0470"/>
    <w:rsid w:val="00EA0F94"/>
    <w:rsid w:val="00EA1D4E"/>
    <w:rsid w:val="00EA2EA5"/>
    <w:rsid w:val="00EA2F13"/>
    <w:rsid w:val="00EA380D"/>
    <w:rsid w:val="00EA50D1"/>
    <w:rsid w:val="00EB089A"/>
    <w:rsid w:val="00EB1C54"/>
    <w:rsid w:val="00EB226D"/>
    <w:rsid w:val="00EB2D7B"/>
    <w:rsid w:val="00EB494B"/>
    <w:rsid w:val="00EB55A2"/>
    <w:rsid w:val="00EB6F53"/>
    <w:rsid w:val="00EB77C9"/>
    <w:rsid w:val="00EB796B"/>
    <w:rsid w:val="00EB7F92"/>
    <w:rsid w:val="00EC0590"/>
    <w:rsid w:val="00EC13E8"/>
    <w:rsid w:val="00EC1FD4"/>
    <w:rsid w:val="00EC20D8"/>
    <w:rsid w:val="00EC3B4C"/>
    <w:rsid w:val="00EC4970"/>
    <w:rsid w:val="00EC63C5"/>
    <w:rsid w:val="00EC7920"/>
    <w:rsid w:val="00ED267D"/>
    <w:rsid w:val="00ED5196"/>
    <w:rsid w:val="00EE216D"/>
    <w:rsid w:val="00EE3481"/>
    <w:rsid w:val="00EE3C6F"/>
    <w:rsid w:val="00EE3D9E"/>
    <w:rsid w:val="00EE4A2B"/>
    <w:rsid w:val="00EE6488"/>
    <w:rsid w:val="00EE6AA3"/>
    <w:rsid w:val="00EE740D"/>
    <w:rsid w:val="00EE7933"/>
    <w:rsid w:val="00EE79E4"/>
    <w:rsid w:val="00EF0195"/>
    <w:rsid w:val="00EF1836"/>
    <w:rsid w:val="00EF2728"/>
    <w:rsid w:val="00EF2BD2"/>
    <w:rsid w:val="00EF33F5"/>
    <w:rsid w:val="00EF375E"/>
    <w:rsid w:val="00EF6912"/>
    <w:rsid w:val="00EF7C58"/>
    <w:rsid w:val="00F00CC2"/>
    <w:rsid w:val="00F00DEB"/>
    <w:rsid w:val="00F021FA"/>
    <w:rsid w:val="00F02DBC"/>
    <w:rsid w:val="00F02E54"/>
    <w:rsid w:val="00F035C0"/>
    <w:rsid w:val="00F040E9"/>
    <w:rsid w:val="00F05317"/>
    <w:rsid w:val="00F05FF8"/>
    <w:rsid w:val="00F11150"/>
    <w:rsid w:val="00F11BB2"/>
    <w:rsid w:val="00F122C2"/>
    <w:rsid w:val="00F13197"/>
    <w:rsid w:val="00F13FC0"/>
    <w:rsid w:val="00F15E8A"/>
    <w:rsid w:val="00F16743"/>
    <w:rsid w:val="00F167A7"/>
    <w:rsid w:val="00F16B40"/>
    <w:rsid w:val="00F175CC"/>
    <w:rsid w:val="00F20360"/>
    <w:rsid w:val="00F20C04"/>
    <w:rsid w:val="00F212F0"/>
    <w:rsid w:val="00F2164E"/>
    <w:rsid w:val="00F22150"/>
    <w:rsid w:val="00F235B2"/>
    <w:rsid w:val="00F25342"/>
    <w:rsid w:val="00F259DB"/>
    <w:rsid w:val="00F262AD"/>
    <w:rsid w:val="00F268FF"/>
    <w:rsid w:val="00F27F7C"/>
    <w:rsid w:val="00F3014E"/>
    <w:rsid w:val="00F30A54"/>
    <w:rsid w:val="00F33307"/>
    <w:rsid w:val="00F334C5"/>
    <w:rsid w:val="00F33568"/>
    <w:rsid w:val="00F33F9B"/>
    <w:rsid w:val="00F3470D"/>
    <w:rsid w:val="00F36122"/>
    <w:rsid w:val="00F40F24"/>
    <w:rsid w:val="00F41CC7"/>
    <w:rsid w:val="00F43779"/>
    <w:rsid w:val="00F44238"/>
    <w:rsid w:val="00F44E98"/>
    <w:rsid w:val="00F458FC"/>
    <w:rsid w:val="00F45D45"/>
    <w:rsid w:val="00F465ED"/>
    <w:rsid w:val="00F4795D"/>
    <w:rsid w:val="00F522B6"/>
    <w:rsid w:val="00F52CBE"/>
    <w:rsid w:val="00F5403D"/>
    <w:rsid w:val="00F5493B"/>
    <w:rsid w:val="00F56AA5"/>
    <w:rsid w:val="00F56F1D"/>
    <w:rsid w:val="00F606CB"/>
    <w:rsid w:val="00F61A0E"/>
    <w:rsid w:val="00F62558"/>
    <w:rsid w:val="00F62E97"/>
    <w:rsid w:val="00F633B6"/>
    <w:rsid w:val="00F64209"/>
    <w:rsid w:val="00F657E9"/>
    <w:rsid w:val="00F670A4"/>
    <w:rsid w:val="00F67B05"/>
    <w:rsid w:val="00F710B1"/>
    <w:rsid w:val="00F725E8"/>
    <w:rsid w:val="00F7365C"/>
    <w:rsid w:val="00F7560C"/>
    <w:rsid w:val="00F810DE"/>
    <w:rsid w:val="00F83D61"/>
    <w:rsid w:val="00F93273"/>
    <w:rsid w:val="00F93BF5"/>
    <w:rsid w:val="00F958C8"/>
    <w:rsid w:val="00F97242"/>
    <w:rsid w:val="00F972A3"/>
    <w:rsid w:val="00FA150D"/>
    <w:rsid w:val="00FA2261"/>
    <w:rsid w:val="00FA45DD"/>
    <w:rsid w:val="00FA53CE"/>
    <w:rsid w:val="00FB09AA"/>
    <w:rsid w:val="00FB40BC"/>
    <w:rsid w:val="00FB4E59"/>
    <w:rsid w:val="00FB7E0B"/>
    <w:rsid w:val="00FC211C"/>
    <w:rsid w:val="00FC280A"/>
    <w:rsid w:val="00FC313C"/>
    <w:rsid w:val="00FC3243"/>
    <w:rsid w:val="00FC3D09"/>
    <w:rsid w:val="00FC6809"/>
    <w:rsid w:val="00FC6914"/>
    <w:rsid w:val="00FD0EA3"/>
    <w:rsid w:val="00FD1678"/>
    <w:rsid w:val="00FD4033"/>
    <w:rsid w:val="00FD443D"/>
    <w:rsid w:val="00FD4B88"/>
    <w:rsid w:val="00FD5A7B"/>
    <w:rsid w:val="00FD5DA8"/>
    <w:rsid w:val="00FD76A8"/>
    <w:rsid w:val="00FE179C"/>
    <w:rsid w:val="00FE2DB0"/>
    <w:rsid w:val="00FE4FF5"/>
    <w:rsid w:val="00FE4FF7"/>
    <w:rsid w:val="00FE5425"/>
    <w:rsid w:val="00FE58A3"/>
    <w:rsid w:val="00FE58D5"/>
    <w:rsid w:val="00FE61B7"/>
    <w:rsid w:val="00FF2A59"/>
    <w:rsid w:val="00FF309F"/>
    <w:rsid w:val="00FF355F"/>
    <w:rsid w:val="00FF67FB"/>
    <w:rsid w:val="2EB3727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DCAC343-DA51-476D-AB60-59F18747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customStyle="1" w:styleId="Byline">
    <w:name w:val="Byline"/>
    <w:basedOn w:val="BodyText"/>
    <w:rsid w:val="00543D22"/>
    <w:pPr>
      <w:spacing w:after="0"/>
    </w:pPr>
  </w:style>
  <w:style w:type="paragraph" w:styleId="BodyText">
    <w:name w:val="Body Text"/>
    <w:basedOn w:val="Normal"/>
    <w:link w:val="BodyTextChar"/>
    <w:rsid w:val="00543D22"/>
    <w:pPr>
      <w:spacing w:after="120"/>
    </w:pPr>
  </w:style>
  <w:style w:type="character" w:customStyle="1" w:styleId="BodyTextChar">
    <w:name w:val="Body Text Char"/>
    <w:basedOn w:val="DefaultParagraphFont"/>
    <w:link w:val="BodyText"/>
    <w:rsid w:val="00543D2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F00DC"/>
  </w:style>
  <w:style w:type="paragraph" w:styleId="BalloonText">
    <w:name w:val="Balloon Text"/>
    <w:basedOn w:val="Normal"/>
    <w:link w:val="BalloonTextChar"/>
    <w:rsid w:val="00783442"/>
    <w:rPr>
      <w:rFonts w:ascii="Segoe UI" w:hAnsi="Segoe UI" w:cs="Segoe UI"/>
      <w:sz w:val="18"/>
      <w:szCs w:val="18"/>
    </w:rPr>
  </w:style>
  <w:style w:type="character" w:customStyle="1" w:styleId="BalloonTextChar">
    <w:name w:val="Balloon Text Char"/>
    <w:basedOn w:val="DefaultParagraphFont"/>
    <w:link w:val="BalloonText"/>
    <w:rsid w:val="00783442"/>
    <w:rPr>
      <w:rFonts w:ascii="Segoe UI" w:hAnsi="Segoe UI" w:cs="Segoe UI"/>
      <w:snapToGrid w:val="0"/>
      <w:kern w:val="28"/>
      <w:sz w:val="18"/>
      <w:szCs w:val="18"/>
    </w:rPr>
  </w:style>
  <w:style w:type="character" w:styleId="CommentReference">
    <w:name w:val="annotation reference"/>
    <w:basedOn w:val="DefaultParagraphFont"/>
    <w:rsid w:val="00BD3D3A"/>
    <w:rPr>
      <w:sz w:val="16"/>
      <w:szCs w:val="16"/>
    </w:rPr>
  </w:style>
  <w:style w:type="paragraph" w:styleId="CommentText">
    <w:name w:val="annotation text"/>
    <w:basedOn w:val="Normal"/>
    <w:link w:val="CommentTextChar"/>
    <w:rsid w:val="00BD3D3A"/>
    <w:rPr>
      <w:sz w:val="20"/>
    </w:rPr>
  </w:style>
  <w:style w:type="character" w:customStyle="1" w:styleId="CommentTextChar">
    <w:name w:val="Comment Text Char"/>
    <w:basedOn w:val="DefaultParagraphFont"/>
    <w:link w:val="CommentText"/>
    <w:rsid w:val="00BD3D3A"/>
    <w:rPr>
      <w:snapToGrid w:val="0"/>
      <w:kern w:val="28"/>
    </w:rPr>
  </w:style>
  <w:style w:type="paragraph" w:styleId="CommentSubject">
    <w:name w:val="annotation subject"/>
    <w:basedOn w:val="CommentText"/>
    <w:next w:val="CommentText"/>
    <w:link w:val="CommentSubjectChar"/>
    <w:rsid w:val="00BD3D3A"/>
    <w:rPr>
      <w:b/>
      <w:bCs/>
    </w:rPr>
  </w:style>
  <w:style w:type="character" w:customStyle="1" w:styleId="CommentSubjectChar">
    <w:name w:val="Comment Subject Char"/>
    <w:basedOn w:val="CommentTextChar"/>
    <w:link w:val="CommentSubject"/>
    <w:rsid w:val="00BD3D3A"/>
    <w:rPr>
      <w:b/>
      <w:bCs/>
      <w:snapToGrid w:val="0"/>
      <w:kern w:val="28"/>
    </w:rPr>
  </w:style>
  <w:style w:type="character" w:customStyle="1" w:styleId="UnresolvedMention1">
    <w:name w:val="Unresolved Mention1"/>
    <w:basedOn w:val="DefaultParagraphFont"/>
    <w:uiPriority w:val="99"/>
    <w:semiHidden/>
    <w:unhideWhenUsed/>
    <w:rsid w:val="00AE3C66"/>
    <w:rPr>
      <w:color w:val="605E5C"/>
      <w:shd w:val="clear" w:color="auto" w:fill="E1DFDD"/>
    </w:rPr>
  </w:style>
  <w:style w:type="paragraph" w:styleId="Revision">
    <w:name w:val="Revision"/>
    <w:hidden/>
    <w:uiPriority w:val="99"/>
    <w:semiHidden/>
    <w:rsid w:val="00923028"/>
    <w:rPr>
      <w:snapToGrid w:val="0"/>
      <w:kern w:val="28"/>
      <w:sz w:val="22"/>
    </w:rPr>
  </w:style>
  <w:style w:type="character" w:customStyle="1" w:styleId="FootnoteTextCharCharChar">
    <w:name w:val="Footnote Text Char Char Char"/>
    <w:aliases w:val="Footnote Text Char2 Char,Footnote Text Char2 Char Char Char,Footnote Text Char2 Char1 Char1 Char Char Char,Footnote Text Char3 Char1 Char Char Char,Footnote Text Char3 Char1 Char Char Char Char Char,f Char"/>
    <w:rsid w:val="008D172E"/>
  </w:style>
  <w:style w:type="character" w:customStyle="1" w:styleId="ParaNumChar">
    <w:name w:val="ParaNum Char"/>
    <w:link w:val="ParaNum"/>
    <w:locked/>
    <w:rsid w:val="000E57A4"/>
    <w:rPr>
      <w:snapToGrid w:val="0"/>
      <w:kern w:val="28"/>
      <w:sz w:val="22"/>
    </w:rPr>
  </w:style>
  <w:style w:type="character" w:customStyle="1" w:styleId="UnresolvedMention">
    <w:name w:val="Unresolved Mention"/>
    <w:basedOn w:val="DefaultParagraphFont"/>
    <w:uiPriority w:val="99"/>
    <w:semiHidden/>
    <w:unhideWhenUsed/>
    <w:rsid w:val="008E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about:bla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