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577" w:rsidRPr="00DB4971">
      <w:pPr>
        <w:pStyle w:val="Header"/>
        <w:tabs>
          <w:tab w:val="clear" w:pos="4320"/>
          <w:tab w:val="clear" w:pos="8640"/>
        </w:tabs>
        <w:rPr>
          <w:szCs w:val="22"/>
        </w:rPr>
        <w:sectPr>
          <w:footerReference w:type="default" r:id="rId5"/>
          <w:headerReference w:type="first" r:id="rId6"/>
          <w:pgSz w:w="12240" w:h="15840" w:code="1"/>
          <w:pgMar w:top="720" w:right="720" w:bottom="1440" w:left="720" w:header="720" w:footer="1440" w:gutter="0"/>
          <w:cols w:space="720"/>
          <w:titlePg/>
        </w:sectPr>
      </w:pPr>
      <w:bookmarkStart w:id="1" w:name="_GoBack"/>
      <w:bookmarkEnd w:id="1"/>
      <w:r>
        <w:rPr>
          <w:szCs w:val="22"/>
        </w:rPr>
        <w:t xml:space="preserve"> </w:t>
      </w:r>
      <w:r w:rsidR="00FE2783">
        <w:rPr>
          <w:szCs w:val="22"/>
        </w:rPr>
        <w:t xml:space="preserve"> </w:t>
      </w:r>
    </w:p>
    <w:p w:rsidR="00C1509A" w:rsidRPr="003B5C6E" w:rsidP="00C1509A">
      <w:pPr>
        <w:suppressAutoHyphens/>
        <w:spacing w:after="120"/>
        <w:ind w:left="7920"/>
        <w:jc w:val="right"/>
        <w:rPr>
          <w:b/>
          <w:szCs w:val="22"/>
        </w:rPr>
      </w:pPr>
      <w:r w:rsidRPr="003B5C6E">
        <w:rPr>
          <w:b/>
          <w:szCs w:val="22"/>
        </w:rPr>
        <w:t xml:space="preserve">DA </w:t>
      </w:r>
      <w:r w:rsidR="002F7967">
        <w:rPr>
          <w:b/>
          <w:szCs w:val="22"/>
        </w:rPr>
        <w:t>20-</w:t>
      </w:r>
      <w:r w:rsidR="00887DEE">
        <w:rPr>
          <w:b/>
          <w:szCs w:val="22"/>
        </w:rPr>
        <w:t>1106</w:t>
      </w:r>
    </w:p>
    <w:p w:rsidR="00C1509A" w:rsidRPr="003B5C6E" w:rsidP="00C1509A">
      <w:pPr>
        <w:suppressAutoHyphens/>
        <w:spacing w:after="240"/>
        <w:ind w:left="720"/>
        <w:jc w:val="right"/>
        <w:rPr>
          <w:b/>
          <w:szCs w:val="22"/>
        </w:rPr>
      </w:pPr>
      <w:r w:rsidRPr="003B5C6E">
        <w:rPr>
          <w:b/>
          <w:szCs w:val="22"/>
        </w:rPr>
        <w:t xml:space="preserve">Released:  </w:t>
      </w:r>
      <w:r w:rsidR="002C7B25">
        <w:rPr>
          <w:b/>
          <w:szCs w:val="22"/>
        </w:rPr>
        <w:t>September 18</w:t>
      </w:r>
      <w:r w:rsidR="002F7967">
        <w:rPr>
          <w:b/>
          <w:szCs w:val="22"/>
        </w:rPr>
        <w:t>, 2020</w:t>
      </w:r>
    </w:p>
    <w:p w:rsidR="00C1509A" w:rsidRPr="003B5C6E" w:rsidP="00C1509A">
      <w:pPr>
        <w:autoSpaceDE w:val="0"/>
        <w:autoSpaceDN w:val="0"/>
        <w:adjustRightInd w:val="0"/>
        <w:jc w:val="center"/>
        <w:rPr>
          <w:b/>
          <w:szCs w:val="22"/>
        </w:rPr>
      </w:pPr>
      <w:r w:rsidRPr="003B5C6E">
        <w:rPr>
          <w:b/>
          <w:szCs w:val="22"/>
        </w:rPr>
        <w:t xml:space="preserve">APPLICATIONS FILED FOR THE TRANSFER OF CONTROL OF </w:t>
      </w:r>
      <w:r w:rsidR="005E260C">
        <w:rPr>
          <w:b/>
          <w:szCs w:val="22"/>
        </w:rPr>
        <w:t xml:space="preserve">THE SUBSIDIARIES OF </w:t>
      </w:r>
    </w:p>
    <w:p w:rsidR="00C1509A" w:rsidRPr="003B5C6E" w:rsidP="00C1509A">
      <w:pPr>
        <w:autoSpaceDE w:val="0"/>
        <w:autoSpaceDN w:val="0"/>
        <w:adjustRightInd w:val="0"/>
        <w:jc w:val="center"/>
        <w:rPr>
          <w:b/>
          <w:szCs w:val="22"/>
        </w:rPr>
      </w:pPr>
      <w:r>
        <w:rPr>
          <w:b/>
          <w:szCs w:val="22"/>
        </w:rPr>
        <w:t>GCI LIBERTY, INC.</w:t>
      </w:r>
      <w:r w:rsidR="002F7967">
        <w:rPr>
          <w:b/>
          <w:szCs w:val="22"/>
        </w:rPr>
        <w:t xml:space="preserve"> TO LIBERTY BROADBAND CORPORATION</w:t>
      </w:r>
    </w:p>
    <w:p w:rsidR="00C1509A" w:rsidRPr="003B5C6E" w:rsidP="00C1509A">
      <w:pPr>
        <w:autoSpaceDE w:val="0"/>
        <w:autoSpaceDN w:val="0"/>
        <w:adjustRightInd w:val="0"/>
        <w:jc w:val="center"/>
        <w:rPr>
          <w:b/>
          <w:szCs w:val="22"/>
        </w:rPr>
      </w:pPr>
    </w:p>
    <w:p w:rsidR="00C1509A" w:rsidRPr="003B5C6E" w:rsidP="00C1509A">
      <w:pPr>
        <w:suppressAutoHyphens/>
        <w:spacing w:after="240"/>
        <w:jc w:val="center"/>
        <w:rPr>
          <w:b/>
          <w:caps/>
          <w:szCs w:val="22"/>
        </w:rPr>
      </w:pPr>
      <w:r w:rsidRPr="003B5C6E">
        <w:rPr>
          <w:b/>
          <w:caps/>
          <w:szCs w:val="22"/>
        </w:rPr>
        <w:t>Pleading Cycle Established</w:t>
      </w:r>
    </w:p>
    <w:p w:rsidR="00C1509A" w:rsidRPr="003B5C6E" w:rsidP="00C1509A">
      <w:pPr>
        <w:suppressAutoHyphens/>
        <w:spacing w:after="240"/>
        <w:jc w:val="center"/>
        <w:rPr>
          <w:b/>
          <w:szCs w:val="22"/>
        </w:rPr>
      </w:pPr>
      <w:r>
        <w:rPr>
          <w:b/>
          <w:szCs w:val="22"/>
        </w:rPr>
        <w:t xml:space="preserve">WC Docket No. </w:t>
      </w:r>
      <w:r w:rsidR="002F7967">
        <w:rPr>
          <w:b/>
          <w:szCs w:val="22"/>
        </w:rPr>
        <w:t>20</w:t>
      </w:r>
      <w:r w:rsidR="00F2658B">
        <w:rPr>
          <w:b/>
          <w:szCs w:val="22"/>
        </w:rPr>
        <w:t>-292</w:t>
      </w:r>
    </w:p>
    <w:p w:rsidR="00C1509A" w:rsidRPr="003B5C6E" w:rsidP="00C1509A">
      <w:pPr>
        <w:suppressAutoHyphens/>
        <w:rPr>
          <w:b/>
          <w:szCs w:val="22"/>
        </w:rPr>
      </w:pPr>
      <w:r w:rsidRPr="003B5C6E">
        <w:rPr>
          <w:b/>
          <w:szCs w:val="22"/>
        </w:rPr>
        <w:t xml:space="preserve">Comments Due:  </w:t>
      </w:r>
      <w:r w:rsidR="002C7B25">
        <w:rPr>
          <w:b/>
          <w:szCs w:val="22"/>
        </w:rPr>
        <w:t>October 2</w:t>
      </w:r>
      <w:r w:rsidR="002F7967">
        <w:rPr>
          <w:b/>
          <w:szCs w:val="22"/>
        </w:rPr>
        <w:t>, 2020</w:t>
      </w:r>
    </w:p>
    <w:p w:rsidR="00C1509A" w:rsidRPr="003B5C6E" w:rsidP="00C1509A">
      <w:pPr>
        <w:suppressAutoHyphens/>
        <w:rPr>
          <w:b/>
          <w:szCs w:val="22"/>
        </w:rPr>
      </w:pPr>
      <w:r w:rsidRPr="003B5C6E">
        <w:rPr>
          <w:b/>
          <w:szCs w:val="22"/>
        </w:rPr>
        <w:t>Reply Commen</w:t>
      </w:r>
      <w:r w:rsidR="001029A1">
        <w:rPr>
          <w:b/>
          <w:szCs w:val="22"/>
        </w:rPr>
        <w:t>ts</w:t>
      </w:r>
      <w:r w:rsidRPr="003B5C6E">
        <w:rPr>
          <w:b/>
          <w:szCs w:val="22"/>
        </w:rPr>
        <w:t xml:space="preserve"> Due:  </w:t>
      </w:r>
      <w:r w:rsidR="002C7B25">
        <w:rPr>
          <w:b/>
          <w:szCs w:val="22"/>
        </w:rPr>
        <w:t>October 9</w:t>
      </w:r>
      <w:r w:rsidR="002F7967">
        <w:rPr>
          <w:b/>
          <w:szCs w:val="22"/>
        </w:rPr>
        <w:t>, 2020</w:t>
      </w:r>
    </w:p>
    <w:p w:rsidR="00C1509A" w:rsidRPr="003B5C6E" w:rsidP="00C1509A">
      <w:pPr>
        <w:autoSpaceDE w:val="0"/>
        <w:autoSpaceDN w:val="0"/>
        <w:adjustRightInd w:val="0"/>
        <w:rPr>
          <w:szCs w:val="22"/>
        </w:rPr>
      </w:pPr>
    </w:p>
    <w:p w:rsidR="00C1509A" w:rsidRPr="003B5C6E" w:rsidP="004202F1">
      <w:pPr>
        <w:autoSpaceDE w:val="0"/>
        <w:autoSpaceDN w:val="0"/>
        <w:adjustRightInd w:val="0"/>
        <w:spacing w:after="120"/>
        <w:ind w:firstLine="720"/>
        <w:rPr>
          <w:szCs w:val="22"/>
        </w:rPr>
      </w:pPr>
      <w:r>
        <w:rPr>
          <w:szCs w:val="22"/>
        </w:rPr>
        <w:t xml:space="preserve">By this Public Notice, </w:t>
      </w:r>
      <w:r w:rsidRPr="001F5E63" w:rsidR="001F5E63">
        <w:rPr>
          <w:szCs w:val="22"/>
        </w:rPr>
        <w:t>the Wireline Competition Bureau, International Bureau, Wireless Telecommunications Bureau</w:t>
      </w:r>
      <w:r w:rsidR="000201F6">
        <w:rPr>
          <w:szCs w:val="22"/>
        </w:rPr>
        <w:t>, and Media Bureau</w:t>
      </w:r>
      <w:r w:rsidRPr="001F5E63" w:rsidR="001F5E63">
        <w:rPr>
          <w:szCs w:val="22"/>
        </w:rPr>
        <w:t xml:space="preserve"> </w:t>
      </w:r>
      <w:r>
        <w:rPr>
          <w:szCs w:val="22"/>
        </w:rPr>
        <w:t>seek comme</w:t>
      </w:r>
      <w:r w:rsidR="0021417E">
        <w:rPr>
          <w:szCs w:val="22"/>
        </w:rPr>
        <w:t>nt from interested parties on a series of applications</w:t>
      </w:r>
      <w:r>
        <w:rPr>
          <w:szCs w:val="22"/>
        </w:rPr>
        <w:t xml:space="preserve"> filed by</w:t>
      </w:r>
      <w:r w:rsidR="002F7967">
        <w:rPr>
          <w:szCs w:val="22"/>
        </w:rPr>
        <w:t xml:space="preserve"> </w:t>
      </w:r>
      <w:r w:rsidR="0021417E">
        <w:rPr>
          <w:szCs w:val="22"/>
        </w:rPr>
        <w:t>GCI Liberty, Inc.</w:t>
      </w:r>
      <w:r w:rsidRPr="003B5C6E" w:rsidR="00E66863">
        <w:rPr>
          <w:szCs w:val="22"/>
        </w:rPr>
        <w:t xml:space="preserve"> </w:t>
      </w:r>
      <w:r w:rsidRPr="003B5C6E">
        <w:rPr>
          <w:szCs w:val="22"/>
        </w:rPr>
        <w:t>(</w:t>
      </w:r>
      <w:r w:rsidR="0021417E">
        <w:rPr>
          <w:szCs w:val="22"/>
        </w:rPr>
        <w:t>GCI Liberty</w:t>
      </w:r>
      <w:r w:rsidRPr="003B5C6E">
        <w:rPr>
          <w:szCs w:val="22"/>
        </w:rPr>
        <w:t>)</w:t>
      </w:r>
      <w:r w:rsidR="0067755A">
        <w:rPr>
          <w:szCs w:val="22"/>
        </w:rPr>
        <w:t>,</w:t>
      </w:r>
      <w:r w:rsidR="002F7967">
        <w:rPr>
          <w:szCs w:val="22"/>
        </w:rPr>
        <w:t xml:space="preserve"> and Liberty Broadband Corporation (Liberty Broadband)</w:t>
      </w:r>
      <w:r w:rsidRPr="003B5C6E">
        <w:rPr>
          <w:szCs w:val="22"/>
        </w:rPr>
        <w:t xml:space="preserve"> (toge</w:t>
      </w:r>
      <w:r w:rsidR="00834A3E">
        <w:rPr>
          <w:szCs w:val="22"/>
        </w:rPr>
        <w:t xml:space="preserve">ther, Applicants), pursuant to </w:t>
      </w:r>
      <w:r w:rsidR="00E245CB">
        <w:rPr>
          <w:szCs w:val="22"/>
        </w:rPr>
        <w:t>s</w:t>
      </w:r>
      <w:r w:rsidRPr="003B5C6E">
        <w:rPr>
          <w:szCs w:val="22"/>
        </w:rPr>
        <w:t>ections 214 and 310(d) of the Communications Act of 1934, as amended,</w:t>
      </w:r>
      <w:r>
        <w:rPr>
          <w:szCs w:val="22"/>
          <w:vertAlign w:val="superscript"/>
        </w:rPr>
        <w:footnoteReference w:id="3"/>
      </w:r>
      <w:r w:rsidRPr="003B5C6E">
        <w:rPr>
          <w:szCs w:val="22"/>
        </w:rPr>
        <w:t xml:space="preserve"> </w:t>
      </w:r>
      <w:r w:rsidRPr="003B5C6E" w:rsidR="00772A08">
        <w:rPr>
          <w:szCs w:val="22"/>
        </w:rPr>
        <w:t>the Cable Landing License Act of 1921,</w:t>
      </w:r>
      <w:r>
        <w:rPr>
          <w:szCs w:val="22"/>
          <w:vertAlign w:val="superscript"/>
        </w:rPr>
        <w:footnoteReference w:id="4"/>
      </w:r>
      <w:r w:rsidRPr="003B5C6E" w:rsidR="00772A08">
        <w:rPr>
          <w:szCs w:val="22"/>
        </w:rPr>
        <w:t xml:space="preserve"> </w:t>
      </w:r>
      <w:r w:rsidR="002F7967">
        <w:rPr>
          <w:szCs w:val="22"/>
        </w:rPr>
        <w:t xml:space="preserve">and </w:t>
      </w:r>
      <w:r w:rsidRPr="00D326DC" w:rsidR="00D326DC">
        <w:rPr>
          <w:szCs w:val="22"/>
        </w:rPr>
        <w:t xml:space="preserve">sections </w:t>
      </w:r>
      <w:r w:rsidR="004C088A">
        <w:rPr>
          <w:szCs w:val="22"/>
        </w:rPr>
        <w:t xml:space="preserve">1.767, </w:t>
      </w:r>
      <w:r w:rsidRPr="00D326DC" w:rsidR="00D326DC">
        <w:rPr>
          <w:szCs w:val="22"/>
        </w:rPr>
        <w:t>63.03-04, 63.18, and 63.24 of the Commission’s rules,</w:t>
      </w:r>
      <w:r>
        <w:rPr>
          <w:szCs w:val="22"/>
          <w:vertAlign w:val="superscript"/>
        </w:rPr>
        <w:footnoteReference w:id="5"/>
      </w:r>
      <w:r w:rsidR="003B21EA">
        <w:rPr>
          <w:szCs w:val="22"/>
        </w:rPr>
        <w:t xml:space="preserve"> </w:t>
      </w:r>
      <w:r w:rsidRPr="003B5C6E">
        <w:rPr>
          <w:szCs w:val="22"/>
        </w:rPr>
        <w:t xml:space="preserve">seeking approval to transfer control </w:t>
      </w:r>
      <w:r w:rsidRPr="003B5C6E" w:rsidR="00BD2A05">
        <w:rPr>
          <w:szCs w:val="22"/>
        </w:rPr>
        <w:t xml:space="preserve">of </w:t>
      </w:r>
      <w:r w:rsidRPr="003B5C6E">
        <w:rPr>
          <w:szCs w:val="22"/>
        </w:rPr>
        <w:t xml:space="preserve">various licenses and authorizations held by </w:t>
      </w:r>
      <w:r w:rsidRPr="003B5C6E" w:rsidR="00E66863">
        <w:rPr>
          <w:szCs w:val="22"/>
        </w:rPr>
        <w:t xml:space="preserve">operating subsidiaries </w:t>
      </w:r>
      <w:r w:rsidR="00A5655D">
        <w:rPr>
          <w:szCs w:val="22"/>
        </w:rPr>
        <w:t>indirectly held by</w:t>
      </w:r>
      <w:r w:rsidR="0021417E">
        <w:rPr>
          <w:szCs w:val="22"/>
        </w:rPr>
        <w:t xml:space="preserve"> </w:t>
      </w:r>
      <w:r w:rsidR="00193FA6">
        <w:rPr>
          <w:szCs w:val="22"/>
        </w:rPr>
        <w:t>GCI Liberty</w:t>
      </w:r>
      <w:r w:rsidR="002F7967">
        <w:rPr>
          <w:szCs w:val="22"/>
        </w:rPr>
        <w:t xml:space="preserve"> to Liberty Broadband</w:t>
      </w:r>
      <w:r w:rsidRPr="003B5C6E">
        <w:rPr>
          <w:szCs w:val="22"/>
        </w:rPr>
        <w:t>.</w:t>
      </w:r>
      <w:r>
        <w:rPr>
          <w:rStyle w:val="FootnoteReference"/>
          <w:szCs w:val="22"/>
        </w:rPr>
        <w:footnoteReference w:id="6"/>
      </w:r>
      <w:r w:rsidRPr="003B5C6E">
        <w:rPr>
          <w:kern w:val="0"/>
          <w:szCs w:val="22"/>
        </w:rPr>
        <w:t xml:space="preserve"> </w:t>
      </w:r>
      <w:r w:rsidRPr="003B5C6E" w:rsidR="00D56769">
        <w:rPr>
          <w:kern w:val="0"/>
          <w:szCs w:val="22"/>
        </w:rPr>
        <w:t xml:space="preserve"> </w:t>
      </w:r>
    </w:p>
    <w:p w:rsidR="0011322D" w:rsidRPr="003B5C6E" w:rsidP="004202F1">
      <w:pPr>
        <w:widowControl/>
        <w:autoSpaceDE w:val="0"/>
        <w:autoSpaceDN w:val="0"/>
        <w:adjustRightInd w:val="0"/>
        <w:spacing w:after="120"/>
        <w:ind w:firstLine="720"/>
        <w:rPr>
          <w:szCs w:val="22"/>
        </w:rPr>
      </w:pPr>
      <w:r>
        <w:rPr>
          <w:szCs w:val="22"/>
        </w:rPr>
        <w:t>GCI</w:t>
      </w:r>
      <w:r w:rsidR="00A5655D">
        <w:rPr>
          <w:szCs w:val="22"/>
        </w:rPr>
        <w:t xml:space="preserve"> Liberty</w:t>
      </w:r>
      <w:r>
        <w:rPr>
          <w:szCs w:val="22"/>
        </w:rPr>
        <w:t xml:space="preserve">, a </w:t>
      </w:r>
      <w:r w:rsidR="002F0DCA">
        <w:rPr>
          <w:szCs w:val="22"/>
        </w:rPr>
        <w:t xml:space="preserve">publicly </w:t>
      </w:r>
      <w:r w:rsidRPr="003B5C6E" w:rsidR="00E33AB4">
        <w:rPr>
          <w:szCs w:val="22"/>
        </w:rPr>
        <w:t xml:space="preserve">traded </w:t>
      </w:r>
      <w:r w:rsidR="00A5655D">
        <w:rPr>
          <w:szCs w:val="22"/>
        </w:rPr>
        <w:t>Delaware</w:t>
      </w:r>
      <w:r>
        <w:rPr>
          <w:szCs w:val="22"/>
        </w:rPr>
        <w:t xml:space="preserve"> corporation, </w:t>
      </w:r>
      <w:r w:rsidR="009E0BDD">
        <w:rPr>
          <w:szCs w:val="22"/>
        </w:rPr>
        <w:t>holds interests in various companies</w:t>
      </w:r>
      <w:r w:rsidR="0067755A">
        <w:rPr>
          <w:szCs w:val="22"/>
        </w:rPr>
        <w:t>,</w:t>
      </w:r>
      <w:r w:rsidR="00253AEB">
        <w:rPr>
          <w:szCs w:val="22"/>
        </w:rPr>
        <w:t xml:space="preserve"> </w:t>
      </w:r>
      <w:r w:rsidR="009E0BDD">
        <w:rPr>
          <w:szCs w:val="22"/>
        </w:rPr>
        <w:t xml:space="preserve">including </w:t>
      </w:r>
      <w:r w:rsidR="003B47B6">
        <w:rPr>
          <w:szCs w:val="22"/>
        </w:rPr>
        <w:t>its wholly owned subsidiary</w:t>
      </w:r>
      <w:r w:rsidR="00C669F9">
        <w:rPr>
          <w:szCs w:val="22"/>
        </w:rPr>
        <w:t>,</w:t>
      </w:r>
      <w:r w:rsidR="003B47B6">
        <w:rPr>
          <w:szCs w:val="22"/>
        </w:rPr>
        <w:t xml:space="preserve"> </w:t>
      </w:r>
      <w:r w:rsidR="009E0BDD">
        <w:rPr>
          <w:szCs w:val="22"/>
        </w:rPr>
        <w:t xml:space="preserve">GCI Holdings, LLC </w:t>
      </w:r>
      <w:r w:rsidR="003B47B6">
        <w:rPr>
          <w:szCs w:val="22"/>
        </w:rPr>
        <w:t>(GCI Holdings)</w:t>
      </w:r>
      <w:r w:rsidR="0067755A">
        <w:rPr>
          <w:szCs w:val="22"/>
        </w:rPr>
        <w:t>,</w:t>
      </w:r>
      <w:r>
        <w:rPr>
          <w:szCs w:val="22"/>
          <w:vertAlign w:val="superscript"/>
        </w:rPr>
        <w:footnoteReference w:id="7"/>
      </w:r>
      <w:r w:rsidR="003B47B6">
        <w:rPr>
          <w:szCs w:val="22"/>
        </w:rPr>
        <w:t xml:space="preserve"> which, through its operating subsidiaries,</w:t>
      </w:r>
      <w:r>
        <w:rPr>
          <w:szCs w:val="22"/>
        </w:rPr>
        <w:t xml:space="preserve"> </w:t>
      </w:r>
      <w:r w:rsidRPr="00BC30CA" w:rsidR="00BC30CA">
        <w:rPr>
          <w:szCs w:val="22"/>
        </w:rPr>
        <w:t>provides local exchange, exchange access, domestic intrastate and interstate interexchange, resold international</w:t>
      </w:r>
      <w:r w:rsidR="00BC30CA">
        <w:rPr>
          <w:szCs w:val="22"/>
        </w:rPr>
        <w:t xml:space="preserve"> </w:t>
      </w:r>
      <w:r w:rsidRPr="00BC30CA" w:rsidR="00BC30CA">
        <w:rPr>
          <w:szCs w:val="22"/>
        </w:rPr>
        <w:t xml:space="preserve">telecommunications, commercial mobile radio and data, cable television, Internet </w:t>
      </w:r>
      <w:r w:rsidRPr="00BC30CA" w:rsidR="00BC30CA">
        <w:rPr>
          <w:szCs w:val="22"/>
        </w:rPr>
        <w:t>access, broadcast television, wholesale submarine cable capacity, specialized telecommunications and data services for the oil, gas, and mining industries, and other communications services throughout many areas of Alaska, between Alaska and the 48 contiguous states, and in certain other geographic regions.</w:t>
      </w:r>
      <w:r>
        <w:rPr>
          <w:rStyle w:val="FootnoteReference"/>
          <w:szCs w:val="22"/>
        </w:rPr>
        <w:footnoteReference w:id="8"/>
      </w:r>
      <w:r w:rsidRPr="003B5C6E" w:rsidR="00E33AB4">
        <w:rPr>
          <w:szCs w:val="22"/>
        </w:rPr>
        <w:t xml:space="preserve">  </w:t>
      </w:r>
      <w:r w:rsidR="00605433">
        <w:rPr>
          <w:szCs w:val="22"/>
        </w:rPr>
        <w:t xml:space="preserve">GCI </w:t>
      </w:r>
      <w:r w:rsidR="001D5A5B">
        <w:rPr>
          <w:szCs w:val="22"/>
        </w:rPr>
        <w:t xml:space="preserve">Holdings’ </w:t>
      </w:r>
      <w:r w:rsidR="005C4B5D">
        <w:rPr>
          <w:szCs w:val="22"/>
        </w:rPr>
        <w:t>wireline</w:t>
      </w:r>
      <w:r w:rsidR="008C10AC">
        <w:rPr>
          <w:szCs w:val="22"/>
        </w:rPr>
        <w:t xml:space="preserve"> </w:t>
      </w:r>
      <w:r w:rsidR="00605433">
        <w:rPr>
          <w:szCs w:val="22"/>
        </w:rPr>
        <w:t>operating subsidiaries</w:t>
      </w:r>
      <w:r w:rsidR="005C4B5D">
        <w:rPr>
          <w:szCs w:val="22"/>
        </w:rPr>
        <w:t xml:space="preserve"> provide the following services</w:t>
      </w:r>
      <w:r w:rsidR="008C10AC">
        <w:rPr>
          <w:szCs w:val="22"/>
        </w:rPr>
        <w:t xml:space="preserve"> in Alaska</w:t>
      </w:r>
      <w:r w:rsidR="005C4B5D">
        <w:rPr>
          <w:szCs w:val="22"/>
        </w:rPr>
        <w:t>:</w:t>
      </w:r>
      <w:r w:rsidR="00605433">
        <w:rPr>
          <w:szCs w:val="22"/>
        </w:rPr>
        <w:t xml:space="preserve"> </w:t>
      </w:r>
      <w:r w:rsidR="005C4B5D">
        <w:rPr>
          <w:szCs w:val="22"/>
        </w:rPr>
        <w:t xml:space="preserve"> </w:t>
      </w:r>
      <w:r w:rsidR="00605433">
        <w:rPr>
          <w:szCs w:val="22"/>
        </w:rPr>
        <w:t>Yukon Telephone Co., Inc., United Utilities, Inc., and United-KUC, Inc.</w:t>
      </w:r>
      <w:r w:rsidR="00F54FE5">
        <w:rPr>
          <w:szCs w:val="22"/>
        </w:rPr>
        <w:t>,</w:t>
      </w:r>
      <w:r w:rsidR="00605433">
        <w:rPr>
          <w:szCs w:val="22"/>
        </w:rPr>
        <w:t xml:space="preserve"> each operate as </w:t>
      </w:r>
      <w:r w:rsidR="0067755A">
        <w:rPr>
          <w:szCs w:val="22"/>
        </w:rPr>
        <w:t xml:space="preserve">an </w:t>
      </w:r>
      <w:r w:rsidR="00605433">
        <w:rPr>
          <w:szCs w:val="22"/>
        </w:rPr>
        <w:t xml:space="preserve">incumbent local exchange carrier (LEC) and </w:t>
      </w:r>
      <w:r w:rsidR="0067755A">
        <w:rPr>
          <w:szCs w:val="22"/>
        </w:rPr>
        <w:t xml:space="preserve">a </w:t>
      </w:r>
      <w:r w:rsidR="00605433">
        <w:rPr>
          <w:szCs w:val="22"/>
        </w:rPr>
        <w:t xml:space="preserve">fixed eligible telecommunications carrier, serving about 60 villages in rural and remote </w:t>
      </w:r>
      <w:r w:rsidR="008C10AC">
        <w:rPr>
          <w:szCs w:val="22"/>
        </w:rPr>
        <w:t>areas of the state</w:t>
      </w:r>
      <w:r w:rsidR="00047339">
        <w:rPr>
          <w:szCs w:val="22"/>
        </w:rPr>
        <w:t>;</w:t>
      </w:r>
      <w:r>
        <w:rPr>
          <w:rStyle w:val="FootnoteReference"/>
          <w:szCs w:val="22"/>
        </w:rPr>
        <w:footnoteReference w:id="9"/>
      </w:r>
      <w:r w:rsidR="00652C0A">
        <w:rPr>
          <w:szCs w:val="22"/>
        </w:rPr>
        <w:t xml:space="preserve"> </w:t>
      </w:r>
      <w:r w:rsidR="005C4B5D">
        <w:rPr>
          <w:szCs w:val="22"/>
        </w:rPr>
        <w:t xml:space="preserve">GCI Communications Corp (GCICC) </w:t>
      </w:r>
      <w:r w:rsidR="008C10AC">
        <w:rPr>
          <w:szCs w:val="22"/>
        </w:rPr>
        <w:t xml:space="preserve">provides </w:t>
      </w:r>
      <w:r w:rsidR="005C4B5D">
        <w:rPr>
          <w:szCs w:val="22"/>
        </w:rPr>
        <w:t>competitive LEC</w:t>
      </w:r>
      <w:r w:rsidR="008C10AC">
        <w:rPr>
          <w:szCs w:val="22"/>
        </w:rPr>
        <w:t xml:space="preserve"> services;</w:t>
      </w:r>
      <w:r w:rsidR="005C4B5D">
        <w:rPr>
          <w:szCs w:val="22"/>
        </w:rPr>
        <w:t xml:space="preserve"> GCICC, Unicom, Inc., and GCI Fiber Communications Co. provide intrastate interexchange service</w:t>
      </w:r>
      <w:r w:rsidR="008C10AC">
        <w:rPr>
          <w:szCs w:val="22"/>
        </w:rPr>
        <w:t xml:space="preserve">; </w:t>
      </w:r>
      <w:r w:rsidR="005C4B5D">
        <w:rPr>
          <w:szCs w:val="22"/>
        </w:rPr>
        <w:t>GCICC and United Utilities, Inc.</w:t>
      </w:r>
      <w:r w:rsidR="0067755A">
        <w:rPr>
          <w:szCs w:val="22"/>
        </w:rPr>
        <w:t>,</w:t>
      </w:r>
      <w:r w:rsidR="005C4B5D">
        <w:rPr>
          <w:szCs w:val="22"/>
        </w:rPr>
        <w:t xml:space="preserve"> provide pay telephone servi</w:t>
      </w:r>
      <w:r w:rsidR="008C10AC">
        <w:rPr>
          <w:szCs w:val="22"/>
        </w:rPr>
        <w:t>c</w:t>
      </w:r>
      <w:r w:rsidR="005C4B5D">
        <w:rPr>
          <w:szCs w:val="22"/>
        </w:rPr>
        <w:t>es</w:t>
      </w:r>
      <w:r w:rsidR="008C10AC">
        <w:rPr>
          <w:szCs w:val="22"/>
        </w:rPr>
        <w:t xml:space="preserve">; </w:t>
      </w:r>
      <w:r w:rsidR="00047339">
        <w:rPr>
          <w:szCs w:val="22"/>
        </w:rPr>
        <w:t xml:space="preserve">and </w:t>
      </w:r>
      <w:r w:rsidR="008C10AC">
        <w:rPr>
          <w:szCs w:val="22"/>
        </w:rPr>
        <w:t xml:space="preserve">United Utilities, Inc., United2, LLC, Unicom, Inc., and GCICC provide interexchange and </w:t>
      </w:r>
      <w:r w:rsidR="00B91959">
        <w:rPr>
          <w:szCs w:val="22"/>
        </w:rPr>
        <w:t>Internet access</w:t>
      </w:r>
      <w:r w:rsidR="008C10AC">
        <w:rPr>
          <w:szCs w:val="22"/>
        </w:rPr>
        <w:t xml:space="preserve"> services.</w:t>
      </w:r>
      <w:r>
        <w:rPr>
          <w:rStyle w:val="FootnoteReference"/>
          <w:szCs w:val="22"/>
        </w:rPr>
        <w:footnoteReference w:id="10"/>
      </w:r>
      <w:r w:rsidRPr="0018237B" w:rsidR="0018237B">
        <w:rPr>
          <w:szCs w:val="22"/>
        </w:rPr>
        <w:t xml:space="preserve"> </w:t>
      </w:r>
    </w:p>
    <w:p w:rsidR="0022791A" w:rsidP="004202F1">
      <w:pPr>
        <w:autoSpaceDE w:val="0"/>
        <w:autoSpaceDN w:val="0"/>
        <w:adjustRightInd w:val="0"/>
        <w:spacing w:after="120"/>
        <w:ind w:firstLine="720"/>
        <w:rPr>
          <w:szCs w:val="22"/>
        </w:rPr>
      </w:pPr>
      <w:r>
        <w:rPr>
          <w:szCs w:val="22"/>
        </w:rPr>
        <w:t xml:space="preserve">Liberty </w:t>
      </w:r>
      <w:r w:rsidR="002E159D">
        <w:rPr>
          <w:szCs w:val="22"/>
        </w:rPr>
        <w:t>Broadband</w:t>
      </w:r>
      <w:r w:rsidR="00834A3E">
        <w:rPr>
          <w:szCs w:val="22"/>
        </w:rPr>
        <w:t xml:space="preserve">, a publicly </w:t>
      </w:r>
      <w:r w:rsidR="00297EF5">
        <w:rPr>
          <w:szCs w:val="22"/>
        </w:rPr>
        <w:t>traded Delaware corporation</w:t>
      </w:r>
      <w:r w:rsidR="00503C35">
        <w:rPr>
          <w:szCs w:val="22"/>
        </w:rPr>
        <w:t>,</w:t>
      </w:r>
      <w:r w:rsidR="00297EF5">
        <w:rPr>
          <w:szCs w:val="22"/>
        </w:rPr>
        <w:t xml:space="preserve"> </w:t>
      </w:r>
      <w:r w:rsidRPr="00563775" w:rsidR="00563775">
        <w:rPr>
          <w:szCs w:val="22"/>
        </w:rPr>
        <w:t xml:space="preserve">currently owns interests in Charter and </w:t>
      </w:r>
      <w:r w:rsidR="0067755A">
        <w:rPr>
          <w:szCs w:val="22"/>
        </w:rPr>
        <w:t xml:space="preserve">in </w:t>
      </w:r>
      <w:r w:rsidRPr="00563775" w:rsidR="00563775">
        <w:rPr>
          <w:szCs w:val="22"/>
        </w:rPr>
        <w:t>Skyhook Holding, Inc. (Skyhook).</w:t>
      </w:r>
      <w:r>
        <w:rPr>
          <w:rStyle w:val="FootnoteReference"/>
          <w:szCs w:val="22"/>
        </w:rPr>
        <w:footnoteReference w:id="11"/>
      </w:r>
      <w:r w:rsidRPr="00563775" w:rsidR="00563775">
        <w:rPr>
          <w:szCs w:val="22"/>
        </w:rPr>
        <w:t xml:space="preserve"> </w:t>
      </w:r>
      <w:r w:rsidR="00563775">
        <w:rPr>
          <w:szCs w:val="22"/>
        </w:rPr>
        <w:t xml:space="preserve"> </w:t>
      </w:r>
      <w:r w:rsidRPr="00563775" w:rsidR="00563775">
        <w:rPr>
          <w:szCs w:val="22"/>
        </w:rPr>
        <w:t xml:space="preserve">Liberty Broadband beneficially owns </w:t>
      </w:r>
      <w:r w:rsidR="0067755A">
        <w:rPr>
          <w:szCs w:val="22"/>
        </w:rPr>
        <w:t xml:space="preserve">an </w:t>
      </w:r>
      <w:r w:rsidRPr="00563775" w:rsidR="00563775">
        <w:rPr>
          <w:szCs w:val="22"/>
        </w:rPr>
        <w:t xml:space="preserve">approximate 23.4% equity interest (on a fully diluted basis) and </w:t>
      </w:r>
      <w:r w:rsidR="0067755A">
        <w:rPr>
          <w:szCs w:val="22"/>
        </w:rPr>
        <w:t xml:space="preserve">a </w:t>
      </w:r>
      <w:r w:rsidRPr="00563775" w:rsidR="00563775">
        <w:rPr>
          <w:szCs w:val="22"/>
        </w:rPr>
        <w:t>25.01% voting interest in Charter.</w:t>
      </w:r>
      <w:r w:rsidR="00D010CE">
        <w:rPr>
          <w:szCs w:val="22"/>
        </w:rPr>
        <w:t xml:space="preserve"> </w:t>
      </w:r>
      <w:r w:rsidRPr="00563775" w:rsidR="00563775">
        <w:rPr>
          <w:szCs w:val="22"/>
        </w:rPr>
        <w:t xml:space="preserve"> Liberty Broadband’s wholly</w:t>
      </w:r>
      <w:r w:rsidR="00D010CE">
        <w:rPr>
          <w:szCs w:val="22"/>
        </w:rPr>
        <w:t xml:space="preserve"> </w:t>
      </w:r>
      <w:r w:rsidRPr="00563775" w:rsidR="00563775">
        <w:rPr>
          <w:szCs w:val="22"/>
        </w:rPr>
        <w:t>owned subsidiary, Skyhook, offers mobile positioning and contextual location intelligence solutions.</w:t>
      </w:r>
      <w:r>
        <w:rPr>
          <w:rStyle w:val="FootnoteReference"/>
          <w:szCs w:val="22"/>
        </w:rPr>
        <w:footnoteReference w:id="12"/>
      </w:r>
      <w:r w:rsidRPr="00563775" w:rsidR="00563775">
        <w:rPr>
          <w:szCs w:val="22"/>
        </w:rPr>
        <w:t xml:space="preserve"> </w:t>
      </w:r>
      <w:r w:rsidR="00D42926">
        <w:rPr>
          <w:szCs w:val="22"/>
        </w:rPr>
        <w:t xml:space="preserve"> </w:t>
      </w:r>
      <w:r w:rsidRPr="00D42926" w:rsidR="00D42926">
        <w:rPr>
          <w:szCs w:val="22"/>
        </w:rPr>
        <w:t>Applicants state that</w:t>
      </w:r>
      <w:r w:rsidR="00D42926">
        <w:rPr>
          <w:szCs w:val="22"/>
        </w:rPr>
        <w:t xml:space="preserve">, following the consummation of the proposed transaction, the only projected 10% or greater shareholders of Liberty Broadband will be </w:t>
      </w:r>
      <w:r w:rsidRPr="00D42926" w:rsidR="00D42926">
        <w:rPr>
          <w:szCs w:val="22"/>
        </w:rPr>
        <w:t>Dr. John C. Malone</w:t>
      </w:r>
      <w:r w:rsidR="00D42926">
        <w:rPr>
          <w:szCs w:val="22"/>
        </w:rPr>
        <w:t xml:space="preserve"> (approximately 49% voting and 4.39% equity)</w:t>
      </w:r>
      <w:r w:rsidRPr="00D42926" w:rsidR="00D42926">
        <w:rPr>
          <w:szCs w:val="22"/>
        </w:rPr>
        <w:t xml:space="preserve">, a U.S. citizen, </w:t>
      </w:r>
      <w:r w:rsidR="00D42926">
        <w:rPr>
          <w:szCs w:val="22"/>
        </w:rPr>
        <w:t>and the Vanguard Group, Inc. (Vanguard) (approximately 3.28% voting and 10.19% equity), a Pennsylvania corporation.</w:t>
      </w:r>
      <w:r>
        <w:rPr>
          <w:rStyle w:val="FootnoteReference"/>
          <w:szCs w:val="22"/>
        </w:rPr>
        <w:footnoteReference w:id="13"/>
      </w:r>
    </w:p>
    <w:p w:rsidR="00971D40" w:rsidRPr="004202F1" w:rsidP="00721F00">
      <w:pPr>
        <w:widowControl/>
        <w:autoSpaceDE w:val="0"/>
        <w:autoSpaceDN w:val="0"/>
        <w:adjustRightInd w:val="0"/>
        <w:spacing w:after="120"/>
        <w:ind w:firstLine="720"/>
        <w:rPr>
          <w:snapToGrid/>
          <w:kern w:val="0"/>
          <w:szCs w:val="22"/>
        </w:rPr>
      </w:pPr>
      <w:r>
        <w:rPr>
          <w:snapToGrid/>
          <w:kern w:val="0"/>
          <w:szCs w:val="22"/>
        </w:rPr>
        <w:t>Applicants state that, p</w:t>
      </w:r>
      <w:r w:rsidR="00F13832">
        <w:rPr>
          <w:snapToGrid/>
          <w:kern w:val="0"/>
          <w:szCs w:val="22"/>
        </w:rPr>
        <w:t>ursuant to an A</w:t>
      </w:r>
      <w:r w:rsidR="00753F32">
        <w:rPr>
          <w:snapToGrid/>
          <w:kern w:val="0"/>
          <w:szCs w:val="22"/>
        </w:rPr>
        <w:t>ugust 6, 2020</w:t>
      </w:r>
      <w:r w:rsidR="003B1038">
        <w:rPr>
          <w:snapToGrid/>
          <w:kern w:val="0"/>
          <w:szCs w:val="22"/>
        </w:rPr>
        <w:t>,</w:t>
      </w:r>
      <w:r w:rsidRPr="003B5C6E" w:rsidR="00010D83">
        <w:rPr>
          <w:snapToGrid/>
          <w:kern w:val="0"/>
          <w:szCs w:val="22"/>
        </w:rPr>
        <w:t xml:space="preserve"> Agreement and Plan o</w:t>
      </w:r>
      <w:r w:rsidRPr="003B5C6E" w:rsidR="002E611B">
        <w:rPr>
          <w:snapToGrid/>
          <w:kern w:val="0"/>
          <w:szCs w:val="22"/>
        </w:rPr>
        <w:t xml:space="preserve">f </w:t>
      </w:r>
      <w:r w:rsidR="00753F32">
        <w:rPr>
          <w:snapToGrid/>
          <w:kern w:val="0"/>
          <w:szCs w:val="22"/>
        </w:rPr>
        <w:t>Merger</w:t>
      </w:r>
      <w:r w:rsidRPr="003B5C6E" w:rsidR="002E611B">
        <w:rPr>
          <w:snapToGrid/>
          <w:kern w:val="0"/>
          <w:szCs w:val="22"/>
        </w:rPr>
        <w:t xml:space="preserve">, </w:t>
      </w:r>
      <w:r w:rsidRPr="00DE0D3D" w:rsidR="00DE0D3D">
        <w:rPr>
          <w:snapToGrid/>
          <w:kern w:val="0"/>
          <w:szCs w:val="22"/>
        </w:rPr>
        <w:t xml:space="preserve">Liberty Broadband will acquire control of GCI Liberty’s subsidiaries through a series of transactions, </w:t>
      </w:r>
      <w:r w:rsidR="0002456C">
        <w:rPr>
          <w:snapToGrid/>
          <w:kern w:val="0"/>
          <w:szCs w:val="22"/>
        </w:rPr>
        <w:t xml:space="preserve">in which </w:t>
      </w:r>
      <w:r w:rsidRPr="00DE0D3D" w:rsidR="00DE0D3D">
        <w:rPr>
          <w:snapToGrid/>
          <w:kern w:val="0"/>
          <w:szCs w:val="22"/>
        </w:rPr>
        <w:t xml:space="preserve">GCI Liberty </w:t>
      </w:r>
      <w:r w:rsidR="0002456C">
        <w:rPr>
          <w:snapToGrid/>
          <w:kern w:val="0"/>
          <w:szCs w:val="22"/>
        </w:rPr>
        <w:t>will be</w:t>
      </w:r>
      <w:r w:rsidRPr="00DE0D3D" w:rsidR="00DE0D3D">
        <w:rPr>
          <w:snapToGrid/>
          <w:kern w:val="0"/>
          <w:szCs w:val="22"/>
        </w:rPr>
        <w:t xml:space="preserve"> merged into a wholly</w:t>
      </w:r>
      <w:r w:rsidR="0000300B">
        <w:rPr>
          <w:snapToGrid/>
          <w:kern w:val="0"/>
          <w:szCs w:val="22"/>
        </w:rPr>
        <w:t xml:space="preserve"> </w:t>
      </w:r>
      <w:r w:rsidRPr="00DE0D3D" w:rsidR="00DE0D3D">
        <w:rPr>
          <w:snapToGrid/>
          <w:kern w:val="0"/>
          <w:szCs w:val="22"/>
        </w:rPr>
        <w:t>owned subsidiary of Liberty Broadband.</w:t>
      </w:r>
      <w:r>
        <w:rPr>
          <w:rStyle w:val="FootnoteReference"/>
          <w:snapToGrid/>
          <w:kern w:val="0"/>
          <w:szCs w:val="22"/>
        </w:rPr>
        <w:footnoteReference w:id="14"/>
      </w:r>
      <w:r w:rsidRPr="00DE0D3D" w:rsidR="00DE0D3D">
        <w:rPr>
          <w:snapToGrid/>
          <w:kern w:val="0"/>
          <w:szCs w:val="22"/>
        </w:rPr>
        <w:t xml:space="preserve"> </w:t>
      </w:r>
      <w:r w:rsidR="005C0D78">
        <w:rPr>
          <w:snapToGrid/>
          <w:kern w:val="0"/>
          <w:szCs w:val="22"/>
        </w:rPr>
        <w:t xml:space="preserve"> </w:t>
      </w:r>
      <w:r w:rsidR="0002456C">
        <w:rPr>
          <w:snapToGrid/>
          <w:kern w:val="0"/>
          <w:szCs w:val="22"/>
        </w:rPr>
        <w:t>A</w:t>
      </w:r>
      <w:r w:rsidR="008C264B">
        <w:rPr>
          <w:snapToGrid/>
          <w:kern w:val="0"/>
          <w:szCs w:val="22"/>
        </w:rPr>
        <w:t>t the effective time</w:t>
      </w:r>
      <w:r w:rsidR="005C0D78">
        <w:rPr>
          <w:snapToGrid/>
          <w:kern w:val="0"/>
          <w:szCs w:val="22"/>
        </w:rPr>
        <w:t xml:space="preserve"> of the p</w:t>
      </w:r>
      <w:r w:rsidRPr="00DE0D3D" w:rsidR="00DE0D3D">
        <w:rPr>
          <w:snapToGrid/>
          <w:kern w:val="0"/>
          <w:szCs w:val="22"/>
        </w:rPr>
        <w:t xml:space="preserve">roposed </w:t>
      </w:r>
      <w:r w:rsidR="005C0D78">
        <w:rPr>
          <w:snapToGrid/>
          <w:kern w:val="0"/>
          <w:szCs w:val="22"/>
        </w:rPr>
        <w:t>t</w:t>
      </w:r>
      <w:r w:rsidRPr="00DE0D3D" w:rsidR="00DE0D3D">
        <w:rPr>
          <w:snapToGrid/>
          <w:kern w:val="0"/>
          <w:szCs w:val="22"/>
        </w:rPr>
        <w:t>ransaction,</w:t>
      </w:r>
      <w:r w:rsidR="00837699">
        <w:rPr>
          <w:snapToGrid/>
          <w:kern w:val="0"/>
          <w:szCs w:val="22"/>
        </w:rPr>
        <w:t xml:space="preserve"> </w:t>
      </w:r>
      <w:r w:rsidR="0002456C">
        <w:rPr>
          <w:snapToGrid/>
          <w:kern w:val="0"/>
          <w:szCs w:val="22"/>
        </w:rPr>
        <w:t xml:space="preserve">Applicants explain </w:t>
      </w:r>
      <w:r w:rsidRPr="00DE0D3D" w:rsidR="00DE0D3D">
        <w:rPr>
          <w:snapToGrid/>
          <w:kern w:val="0"/>
          <w:szCs w:val="22"/>
        </w:rPr>
        <w:t>each</w:t>
      </w:r>
      <w:r w:rsidR="008C264B">
        <w:rPr>
          <w:snapToGrid/>
          <w:kern w:val="0"/>
          <w:szCs w:val="22"/>
        </w:rPr>
        <w:t xml:space="preserve"> </w:t>
      </w:r>
      <w:r w:rsidRPr="00DE0D3D" w:rsidR="00DE0D3D">
        <w:rPr>
          <w:snapToGrid/>
          <w:kern w:val="0"/>
          <w:szCs w:val="22"/>
        </w:rPr>
        <w:t xml:space="preserve">existing share of GCI Liberty Series A Common </w:t>
      </w:r>
      <w:r w:rsidRPr="00DE0D3D" w:rsidR="00DE0D3D">
        <w:rPr>
          <w:snapToGrid/>
          <w:kern w:val="0"/>
          <w:szCs w:val="22"/>
        </w:rPr>
        <w:t>Stock will be converted into the right to receive 0.580 of a share of Liberty Broadband Series C Common Stock</w:t>
      </w:r>
      <w:r w:rsidR="00C02958">
        <w:rPr>
          <w:snapToGrid/>
          <w:kern w:val="0"/>
          <w:szCs w:val="22"/>
        </w:rPr>
        <w:t>;</w:t>
      </w:r>
      <w:r w:rsidRPr="00DE0D3D" w:rsidR="00DE0D3D">
        <w:rPr>
          <w:snapToGrid/>
          <w:kern w:val="0"/>
          <w:szCs w:val="22"/>
        </w:rPr>
        <w:t xml:space="preserve"> each share of GCI Liberty Series B Common Stock will be converted into the right to receive 0.580 of a share of Liberty Broadband Series B Common Stock</w:t>
      </w:r>
      <w:r w:rsidR="00C02958">
        <w:rPr>
          <w:snapToGrid/>
          <w:kern w:val="0"/>
          <w:szCs w:val="22"/>
        </w:rPr>
        <w:t>;</w:t>
      </w:r>
      <w:r w:rsidRPr="00DE0D3D" w:rsidR="00DE0D3D">
        <w:rPr>
          <w:snapToGrid/>
          <w:kern w:val="0"/>
          <w:szCs w:val="22"/>
        </w:rPr>
        <w:t xml:space="preserve"> </w:t>
      </w:r>
      <w:r w:rsidR="002142AD">
        <w:rPr>
          <w:snapToGrid/>
          <w:kern w:val="0"/>
          <w:szCs w:val="22"/>
        </w:rPr>
        <w:t>and</w:t>
      </w:r>
      <w:r w:rsidR="00921CCC">
        <w:rPr>
          <w:snapToGrid/>
          <w:kern w:val="0"/>
          <w:szCs w:val="22"/>
        </w:rPr>
        <w:t xml:space="preserve"> </w:t>
      </w:r>
      <w:r w:rsidR="002142AD">
        <w:rPr>
          <w:snapToGrid/>
          <w:kern w:val="0"/>
          <w:szCs w:val="22"/>
        </w:rPr>
        <w:t>e</w:t>
      </w:r>
      <w:r w:rsidRPr="008B3356" w:rsidR="008B3356">
        <w:rPr>
          <w:snapToGrid/>
          <w:kern w:val="0"/>
          <w:szCs w:val="22"/>
        </w:rPr>
        <w:t>ach share of GCI Liberty Preferred Stock will be converted into the right to receive one share of newly issued Liberty Broadband Preferred Stock.</w:t>
      </w:r>
      <w:r>
        <w:rPr>
          <w:rStyle w:val="FootnoteReference"/>
          <w:snapToGrid/>
          <w:kern w:val="0"/>
          <w:szCs w:val="22"/>
        </w:rPr>
        <w:footnoteReference w:id="15"/>
      </w:r>
      <w:r w:rsidRPr="00DE0D3D" w:rsidR="00DE0D3D">
        <w:rPr>
          <w:snapToGrid/>
          <w:kern w:val="0"/>
          <w:szCs w:val="22"/>
        </w:rPr>
        <w:t xml:space="preserve"> </w:t>
      </w:r>
      <w:r w:rsidR="00837699">
        <w:rPr>
          <w:snapToGrid/>
          <w:kern w:val="0"/>
          <w:szCs w:val="22"/>
        </w:rPr>
        <w:t xml:space="preserve"> </w:t>
      </w:r>
      <w:r w:rsidR="0002456C">
        <w:rPr>
          <w:snapToGrid/>
          <w:kern w:val="0"/>
          <w:szCs w:val="22"/>
        </w:rPr>
        <w:t>A</w:t>
      </w:r>
      <w:r w:rsidR="00C02958">
        <w:rPr>
          <w:snapToGrid/>
          <w:kern w:val="0"/>
          <w:szCs w:val="22"/>
        </w:rPr>
        <w:t xml:space="preserve">pplicants state that, post consummation: </w:t>
      </w:r>
      <w:r w:rsidRPr="00837699" w:rsidR="00837699">
        <w:rPr>
          <w:snapToGrid/>
          <w:kern w:val="0"/>
          <w:szCs w:val="22"/>
        </w:rPr>
        <w:t xml:space="preserve"> (i) the former holders of GCI Liberty common stock will hold approximately 30.6% of the total number of outstanding shares of common stock of Liberty Broadband; (ii) the former holders of the GCI Liberty preferred stock will own in the aggregate all outstanding shares of Liberty Broadband preferred stock; and (iii) the former holders of GCI Liberty common stock and GCI Liberty preferred stock are expected to own, in the aggregate, approximately 16.7% of the voting power of Liberty Broadband.</w:t>
      </w:r>
      <w:r>
        <w:rPr>
          <w:rStyle w:val="FootnoteReference"/>
          <w:snapToGrid/>
          <w:kern w:val="0"/>
          <w:szCs w:val="22"/>
        </w:rPr>
        <w:footnoteReference w:id="16"/>
      </w:r>
      <w:r w:rsidRPr="00837699" w:rsidR="00837699">
        <w:rPr>
          <w:snapToGrid/>
          <w:kern w:val="0"/>
          <w:szCs w:val="22"/>
        </w:rPr>
        <w:t xml:space="preserve">  </w:t>
      </w:r>
      <w:r w:rsidR="00824B81">
        <w:rPr>
          <w:snapToGrid/>
          <w:kern w:val="0"/>
          <w:szCs w:val="22"/>
        </w:rPr>
        <w:t>Applicants further state that</w:t>
      </w:r>
      <w:r w:rsidR="00662480">
        <w:rPr>
          <w:snapToGrid/>
          <w:kern w:val="0"/>
          <w:szCs w:val="22"/>
        </w:rPr>
        <w:t>,</w:t>
      </w:r>
      <w:r w:rsidR="00824B81">
        <w:rPr>
          <w:snapToGrid/>
          <w:kern w:val="0"/>
          <w:szCs w:val="22"/>
        </w:rPr>
        <w:t xml:space="preserve"> also on </w:t>
      </w:r>
      <w:r w:rsidRPr="0000300B" w:rsidR="0000300B">
        <w:rPr>
          <w:snapToGrid/>
          <w:kern w:val="0"/>
          <w:szCs w:val="22"/>
        </w:rPr>
        <w:t xml:space="preserve">August 6, 2020, Liberty Broadband entered into an Exchange Agreement with Dr. Malone and a revocable trust of which Dr. Malone is the sole trustee and beneficiary, </w:t>
      </w:r>
      <w:r w:rsidR="00F32867">
        <w:rPr>
          <w:snapToGrid/>
          <w:kern w:val="0"/>
          <w:szCs w:val="22"/>
        </w:rPr>
        <w:t xml:space="preserve">that </w:t>
      </w:r>
      <w:r w:rsidR="00721F00">
        <w:rPr>
          <w:snapToGrid/>
          <w:kern w:val="0"/>
          <w:szCs w:val="22"/>
        </w:rPr>
        <w:t>w</w:t>
      </w:r>
      <w:r w:rsidR="0002456C">
        <w:rPr>
          <w:snapToGrid/>
          <w:kern w:val="0"/>
          <w:szCs w:val="22"/>
        </w:rPr>
        <w:t>ill</w:t>
      </w:r>
      <w:r w:rsidR="00721F00">
        <w:rPr>
          <w:snapToGrid/>
          <w:kern w:val="0"/>
          <w:szCs w:val="22"/>
        </w:rPr>
        <w:t xml:space="preserve"> </w:t>
      </w:r>
      <w:r w:rsidR="00837699">
        <w:rPr>
          <w:snapToGrid/>
          <w:kern w:val="0"/>
          <w:szCs w:val="22"/>
        </w:rPr>
        <w:t>result</w:t>
      </w:r>
      <w:r w:rsidR="00721F00">
        <w:rPr>
          <w:snapToGrid/>
          <w:kern w:val="0"/>
          <w:szCs w:val="22"/>
        </w:rPr>
        <w:t xml:space="preserve"> in </w:t>
      </w:r>
      <w:r w:rsidRPr="0000300B" w:rsidR="00721F00">
        <w:rPr>
          <w:snapToGrid/>
          <w:kern w:val="0"/>
          <w:szCs w:val="22"/>
        </w:rPr>
        <w:t>Dr. Malone ha</w:t>
      </w:r>
      <w:r w:rsidR="00721F00">
        <w:rPr>
          <w:snapToGrid/>
          <w:kern w:val="0"/>
          <w:szCs w:val="22"/>
        </w:rPr>
        <w:t>ving</w:t>
      </w:r>
      <w:r w:rsidRPr="0000300B" w:rsidR="00721F00">
        <w:rPr>
          <w:snapToGrid/>
          <w:kern w:val="0"/>
          <w:szCs w:val="22"/>
        </w:rPr>
        <w:t xml:space="preserve"> approximately (but not more than) 49%</w:t>
      </w:r>
      <w:r w:rsidR="00721F00">
        <w:rPr>
          <w:snapToGrid/>
          <w:kern w:val="0"/>
          <w:szCs w:val="22"/>
        </w:rPr>
        <w:t xml:space="preserve"> aggregate voting power over all of </w:t>
      </w:r>
      <w:r w:rsidR="008C264B">
        <w:rPr>
          <w:snapToGrid/>
          <w:kern w:val="0"/>
          <w:szCs w:val="22"/>
        </w:rPr>
        <w:t xml:space="preserve">the securities of </w:t>
      </w:r>
      <w:r w:rsidR="00721F00">
        <w:rPr>
          <w:snapToGrid/>
          <w:kern w:val="0"/>
          <w:szCs w:val="22"/>
        </w:rPr>
        <w:t>Liberty Broadband.</w:t>
      </w:r>
      <w:r>
        <w:rPr>
          <w:rStyle w:val="FootnoteReference"/>
          <w:snapToGrid/>
          <w:kern w:val="0"/>
          <w:szCs w:val="22"/>
        </w:rPr>
        <w:footnoteReference w:id="17"/>
      </w:r>
      <w:r w:rsidRPr="0000300B" w:rsidR="0000300B">
        <w:rPr>
          <w:snapToGrid/>
          <w:kern w:val="0"/>
          <w:szCs w:val="22"/>
        </w:rPr>
        <w:t xml:space="preserve"> </w:t>
      </w:r>
      <w:r w:rsidR="00921CCC">
        <w:rPr>
          <w:snapToGrid/>
          <w:kern w:val="0"/>
          <w:szCs w:val="22"/>
        </w:rPr>
        <w:t xml:space="preserve"> </w:t>
      </w:r>
    </w:p>
    <w:p w:rsidR="00D0790F" w:rsidRPr="00D0790F" w:rsidP="00D0790F">
      <w:pPr>
        <w:widowControl/>
        <w:autoSpaceDE w:val="0"/>
        <w:autoSpaceDN w:val="0"/>
        <w:adjustRightInd w:val="0"/>
        <w:spacing w:after="120"/>
        <w:ind w:firstLine="720"/>
        <w:rPr>
          <w:szCs w:val="22"/>
        </w:rPr>
      </w:pPr>
      <w:r w:rsidRPr="003B5C6E">
        <w:rPr>
          <w:szCs w:val="22"/>
        </w:rPr>
        <w:t xml:space="preserve">Applicants assert that </w:t>
      </w:r>
      <w:r w:rsidR="00834A3E">
        <w:rPr>
          <w:szCs w:val="22"/>
        </w:rPr>
        <w:t>the t</w:t>
      </w:r>
      <w:r w:rsidRPr="003B5C6E" w:rsidR="00E84763">
        <w:rPr>
          <w:szCs w:val="22"/>
        </w:rPr>
        <w:t xml:space="preserve">ransaction </w:t>
      </w:r>
      <w:r w:rsidRPr="003B5C6E" w:rsidR="00E97C19">
        <w:rPr>
          <w:szCs w:val="22"/>
        </w:rPr>
        <w:t xml:space="preserve">is in the public interest because </w:t>
      </w:r>
      <w:r w:rsidR="004F63BD">
        <w:rPr>
          <w:szCs w:val="22"/>
        </w:rPr>
        <w:t xml:space="preserve">it </w:t>
      </w:r>
      <w:r w:rsidRPr="00532272" w:rsidR="00532272">
        <w:rPr>
          <w:szCs w:val="22"/>
        </w:rPr>
        <w:t>involves two publicly traded companies that already share substantial common ownership and management.</w:t>
      </w:r>
      <w:r>
        <w:rPr>
          <w:rStyle w:val="FootnoteReference"/>
          <w:szCs w:val="22"/>
        </w:rPr>
        <w:footnoteReference w:id="18"/>
      </w:r>
      <w:r w:rsidRPr="00532272" w:rsidR="00532272">
        <w:rPr>
          <w:szCs w:val="22"/>
        </w:rPr>
        <w:t xml:space="preserve"> </w:t>
      </w:r>
      <w:r w:rsidR="004F63BD">
        <w:rPr>
          <w:szCs w:val="22"/>
        </w:rPr>
        <w:t xml:space="preserve"> </w:t>
      </w:r>
      <w:r w:rsidR="005227B3">
        <w:rPr>
          <w:szCs w:val="22"/>
        </w:rPr>
        <w:t>Applicants state that t</w:t>
      </w:r>
      <w:r w:rsidRPr="00532272" w:rsidR="00532272">
        <w:rPr>
          <w:szCs w:val="22"/>
        </w:rPr>
        <w:t xml:space="preserve">he </w:t>
      </w:r>
      <w:r w:rsidR="005D44A2">
        <w:rPr>
          <w:szCs w:val="22"/>
        </w:rPr>
        <w:t>e</w:t>
      </w:r>
      <w:r w:rsidRPr="00532272" w:rsidR="00532272">
        <w:rPr>
          <w:szCs w:val="22"/>
        </w:rPr>
        <w:t xml:space="preserve">xecutive </w:t>
      </w:r>
      <w:r w:rsidR="005D44A2">
        <w:rPr>
          <w:szCs w:val="22"/>
        </w:rPr>
        <w:t>o</w:t>
      </w:r>
      <w:r w:rsidRPr="00532272" w:rsidR="00532272">
        <w:rPr>
          <w:szCs w:val="22"/>
        </w:rPr>
        <w:t>fficers of GCI Liberty and Liberty Broadband currently are identical.</w:t>
      </w:r>
      <w:r>
        <w:rPr>
          <w:rStyle w:val="FootnoteReference"/>
          <w:szCs w:val="22"/>
        </w:rPr>
        <w:footnoteReference w:id="19"/>
      </w:r>
      <w:r w:rsidRPr="00532272" w:rsidR="00532272">
        <w:rPr>
          <w:szCs w:val="22"/>
        </w:rPr>
        <w:t xml:space="preserve"> </w:t>
      </w:r>
      <w:r w:rsidR="00715F63">
        <w:rPr>
          <w:szCs w:val="22"/>
        </w:rPr>
        <w:t xml:space="preserve"> </w:t>
      </w:r>
      <w:r w:rsidR="005227B3">
        <w:rPr>
          <w:szCs w:val="22"/>
        </w:rPr>
        <w:t>Applicants further state that t</w:t>
      </w:r>
      <w:r w:rsidRPr="00532272" w:rsidR="00532272">
        <w:rPr>
          <w:szCs w:val="22"/>
        </w:rPr>
        <w:t>he current shareholders of GCI Liberty that hold voting interests in GCI Liberty in excess of 50% in the aggregate also hold voting interests in Liberty Broadband in excess of 50% in the aggregate</w:t>
      </w:r>
      <w:r w:rsidR="00715F63">
        <w:rPr>
          <w:szCs w:val="22"/>
        </w:rPr>
        <w:t xml:space="preserve"> and </w:t>
      </w:r>
      <w:r w:rsidR="005D44A2">
        <w:rPr>
          <w:szCs w:val="22"/>
        </w:rPr>
        <w:t xml:space="preserve">that </w:t>
      </w:r>
      <w:r w:rsidRPr="00532272" w:rsidR="00532272">
        <w:rPr>
          <w:szCs w:val="22"/>
        </w:rPr>
        <w:t>GCI Liberty currently is the single largest shareholder of Liberty Broadband, holding non-voting shares equivalent to a 23% economic interest in Liberty Broadband.</w:t>
      </w:r>
      <w:r>
        <w:rPr>
          <w:rStyle w:val="FootnoteReference"/>
          <w:szCs w:val="22"/>
        </w:rPr>
        <w:footnoteReference w:id="20"/>
      </w:r>
      <w:r w:rsidR="00715F63">
        <w:rPr>
          <w:szCs w:val="22"/>
        </w:rPr>
        <w:t xml:space="preserve">  </w:t>
      </w:r>
      <w:r w:rsidRPr="00D0790F">
        <w:rPr>
          <w:szCs w:val="22"/>
        </w:rPr>
        <w:t xml:space="preserve">Applicants </w:t>
      </w:r>
      <w:r>
        <w:rPr>
          <w:szCs w:val="22"/>
        </w:rPr>
        <w:t xml:space="preserve">state </w:t>
      </w:r>
      <w:r w:rsidRPr="00D0790F">
        <w:rPr>
          <w:szCs w:val="22"/>
        </w:rPr>
        <w:t xml:space="preserve">that the GCI Liberty operating subsidiaries do not compete with </w:t>
      </w:r>
      <w:r>
        <w:rPr>
          <w:szCs w:val="22"/>
        </w:rPr>
        <w:t xml:space="preserve">Liberty Broadband or </w:t>
      </w:r>
      <w:r w:rsidRPr="00D0790F">
        <w:rPr>
          <w:szCs w:val="22"/>
        </w:rPr>
        <w:t>Charter</w:t>
      </w:r>
      <w:r w:rsidR="00710973">
        <w:rPr>
          <w:szCs w:val="22"/>
        </w:rPr>
        <w:t xml:space="preserve"> (</w:t>
      </w:r>
      <w:r w:rsidR="0067755A">
        <w:rPr>
          <w:szCs w:val="22"/>
        </w:rPr>
        <w:t xml:space="preserve">in </w:t>
      </w:r>
      <w:r w:rsidR="00710973">
        <w:rPr>
          <w:szCs w:val="22"/>
        </w:rPr>
        <w:t>which Liberty will continue to hold interests)</w:t>
      </w:r>
      <w:r w:rsidRPr="00D0790F">
        <w:rPr>
          <w:szCs w:val="22"/>
        </w:rPr>
        <w:t xml:space="preserve"> to provide service in any overlapping geographic areas.</w:t>
      </w:r>
      <w:r>
        <w:rPr>
          <w:szCs w:val="22"/>
          <w:vertAlign w:val="superscript"/>
        </w:rPr>
        <w:footnoteReference w:id="21"/>
      </w:r>
    </w:p>
    <w:p w:rsidR="00532272" w:rsidP="004202F1">
      <w:pPr>
        <w:widowControl/>
        <w:autoSpaceDE w:val="0"/>
        <w:autoSpaceDN w:val="0"/>
        <w:adjustRightInd w:val="0"/>
        <w:spacing w:after="120"/>
        <w:ind w:firstLine="720"/>
        <w:rPr>
          <w:szCs w:val="22"/>
        </w:rPr>
      </w:pPr>
    </w:p>
    <w:p w:rsidR="00C1509A" w:rsidRPr="003B5C6E" w:rsidP="00C1509A">
      <w:pPr>
        <w:widowControl/>
        <w:autoSpaceDE w:val="0"/>
        <w:autoSpaceDN w:val="0"/>
        <w:adjustRightInd w:val="0"/>
        <w:rPr>
          <w:snapToGrid/>
          <w:kern w:val="0"/>
          <w:szCs w:val="22"/>
        </w:rPr>
      </w:pPr>
    </w:p>
    <w:p w:rsidR="00C1509A" w:rsidRPr="003B5C6E" w:rsidP="00C1509A">
      <w:pPr>
        <w:ind w:right="720"/>
        <w:rPr>
          <w:szCs w:val="22"/>
        </w:rPr>
      </w:pPr>
      <w:r w:rsidRPr="003B5C6E">
        <w:rPr>
          <w:b/>
          <w:szCs w:val="22"/>
        </w:rPr>
        <w:t>GENERAL INFORMATION</w:t>
      </w:r>
    </w:p>
    <w:p w:rsidR="00C1509A" w:rsidRPr="003B5C6E" w:rsidP="00C1509A">
      <w:pPr>
        <w:ind w:right="720"/>
        <w:rPr>
          <w:szCs w:val="22"/>
        </w:rPr>
      </w:pPr>
    </w:p>
    <w:p w:rsidR="000201F6" w:rsidRPr="000201F6" w:rsidP="000201F6">
      <w:pPr>
        <w:widowControl/>
        <w:autoSpaceDE w:val="0"/>
        <w:autoSpaceDN w:val="0"/>
        <w:adjustRightInd w:val="0"/>
        <w:spacing w:after="120"/>
        <w:ind w:firstLine="720"/>
        <w:rPr>
          <w:snapToGrid/>
          <w:kern w:val="0"/>
          <w:szCs w:val="22"/>
        </w:rPr>
      </w:pPr>
      <w:r w:rsidRPr="000201F6">
        <w:rPr>
          <w:snapToGrid/>
          <w:kern w:val="0"/>
          <w:szCs w:val="22"/>
        </w:rPr>
        <w:t>The applications identified herein have been found, upon initial review, to be acceptable for filing.  The Commission reserves the right to return any application if, upon further examination, it is determined to be defective and not in conformance with the Commission’s rules and policies.</w:t>
      </w:r>
    </w:p>
    <w:p w:rsidR="000201F6" w:rsidRPr="000201F6" w:rsidP="000201F6">
      <w:pPr>
        <w:widowControl/>
        <w:autoSpaceDE w:val="0"/>
        <w:autoSpaceDN w:val="0"/>
        <w:adjustRightInd w:val="0"/>
        <w:spacing w:after="120"/>
        <w:ind w:firstLine="720"/>
        <w:rPr>
          <w:snapToGrid/>
          <w:kern w:val="0"/>
          <w:szCs w:val="22"/>
        </w:rPr>
      </w:pPr>
      <w:r w:rsidRPr="000201F6">
        <w:rPr>
          <w:snapToGrid/>
          <w:kern w:val="0"/>
          <w:szCs w:val="22"/>
        </w:rPr>
        <w:t xml:space="preserve">Interested parties may file comments </w:t>
      </w:r>
      <w:r w:rsidRPr="000201F6">
        <w:rPr>
          <w:b/>
          <w:snapToGrid/>
          <w:kern w:val="0"/>
          <w:szCs w:val="22"/>
        </w:rPr>
        <w:t>on or before</w:t>
      </w:r>
      <w:r w:rsidRPr="000201F6">
        <w:rPr>
          <w:snapToGrid/>
          <w:kern w:val="0"/>
          <w:szCs w:val="22"/>
        </w:rPr>
        <w:t xml:space="preserve"> </w:t>
      </w:r>
      <w:r w:rsidR="002161F4">
        <w:rPr>
          <w:b/>
          <w:bCs/>
          <w:snapToGrid/>
          <w:kern w:val="0"/>
          <w:szCs w:val="22"/>
        </w:rPr>
        <w:t>October 2</w:t>
      </w:r>
      <w:r w:rsidRPr="000201F6">
        <w:rPr>
          <w:b/>
          <w:bCs/>
          <w:snapToGrid/>
          <w:kern w:val="0"/>
          <w:szCs w:val="22"/>
        </w:rPr>
        <w:t>,</w:t>
      </w:r>
      <w:r w:rsidRPr="000201F6">
        <w:rPr>
          <w:b/>
          <w:snapToGrid/>
          <w:kern w:val="0"/>
          <w:szCs w:val="22"/>
        </w:rPr>
        <w:t xml:space="preserve"> 2020</w:t>
      </w:r>
      <w:r w:rsidRPr="000201F6">
        <w:rPr>
          <w:snapToGrid/>
          <w:kern w:val="0"/>
          <w:szCs w:val="22"/>
        </w:rPr>
        <w:t xml:space="preserve"> and reply comments </w:t>
      </w:r>
      <w:r w:rsidRPr="000201F6">
        <w:rPr>
          <w:b/>
          <w:snapToGrid/>
          <w:kern w:val="0"/>
          <w:szCs w:val="22"/>
        </w:rPr>
        <w:t>on or befo</w:t>
      </w:r>
      <w:r w:rsidR="002161F4">
        <w:rPr>
          <w:b/>
          <w:snapToGrid/>
          <w:kern w:val="0"/>
          <w:szCs w:val="22"/>
        </w:rPr>
        <w:t>re October 9</w:t>
      </w:r>
      <w:r w:rsidRPr="000201F6">
        <w:rPr>
          <w:b/>
          <w:snapToGrid/>
          <w:kern w:val="0"/>
          <w:szCs w:val="22"/>
        </w:rPr>
        <w:t>, 2020</w:t>
      </w:r>
      <w:r w:rsidRPr="000201F6">
        <w:rPr>
          <w:snapToGrid/>
          <w:kern w:val="0"/>
          <w:szCs w:val="22"/>
        </w:rPr>
        <w:t>.  Comments may be filed using the Commission’s Electronic Comment Filing System (ECFS) or by paper.  All filings must be addressed to the Commission’s Secretary, Office of the Secretary, Federal Communications Commission.</w:t>
      </w:r>
    </w:p>
    <w:p w:rsidR="000201F6" w:rsidRPr="000201F6" w:rsidP="000201F6">
      <w:pPr>
        <w:widowControl/>
        <w:numPr>
          <w:ilvl w:val="0"/>
          <w:numId w:val="15"/>
        </w:numPr>
        <w:autoSpaceDE w:val="0"/>
        <w:autoSpaceDN w:val="0"/>
        <w:adjustRightInd w:val="0"/>
        <w:rPr>
          <w:snapToGrid/>
          <w:kern w:val="0"/>
          <w:szCs w:val="22"/>
        </w:rPr>
      </w:pPr>
      <w:r w:rsidRPr="000201F6">
        <w:rPr>
          <w:snapToGrid/>
          <w:kern w:val="0"/>
          <w:szCs w:val="22"/>
        </w:rPr>
        <w:t>Electronic Filers:  Comments may be filed electronically by accessing ECFS at </w:t>
      </w:r>
      <w:hyperlink r:id="rId7" w:history="1">
        <w:r w:rsidRPr="000201F6">
          <w:rPr>
            <w:snapToGrid/>
            <w:color w:val="0000FF"/>
            <w:kern w:val="0"/>
            <w:szCs w:val="22"/>
            <w:u w:val="single"/>
          </w:rPr>
          <w:t>http://apps.fcc.gov/ecfs/</w:t>
        </w:r>
      </w:hyperlink>
      <w:r w:rsidRPr="000201F6">
        <w:rPr>
          <w:snapToGrid/>
          <w:kern w:val="0"/>
          <w:szCs w:val="22"/>
        </w:rPr>
        <w:t>.</w:t>
      </w:r>
    </w:p>
    <w:p w:rsidR="000201F6" w:rsidRPr="000201F6" w:rsidP="000201F6">
      <w:pPr>
        <w:widowControl/>
        <w:autoSpaceDE w:val="0"/>
        <w:autoSpaceDN w:val="0"/>
        <w:adjustRightInd w:val="0"/>
        <w:ind w:left="720"/>
        <w:rPr>
          <w:snapToGrid/>
          <w:kern w:val="0"/>
          <w:szCs w:val="22"/>
        </w:rPr>
      </w:pPr>
    </w:p>
    <w:p w:rsidR="000201F6" w:rsidRPr="000201F6" w:rsidP="000201F6">
      <w:pPr>
        <w:widowControl/>
        <w:numPr>
          <w:ilvl w:val="0"/>
          <w:numId w:val="16"/>
        </w:numPr>
        <w:autoSpaceDE w:val="0"/>
        <w:autoSpaceDN w:val="0"/>
        <w:adjustRightInd w:val="0"/>
        <w:rPr>
          <w:snapToGrid/>
          <w:kern w:val="0"/>
          <w:szCs w:val="22"/>
        </w:rPr>
      </w:pPr>
      <w:r w:rsidRPr="000201F6">
        <w:rPr>
          <w:i/>
          <w:iCs/>
          <w:snapToGrid/>
          <w:kern w:val="0"/>
          <w:szCs w:val="22"/>
        </w:rPr>
        <w:t>Paper Filers</w:t>
      </w:r>
      <w:r w:rsidRPr="000201F6">
        <w:rPr>
          <w:snapToGrid/>
          <w:kern w:val="0"/>
          <w:szCs w:val="22"/>
        </w:rPr>
        <w:t>: Parties who choose to file by paper must file an original and one copy of each filing.</w:t>
      </w:r>
      <w:r>
        <w:rPr>
          <w:rStyle w:val="FootnoteReference"/>
          <w:snapToGrid/>
          <w:kern w:val="0"/>
          <w:szCs w:val="22"/>
        </w:rPr>
        <w:footnoteReference w:id="22"/>
      </w:r>
      <w:r w:rsidRPr="000201F6">
        <w:rPr>
          <w:snapToGrid/>
          <w:kern w:val="0"/>
          <w:szCs w:val="22"/>
        </w:rPr>
        <w:t xml:space="preserve">  If more than one docket or rulemaking number appears in the caption of this proceeding, filers must submit one additional copy for each additional docket or rulemaking number.</w:t>
      </w:r>
      <w:r>
        <w:rPr>
          <w:rStyle w:val="FootnoteReference"/>
          <w:snapToGrid/>
          <w:kern w:val="0"/>
          <w:szCs w:val="22"/>
        </w:rPr>
        <w:footnoteReference w:id="23"/>
      </w:r>
    </w:p>
    <w:p w:rsidR="000201F6" w:rsidRPr="000201F6" w:rsidP="000201F6">
      <w:pPr>
        <w:widowControl/>
        <w:autoSpaceDE w:val="0"/>
        <w:autoSpaceDN w:val="0"/>
        <w:adjustRightInd w:val="0"/>
        <w:ind w:left="720"/>
        <w:rPr>
          <w:snapToGrid/>
          <w:kern w:val="0"/>
          <w:szCs w:val="22"/>
        </w:rPr>
      </w:pPr>
    </w:p>
    <w:p w:rsidR="000201F6" w:rsidRPr="000201F6" w:rsidP="000201F6">
      <w:pPr>
        <w:widowControl/>
        <w:numPr>
          <w:ilvl w:val="1"/>
          <w:numId w:val="16"/>
        </w:numPr>
        <w:autoSpaceDE w:val="0"/>
        <w:autoSpaceDN w:val="0"/>
        <w:adjustRightInd w:val="0"/>
        <w:rPr>
          <w:snapToGrid/>
          <w:kern w:val="0"/>
          <w:szCs w:val="22"/>
        </w:rPr>
      </w:pPr>
      <w:r w:rsidRPr="000201F6">
        <w:rPr>
          <w:snapToGrid/>
          <w:kern w:val="0"/>
          <w:szCs w:val="22"/>
        </w:rPr>
        <w:t>Filings can be sent by commercial overnight courier or by first-class or overnight U.S. Postal Service mail.</w:t>
      </w:r>
      <w:r>
        <w:rPr>
          <w:snapToGrid/>
          <w:kern w:val="0"/>
          <w:szCs w:val="22"/>
          <w:vertAlign w:val="superscript"/>
        </w:rPr>
        <w:footnoteReference w:id="24"/>
      </w:r>
      <w:r w:rsidRPr="000201F6">
        <w:rPr>
          <w:snapToGrid/>
          <w:kern w:val="0"/>
          <w:szCs w:val="22"/>
        </w:rPr>
        <w:t xml:space="preserve">  All filings must be addressed to the Commission’s Secretary, Office of the Secretary, Federal Communications Commission.</w:t>
      </w:r>
    </w:p>
    <w:p w:rsidR="000201F6" w:rsidRPr="000201F6" w:rsidP="000201F6">
      <w:pPr>
        <w:widowControl/>
        <w:autoSpaceDE w:val="0"/>
        <w:autoSpaceDN w:val="0"/>
        <w:adjustRightInd w:val="0"/>
        <w:ind w:left="720"/>
        <w:rPr>
          <w:snapToGrid/>
          <w:kern w:val="0"/>
          <w:szCs w:val="22"/>
        </w:rPr>
      </w:pPr>
    </w:p>
    <w:p w:rsidR="000201F6" w:rsidRPr="000201F6" w:rsidP="000201F6">
      <w:pPr>
        <w:widowControl/>
        <w:numPr>
          <w:ilvl w:val="1"/>
          <w:numId w:val="16"/>
        </w:numPr>
        <w:autoSpaceDE w:val="0"/>
        <w:autoSpaceDN w:val="0"/>
        <w:adjustRightInd w:val="0"/>
        <w:rPr>
          <w:snapToGrid/>
          <w:kern w:val="0"/>
          <w:szCs w:val="22"/>
        </w:rPr>
      </w:pPr>
      <w:r w:rsidRPr="000201F6">
        <w:rPr>
          <w:snapToGrid/>
          <w:kern w:val="0"/>
          <w:szCs w:val="22"/>
        </w:rPr>
        <w:t>Commercial overnight mail (other than U.S. Postal Service Express Mail and Priority Mail) must be sent to 9050 Junction Drive, Annapolis Junction, MD 20701.</w:t>
      </w:r>
    </w:p>
    <w:p w:rsidR="000201F6" w:rsidRPr="000201F6" w:rsidP="000201F6">
      <w:pPr>
        <w:widowControl/>
        <w:autoSpaceDE w:val="0"/>
        <w:autoSpaceDN w:val="0"/>
        <w:adjustRightInd w:val="0"/>
        <w:ind w:left="720"/>
        <w:rPr>
          <w:snapToGrid/>
          <w:kern w:val="0"/>
          <w:szCs w:val="22"/>
        </w:rPr>
      </w:pPr>
    </w:p>
    <w:p w:rsidR="000201F6" w:rsidRPr="000201F6" w:rsidP="000201F6">
      <w:pPr>
        <w:widowControl/>
        <w:numPr>
          <w:ilvl w:val="1"/>
          <w:numId w:val="16"/>
        </w:numPr>
        <w:autoSpaceDE w:val="0"/>
        <w:autoSpaceDN w:val="0"/>
        <w:adjustRightInd w:val="0"/>
        <w:rPr>
          <w:snapToGrid/>
          <w:kern w:val="0"/>
          <w:szCs w:val="22"/>
        </w:rPr>
      </w:pPr>
      <w:r w:rsidRPr="000201F6">
        <w:rPr>
          <w:snapToGrid/>
          <w:kern w:val="0"/>
          <w:szCs w:val="22"/>
        </w:rPr>
        <w:t>U.S. Postal Service first-class, Express, and Priority mail must be addressed to 445 12</w:t>
      </w:r>
      <w:r w:rsidRPr="000201F6">
        <w:rPr>
          <w:snapToGrid/>
          <w:kern w:val="0"/>
          <w:szCs w:val="22"/>
          <w:vertAlign w:val="superscript"/>
        </w:rPr>
        <w:t>th</w:t>
      </w:r>
      <w:r w:rsidRPr="000201F6">
        <w:rPr>
          <w:snapToGrid/>
          <w:kern w:val="0"/>
          <w:szCs w:val="22"/>
        </w:rPr>
        <w:t xml:space="preserve"> Street, SW, Washington, DC 20554.</w:t>
      </w:r>
    </w:p>
    <w:p w:rsidR="000201F6" w:rsidRPr="000201F6" w:rsidP="00B915C7">
      <w:pPr>
        <w:widowControl/>
        <w:autoSpaceDE w:val="0"/>
        <w:autoSpaceDN w:val="0"/>
        <w:adjustRightInd w:val="0"/>
        <w:ind w:firstLine="720"/>
        <w:rPr>
          <w:snapToGrid/>
          <w:kern w:val="0"/>
          <w:szCs w:val="22"/>
        </w:rPr>
      </w:pPr>
    </w:p>
    <w:p w:rsidR="000201F6" w:rsidRPr="000201F6" w:rsidP="00B915C7">
      <w:pPr>
        <w:widowControl/>
        <w:autoSpaceDE w:val="0"/>
        <w:autoSpaceDN w:val="0"/>
        <w:adjustRightInd w:val="0"/>
        <w:ind w:firstLine="720"/>
        <w:rPr>
          <w:snapToGrid/>
          <w:kern w:val="0"/>
          <w:szCs w:val="22"/>
        </w:rPr>
      </w:pPr>
      <w:r w:rsidRPr="000201F6">
        <w:rPr>
          <w:snapToGrid/>
          <w:kern w:val="0"/>
          <w:szCs w:val="22"/>
        </w:rPr>
        <w:t xml:space="preserve">People with Disabilities:  To request materials in accessible formats for people with disabilities (braille, large print, electronic files, audio format), send an e-mail to fcc504@fcc.gov or call the Consumer and Governmental Affairs Bureau at 202-418-0530 (voice), 1-888-835-5322 (tty). </w:t>
      </w:r>
    </w:p>
    <w:p w:rsidR="00C1509A" w:rsidRPr="003B5C6E" w:rsidP="00C1509A">
      <w:pPr>
        <w:rPr>
          <w:b/>
          <w:szCs w:val="22"/>
        </w:rPr>
      </w:pPr>
    </w:p>
    <w:p w:rsidR="00C1509A" w:rsidRPr="003B5C6E" w:rsidP="00C1509A">
      <w:pPr>
        <w:rPr>
          <w:szCs w:val="22"/>
        </w:rPr>
      </w:pPr>
      <w:r w:rsidRPr="003B5C6E">
        <w:rPr>
          <w:b/>
          <w:szCs w:val="22"/>
        </w:rPr>
        <w:t>In addition, please provide one copy of each pleading to each of the following</w:t>
      </w:r>
      <w:r w:rsidRPr="003B5C6E">
        <w:rPr>
          <w:szCs w:val="22"/>
        </w:rPr>
        <w:t>:</w:t>
      </w:r>
    </w:p>
    <w:p w:rsidR="00C1509A" w:rsidRPr="003B5C6E" w:rsidP="00C1509A">
      <w:pPr>
        <w:rPr>
          <w:szCs w:val="22"/>
        </w:rPr>
      </w:pPr>
    </w:p>
    <w:p w:rsidR="00C1509A" w:rsidRPr="003B5C6E" w:rsidP="00D251DA">
      <w:pPr>
        <w:widowControl/>
        <w:numPr>
          <w:ilvl w:val="0"/>
          <w:numId w:val="13"/>
        </w:numPr>
        <w:spacing w:after="120"/>
        <w:rPr>
          <w:color w:val="000000"/>
          <w:szCs w:val="22"/>
        </w:rPr>
      </w:pPr>
      <w:r w:rsidRPr="003B5C6E">
        <w:rPr>
          <w:szCs w:val="22"/>
        </w:rPr>
        <w:t>Jim Bird</w:t>
      </w:r>
      <w:r w:rsidRPr="003B5C6E">
        <w:rPr>
          <w:szCs w:val="22"/>
        </w:rPr>
        <w:t>, Office of General Counsel</w:t>
      </w:r>
      <w:r w:rsidR="004F5DD6">
        <w:rPr>
          <w:szCs w:val="22"/>
        </w:rPr>
        <w:t xml:space="preserve">, </w:t>
      </w:r>
      <w:hyperlink r:id="rId8" w:history="1">
        <w:r w:rsidRPr="00AB7B1C" w:rsidR="004F5DD6">
          <w:rPr>
            <w:rStyle w:val="Hyperlink"/>
            <w:szCs w:val="22"/>
          </w:rPr>
          <w:t>jim.bird@fcc.gov</w:t>
        </w:r>
      </w:hyperlink>
      <w:r w:rsidRPr="003B5C6E">
        <w:rPr>
          <w:color w:val="000000"/>
          <w:szCs w:val="22"/>
        </w:rPr>
        <w:t>;</w:t>
      </w:r>
    </w:p>
    <w:p w:rsidR="003B21EA" w:rsidRPr="003B21EA" w:rsidP="00D251DA">
      <w:pPr>
        <w:widowControl/>
        <w:numPr>
          <w:ilvl w:val="0"/>
          <w:numId w:val="13"/>
        </w:numPr>
        <w:spacing w:after="120"/>
        <w:rPr>
          <w:color w:val="000000"/>
          <w:szCs w:val="22"/>
        </w:rPr>
      </w:pPr>
      <w:r>
        <w:rPr>
          <w:color w:val="000000"/>
          <w:szCs w:val="22"/>
        </w:rPr>
        <w:t>Mat</w:t>
      </w:r>
      <w:r w:rsidR="004F76C1">
        <w:rPr>
          <w:color w:val="000000"/>
          <w:szCs w:val="22"/>
        </w:rPr>
        <w:t>t</w:t>
      </w:r>
      <w:r>
        <w:rPr>
          <w:color w:val="000000"/>
          <w:szCs w:val="22"/>
        </w:rPr>
        <w:t xml:space="preserve">hew Collins, Wireline Competition Bureau, </w:t>
      </w:r>
      <w:hyperlink r:id="rId9" w:history="1">
        <w:r w:rsidRPr="00CE0A2E">
          <w:rPr>
            <w:rStyle w:val="Hyperlink"/>
            <w:szCs w:val="22"/>
          </w:rPr>
          <w:t>mathew.collins@fcc.gov</w:t>
        </w:r>
      </w:hyperlink>
      <w:r>
        <w:rPr>
          <w:color w:val="000000"/>
          <w:szCs w:val="22"/>
        </w:rPr>
        <w:t>;</w:t>
      </w:r>
    </w:p>
    <w:p w:rsidR="00C1509A" w:rsidRPr="003B5C6E" w:rsidP="00D251DA">
      <w:pPr>
        <w:widowControl/>
        <w:numPr>
          <w:ilvl w:val="0"/>
          <w:numId w:val="13"/>
        </w:numPr>
        <w:spacing w:after="120"/>
        <w:rPr>
          <w:color w:val="000000"/>
          <w:szCs w:val="22"/>
        </w:rPr>
      </w:pPr>
      <w:r>
        <w:rPr>
          <w:color w:val="000000"/>
          <w:szCs w:val="22"/>
        </w:rPr>
        <w:t>Gregory Kwan</w:t>
      </w:r>
      <w:r w:rsidRPr="003B5C6E">
        <w:rPr>
          <w:color w:val="000000"/>
          <w:szCs w:val="22"/>
        </w:rPr>
        <w:t xml:space="preserve">, Wireline Competition Bureau, </w:t>
      </w:r>
      <w:hyperlink r:id="rId10" w:history="1">
        <w:r w:rsidRPr="00CE0A2E">
          <w:rPr>
            <w:rStyle w:val="Hyperlink"/>
            <w:szCs w:val="22"/>
          </w:rPr>
          <w:t>gregory.kwan@fcc.gov</w:t>
        </w:r>
      </w:hyperlink>
      <w:r w:rsidRPr="003B5C6E">
        <w:rPr>
          <w:color w:val="000000"/>
          <w:szCs w:val="22"/>
        </w:rPr>
        <w:t>;</w:t>
      </w:r>
    </w:p>
    <w:p w:rsidR="003B21EA" w:rsidRPr="003B21EA" w:rsidP="00D251DA">
      <w:pPr>
        <w:widowControl/>
        <w:numPr>
          <w:ilvl w:val="0"/>
          <w:numId w:val="13"/>
        </w:numPr>
        <w:spacing w:after="120"/>
        <w:rPr>
          <w:color w:val="000000"/>
          <w:szCs w:val="22"/>
        </w:rPr>
      </w:pPr>
      <w:r>
        <w:rPr>
          <w:color w:val="000000"/>
          <w:szCs w:val="22"/>
        </w:rPr>
        <w:t>Arthur Lechtman</w:t>
      </w:r>
      <w:r>
        <w:rPr>
          <w:color w:val="000000"/>
          <w:szCs w:val="22"/>
        </w:rPr>
        <w:t>, International Bureau</w:t>
      </w:r>
      <w:r w:rsidRPr="00126B63">
        <w:rPr>
          <w:color w:val="000000"/>
          <w:szCs w:val="22"/>
        </w:rPr>
        <w:t xml:space="preserve">, </w:t>
      </w:r>
      <w:hyperlink r:id="rId11" w:history="1">
        <w:r w:rsidRPr="00B915C7">
          <w:rPr>
            <w:rStyle w:val="Hyperlink"/>
            <w:szCs w:val="22"/>
          </w:rPr>
          <w:t>arthur.lechtman@fcc.gov</w:t>
        </w:r>
      </w:hyperlink>
      <w:r>
        <w:rPr>
          <w:color w:val="000000"/>
          <w:szCs w:val="22"/>
        </w:rPr>
        <w:t xml:space="preserve">; </w:t>
      </w:r>
    </w:p>
    <w:p w:rsidR="00611399" w:rsidRPr="003242E7" w:rsidP="00D251DA">
      <w:pPr>
        <w:widowControl/>
        <w:numPr>
          <w:ilvl w:val="0"/>
          <w:numId w:val="13"/>
        </w:numPr>
        <w:spacing w:after="120"/>
        <w:rPr>
          <w:rStyle w:val="Hyperlink"/>
          <w:color w:val="000000"/>
          <w:szCs w:val="22"/>
          <w:u w:val="none"/>
        </w:rPr>
      </w:pPr>
      <w:r w:rsidRPr="00661CD5">
        <w:rPr>
          <w:color w:val="000000"/>
          <w:szCs w:val="22"/>
        </w:rPr>
        <w:t xml:space="preserve">Sumita Mukhoty, International Bureau, </w:t>
      </w:r>
      <w:hyperlink r:id="rId12" w:history="1">
        <w:r w:rsidRPr="001D13A5">
          <w:rPr>
            <w:rStyle w:val="Hyperlink"/>
            <w:szCs w:val="22"/>
          </w:rPr>
          <w:t>sumita.mukhoty@fcc.gov</w:t>
        </w:r>
      </w:hyperlink>
      <w:r w:rsidRPr="003B5C6E" w:rsidR="00126B63">
        <w:rPr>
          <w:color w:val="000000"/>
          <w:szCs w:val="22"/>
        </w:rPr>
        <w:t>;</w:t>
      </w:r>
    </w:p>
    <w:p w:rsidR="00272BCA" w:rsidRPr="00DC4A70" w:rsidP="00D251DA">
      <w:pPr>
        <w:widowControl/>
        <w:numPr>
          <w:ilvl w:val="0"/>
          <w:numId w:val="13"/>
        </w:numPr>
        <w:spacing w:after="120"/>
        <w:rPr>
          <w:rStyle w:val="Hyperlink"/>
          <w:color w:val="000000"/>
          <w:szCs w:val="22"/>
          <w:u w:val="none"/>
        </w:rPr>
      </w:pPr>
      <w:r w:rsidRPr="003B5C6E">
        <w:rPr>
          <w:color w:val="000000"/>
          <w:szCs w:val="22"/>
        </w:rPr>
        <w:t xml:space="preserve">Linda Ray, Wireless Telecommunications Bureau, </w:t>
      </w:r>
      <w:hyperlink r:id="rId13" w:history="1">
        <w:r w:rsidRPr="003B5C6E">
          <w:rPr>
            <w:rStyle w:val="Hyperlink"/>
            <w:szCs w:val="22"/>
          </w:rPr>
          <w:t>linda.ray@fcc.gov</w:t>
        </w:r>
      </w:hyperlink>
      <w:r w:rsidRPr="003B5C6E" w:rsidR="00126B63">
        <w:rPr>
          <w:color w:val="000000"/>
          <w:szCs w:val="22"/>
        </w:rPr>
        <w:t>;</w:t>
      </w:r>
    </w:p>
    <w:p w:rsidR="00DC4A70" w:rsidRPr="003B0906" w:rsidP="00D251DA">
      <w:pPr>
        <w:widowControl/>
        <w:numPr>
          <w:ilvl w:val="0"/>
          <w:numId w:val="13"/>
        </w:numPr>
        <w:spacing w:after="120"/>
        <w:rPr>
          <w:rStyle w:val="Hyperlink"/>
          <w:color w:val="000000"/>
          <w:szCs w:val="22"/>
          <w:u w:val="none"/>
        </w:rPr>
      </w:pPr>
      <w:r w:rsidRPr="00AA2147">
        <w:rPr>
          <w:rStyle w:val="Hyperlink"/>
          <w:color w:val="auto"/>
          <w:szCs w:val="22"/>
          <w:u w:val="none"/>
        </w:rPr>
        <w:t>Kathy Harris, Wireless Telecommunications Bureau,</w:t>
      </w:r>
      <w:r w:rsidRPr="00CA5542">
        <w:rPr>
          <w:rStyle w:val="Hyperlink"/>
          <w:szCs w:val="22"/>
          <w:u w:val="none"/>
        </w:rPr>
        <w:t xml:space="preserve"> </w:t>
      </w:r>
      <w:hyperlink r:id="rId14" w:history="1">
        <w:r w:rsidRPr="00126B63">
          <w:rPr>
            <w:rStyle w:val="Hyperlink"/>
            <w:szCs w:val="22"/>
          </w:rPr>
          <w:t>kathy.harris@fcc.gov</w:t>
        </w:r>
      </w:hyperlink>
      <w:r w:rsidRPr="003B5C6E" w:rsidR="00126B63">
        <w:rPr>
          <w:color w:val="000000"/>
          <w:szCs w:val="22"/>
        </w:rPr>
        <w:t>;</w:t>
      </w:r>
    </w:p>
    <w:p w:rsidR="00DC4A70" w:rsidRPr="00DC4A70" w:rsidP="00D251DA">
      <w:pPr>
        <w:widowControl/>
        <w:numPr>
          <w:ilvl w:val="0"/>
          <w:numId w:val="13"/>
        </w:numPr>
        <w:spacing w:after="120"/>
        <w:rPr>
          <w:rStyle w:val="Hyperlink"/>
          <w:color w:val="000000"/>
          <w:szCs w:val="22"/>
          <w:u w:val="none"/>
        </w:rPr>
      </w:pPr>
      <w:r w:rsidRPr="00AA2147">
        <w:rPr>
          <w:rStyle w:val="Hyperlink"/>
          <w:color w:val="auto"/>
          <w:szCs w:val="22"/>
          <w:u w:val="none"/>
        </w:rPr>
        <w:t>Jeff Tobias, Wireless Telecommunications Bureau,</w:t>
      </w:r>
      <w:r w:rsidRPr="00CA5542">
        <w:rPr>
          <w:rStyle w:val="Hyperlink"/>
          <w:szCs w:val="22"/>
          <w:u w:val="none"/>
        </w:rPr>
        <w:t xml:space="preserve"> </w:t>
      </w:r>
      <w:hyperlink r:id="rId15" w:history="1">
        <w:r w:rsidRPr="00126B63">
          <w:rPr>
            <w:rStyle w:val="Hyperlink"/>
            <w:szCs w:val="22"/>
          </w:rPr>
          <w:t>jeff.tobias@fcc.gov</w:t>
        </w:r>
      </w:hyperlink>
      <w:r w:rsidRPr="003B5C6E" w:rsidR="00126B63">
        <w:rPr>
          <w:color w:val="000000"/>
          <w:szCs w:val="22"/>
        </w:rPr>
        <w:t>;</w:t>
      </w:r>
    </w:p>
    <w:p w:rsidR="00D32821" w:rsidRPr="00B915C7" w:rsidP="00D32821">
      <w:pPr>
        <w:widowControl/>
        <w:numPr>
          <w:ilvl w:val="0"/>
          <w:numId w:val="13"/>
        </w:numPr>
        <w:spacing w:after="120"/>
        <w:rPr>
          <w:color w:val="000000"/>
          <w:szCs w:val="22"/>
        </w:rPr>
      </w:pPr>
      <w:r w:rsidRPr="00B915C7">
        <w:rPr>
          <w:color w:val="000000"/>
          <w:szCs w:val="22"/>
        </w:rPr>
        <w:t>David Brown</w:t>
      </w:r>
      <w:r w:rsidRPr="00B915C7" w:rsidR="00272BCA">
        <w:rPr>
          <w:color w:val="000000"/>
          <w:szCs w:val="22"/>
        </w:rPr>
        <w:t xml:space="preserve">, Media Bureau, </w:t>
      </w:r>
      <w:hyperlink r:id="rId16" w:history="1">
        <w:r w:rsidRPr="00B915C7">
          <w:rPr>
            <w:rStyle w:val="Hyperlink"/>
          </w:rPr>
          <w:t>david.brown</w:t>
        </w:r>
        <w:r w:rsidRPr="00B915C7">
          <w:rPr>
            <w:rStyle w:val="Hyperlink"/>
            <w:szCs w:val="22"/>
          </w:rPr>
          <w:t>@fcc.gov</w:t>
        </w:r>
      </w:hyperlink>
      <w:r w:rsidRPr="00B915C7">
        <w:t>;</w:t>
      </w:r>
      <w:r w:rsidR="004F5DD6">
        <w:t xml:space="preserve"> and</w:t>
      </w:r>
    </w:p>
    <w:p w:rsidR="008A78A1" w:rsidRPr="00B915C7" w:rsidP="00D32821">
      <w:pPr>
        <w:widowControl/>
        <w:numPr>
          <w:ilvl w:val="0"/>
          <w:numId w:val="13"/>
        </w:numPr>
        <w:spacing w:after="120"/>
        <w:rPr>
          <w:color w:val="000000"/>
          <w:szCs w:val="22"/>
        </w:rPr>
      </w:pPr>
      <w:r w:rsidRPr="00B915C7">
        <w:rPr>
          <w:color w:val="000000"/>
          <w:szCs w:val="22"/>
        </w:rPr>
        <w:t>Ty Beam,</w:t>
      </w:r>
      <w:r w:rsidR="0000308E">
        <w:rPr>
          <w:color w:val="000000"/>
          <w:szCs w:val="22"/>
        </w:rPr>
        <w:t xml:space="preserve"> Media Bureau,</w:t>
      </w:r>
      <w:r w:rsidRPr="00B915C7">
        <w:rPr>
          <w:color w:val="000000"/>
          <w:szCs w:val="22"/>
        </w:rPr>
        <w:t xml:space="preserve"> </w:t>
      </w:r>
      <w:hyperlink r:id="rId17" w:history="1">
        <w:r w:rsidRPr="00DA0753" w:rsidR="00DA0753">
          <w:rPr>
            <w:rStyle w:val="Hyperlink"/>
            <w:szCs w:val="22"/>
          </w:rPr>
          <w:t>t</w:t>
        </w:r>
        <w:r w:rsidRPr="00B915C7" w:rsidR="00DA0753">
          <w:rPr>
            <w:rStyle w:val="Hyperlink"/>
            <w:szCs w:val="22"/>
          </w:rPr>
          <w:t>y.</w:t>
        </w:r>
        <w:r w:rsidRPr="00DA0753" w:rsidR="00DA0753">
          <w:rPr>
            <w:rStyle w:val="Hyperlink"/>
            <w:szCs w:val="22"/>
          </w:rPr>
          <w:t>b</w:t>
        </w:r>
        <w:r w:rsidRPr="00B915C7" w:rsidR="00DA0753">
          <w:rPr>
            <w:rStyle w:val="Hyperlink"/>
            <w:szCs w:val="22"/>
          </w:rPr>
          <w:t>ream@fcc.gov</w:t>
        </w:r>
      </w:hyperlink>
      <w:r w:rsidRPr="00B915C7" w:rsidR="00126B63">
        <w:rPr>
          <w:color w:val="000000"/>
          <w:szCs w:val="22"/>
        </w:rPr>
        <w:t>.</w:t>
      </w:r>
    </w:p>
    <w:p w:rsidR="0060453F" w:rsidRPr="003E7CF6" w:rsidP="00B915C7">
      <w:pPr>
        <w:widowControl/>
        <w:rPr>
          <w:color w:val="000000"/>
          <w:szCs w:val="22"/>
        </w:rPr>
      </w:pPr>
    </w:p>
    <w:p w:rsidR="000201F6" w:rsidRPr="00802680" w:rsidP="000201F6">
      <w:pPr>
        <w:autoSpaceDE w:val="0"/>
        <w:autoSpaceDN w:val="0"/>
        <w:adjustRightInd w:val="0"/>
        <w:spacing w:after="120"/>
        <w:ind w:firstLine="720"/>
        <w:rPr>
          <w:szCs w:val="22"/>
        </w:rPr>
      </w:pPr>
      <w:bookmarkStart w:id="2" w:name="SR;3162"/>
      <w:bookmarkEnd w:id="2"/>
      <w:r w:rsidRPr="00802680">
        <w:rPr>
          <w:szCs w:val="22"/>
        </w:rPr>
        <w:t xml:space="preserve">The proceeding in this Notice shall be treated as a “permit-but-disclose” proceeding in accordance with the Commission’s </w:t>
      </w:r>
      <w:r w:rsidRPr="00802680">
        <w:rPr>
          <w:i/>
          <w:szCs w:val="22"/>
        </w:rPr>
        <w:t>ex parte</w:t>
      </w:r>
      <w:r w:rsidRPr="00802680">
        <w:rPr>
          <w:szCs w:val="22"/>
        </w:rPr>
        <w:t xml:space="preserve"> rules.  Persons making </w:t>
      </w:r>
      <w:r w:rsidRPr="00802680">
        <w:rPr>
          <w:i/>
          <w:szCs w:val="22"/>
        </w:rPr>
        <w:t>ex parte</w:t>
      </w:r>
      <w:r w:rsidRPr="00802680">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2680">
        <w:rPr>
          <w:i/>
          <w:szCs w:val="22"/>
        </w:rPr>
        <w:t>ex parte</w:t>
      </w:r>
      <w:r w:rsidRPr="00802680">
        <w:rPr>
          <w:szCs w:val="22"/>
        </w:rPr>
        <w:t xml:space="preserve"> presentations are reminded that memoranda summarizing the presentation must (1) list all persons attending or otherwise participating in the meeting at which the </w:t>
      </w:r>
      <w:r w:rsidRPr="00802680">
        <w:rPr>
          <w:i/>
          <w:szCs w:val="22"/>
        </w:rPr>
        <w:t>ex parte</w:t>
      </w:r>
      <w:r w:rsidRPr="00802680">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2680">
        <w:rPr>
          <w:i/>
          <w:szCs w:val="22"/>
        </w:rPr>
        <w:t>ex parte</w:t>
      </w:r>
      <w:r w:rsidRPr="00802680">
        <w:rPr>
          <w:szCs w:val="22"/>
        </w:rPr>
        <w:t xml:space="preserve"> meetings are deemed to be written </w:t>
      </w:r>
      <w:r w:rsidRPr="00802680">
        <w:rPr>
          <w:i/>
          <w:szCs w:val="22"/>
        </w:rPr>
        <w:t>ex parte</w:t>
      </w:r>
      <w:r w:rsidRPr="00802680">
        <w:rPr>
          <w:szCs w:val="22"/>
        </w:rPr>
        <w:t xml:space="preserve"> presentations and must be filed consistent with rule 1.1206(b), 47 CFR § 1.1206(b).  Participants in this proceeding should familiarize themselves with the Commission’s </w:t>
      </w:r>
      <w:r w:rsidRPr="00802680">
        <w:rPr>
          <w:i/>
          <w:szCs w:val="22"/>
        </w:rPr>
        <w:t>ex parte</w:t>
      </w:r>
      <w:r w:rsidRPr="00802680">
        <w:rPr>
          <w:szCs w:val="22"/>
        </w:rPr>
        <w:t xml:space="preserve"> rules.</w:t>
      </w:r>
    </w:p>
    <w:p w:rsidR="000201F6" w:rsidP="000201F6">
      <w:pPr>
        <w:autoSpaceDE w:val="0"/>
        <w:autoSpaceDN w:val="0"/>
        <w:adjustRightInd w:val="0"/>
        <w:spacing w:after="120"/>
        <w:ind w:firstLine="720"/>
        <w:rPr>
          <w:szCs w:val="22"/>
        </w:rPr>
      </w:pPr>
      <w:r w:rsidRPr="00802680">
        <w:rPr>
          <w:szCs w:val="22"/>
        </w:rPr>
        <w:t>To allow the Commission to consider fully all substantive issues regarding the application</w:t>
      </w:r>
      <w:r>
        <w:rPr>
          <w:szCs w:val="22"/>
        </w:rPr>
        <w:t>s</w:t>
      </w:r>
      <w:r w:rsidRPr="00802680">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25"/>
      </w:r>
      <w:r w:rsidRPr="00802680">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1509A" w:rsidRPr="003B5C6E" w:rsidP="00F93689">
      <w:pPr>
        <w:rPr>
          <w:szCs w:val="22"/>
        </w:rPr>
      </w:pPr>
      <w:r w:rsidRPr="003B5C6E">
        <w:rPr>
          <w:szCs w:val="22"/>
        </w:rPr>
        <w:tab/>
        <w:t xml:space="preserve">For further information, please contact </w:t>
      </w:r>
      <w:r w:rsidR="0022761A">
        <w:rPr>
          <w:szCs w:val="22"/>
        </w:rPr>
        <w:t>Mat</w:t>
      </w:r>
      <w:r w:rsidR="004F76C1">
        <w:rPr>
          <w:szCs w:val="22"/>
        </w:rPr>
        <w:t>t</w:t>
      </w:r>
      <w:r w:rsidR="0022761A">
        <w:rPr>
          <w:szCs w:val="22"/>
        </w:rPr>
        <w:t>hew Collins</w:t>
      </w:r>
      <w:r w:rsidRPr="003B5C6E">
        <w:rPr>
          <w:szCs w:val="22"/>
        </w:rPr>
        <w:t xml:space="preserve">, Wireline </w:t>
      </w:r>
      <w:r w:rsidR="0078173F">
        <w:rPr>
          <w:szCs w:val="22"/>
        </w:rPr>
        <w:t>Competition Bureau, (202) 418</w:t>
      </w:r>
      <w:r w:rsidR="0022761A">
        <w:rPr>
          <w:szCs w:val="22"/>
        </w:rPr>
        <w:t>-7141</w:t>
      </w:r>
      <w:r w:rsidRPr="003B5C6E">
        <w:rPr>
          <w:szCs w:val="22"/>
        </w:rPr>
        <w:t xml:space="preserve">; </w:t>
      </w:r>
      <w:r w:rsidR="005227B3">
        <w:rPr>
          <w:szCs w:val="22"/>
        </w:rPr>
        <w:t xml:space="preserve">Gregory Kwan, Wireline Competition Bureau, (202) 418-1191; </w:t>
      </w:r>
      <w:r w:rsidR="004C088A">
        <w:rPr>
          <w:szCs w:val="22"/>
        </w:rPr>
        <w:t>Arthur Lechtman</w:t>
      </w:r>
      <w:r w:rsidR="0022761A">
        <w:rPr>
          <w:szCs w:val="22"/>
        </w:rPr>
        <w:t>, International Bureau, (202) 418-</w:t>
      </w:r>
      <w:r w:rsidR="004C088A">
        <w:rPr>
          <w:szCs w:val="22"/>
        </w:rPr>
        <w:t>1465</w:t>
      </w:r>
      <w:r w:rsidR="0022761A">
        <w:rPr>
          <w:szCs w:val="22"/>
        </w:rPr>
        <w:t xml:space="preserve">; </w:t>
      </w:r>
      <w:r w:rsidR="00611399">
        <w:rPr>
          <w:szCs w:val="22"/>
        </w:rPr>
        <w:t>Sumita Mukhoty, International Burea</w:t>
      </w:r>
      <w:r w:rsidR="000D6832">
        <w:rPr>
          <w:szCs w:val="22"/>
        </w:rPr>
        <w:t>u</w:t>
      </w:r>
      <w:r w:rsidR="00611399">
        <w:rPr>
          <w:szCs w:val="22"/>
        </w:rPr>
        <w:t>, (202) 418-7165;</w:t>
      </w:r>
      <w:r w:rsidRPr="003B5C6E">
        <w:rPr>
          <w:szCs w:val="22"/>
        </w:rPr>
        <w:t xml:space="preserve"> Linda Ray, Wireless Telecommunications Bureau, (202) 418-0257</w:t>
      </w:r>
      <w:r w:rsidR="00611399">
        <w:rPr>
          <w:szCs w:val="22"/>
        </w:rPr>
        <w:t xml:space="preserve">; </w:t>
      </w:r>
      <w:r w:rsidR="00DC4A70">
        <w:rPr>
          <w:szCs w:val="22"/>
        </w:rPr>
        <w:t xml:space="preserve">Kathy Harris, Wireless Telecommunications Bureau, (202) 418-0609; Jeff Tobias, Wireless Telecommunications Bureau, (202) 418-1617; </w:t>
      </w:r>
      <w:r w:rsidR="008A78A1">
        <w:rPr>
          <w:szCs w:val="22"/>
        </w:rPr>
        <w:t>David Brown</w:t>
      </w:r>
      <w:r w:rsidR="00611399">
        <w:rPr>
          <w:szCs w:val="22"/>
        </w:rPr>
        <w:t>, Media Bureau, (202) 418-</w:t>
      </w:r>
      <w:r w:rsidR="008A78A1">
        <w:rPr>
          <w:szCs w:val="22"/>
        </w:rPr>
        <w:t xml:space="preserve">1645; </w:t>
      </w:r>
      <w:r w:rsidR="00711E4C">
        <w:rPr>
          <w:szCs w:val="22"/>
        </w:rPr>
        <w:t xml:space="preserve">and </w:t>
      </w:r>
      <w:r w:rsidR="008A78A1">
        <w:rPr>
          <w:szCs w:val="22"/>
        </w:rPr>
        <w:t xml:space="preserve">Ty Bream, Media Bureau, (202) 418-0644. </w:t>
      </w:r>
    </w:p>
    <w:p w:rsidR="00937797" w:rsidP="00272BCA">
      <w:pPr>
        <w:keepNext/>
        <w:rPr>
          <w:b/>
          <w:color w:val="000000"/>
          <w:szCs w:val="22"/>
        </w:rPr>
      </w:pPr>
    </w:p>
    <w:p w:rsidR="00125CA3" w:rsidRPr="003B5C6E" w:rsidP="00F93689">
      <w:pPr>
        <w:rPr>
          <w:szCs w:val="22"/>
        </w:rPr>
      </w:pPr>
    </w:p>
    <w:p w:rsidR="00C1509A" w:rsidRPr="003B5C6E" w:rsidP="00C1509A">
      <w:pPr>
        <w:jc w:val="center"/>
        <w:rPr>
          <w:szCs w:val="22"/>
        </w:rPr>
      </w:pPr>
      <w:r w:rsidRPr="003B5C6E">
        <w:rPr>
          <w:b/>
          <w:szCs w:val="22"/>
        </w:rPr>
        <w:t>- FCC -</w:t>
      </w:r>
    </w:p>
    <w:p w:rsidR="006D5228" w:rsidRPr="00B915C7" w:rsidP="006D5228">
      <w:pPr>
        <w:widowControl/>
        <w:autoSpaceDE w:val="0"/>
        <w:autoSpaceDN w:val="0"/>
        <w:adjustRightInd w:val="0"/>
        <w:jc w:val="center"/>
        <w:rPr>
          <w:b/>
          <w:snapToGrid/>
          <w:kern w:val="0"/>
          <w:szCs w:val="22"/>
          <w:u w:val="single"/>
        </w:rPr>
      </w:pPr>
      <w:r w:rsidRPr="003B5C6E">
        <w:rPr>
          <w:szCs w:val="22"/>
        </w:rPr>
        <w:br w:type="page"/>
      </w:r>
      <w:r w:rsidR="00DA0753">
        <w:rPr>
          <w:b/>
          <w:snapToGrid/>
          <w:kern w:val="0"/>
          <w:szCs w:val="22"/>
          <w:u w:val="single"/>
        </w:rPr>
        <w:t>ATTACHMENT</w:t>
      </w:r>
      <w:r w:rsidRPr="00B915C7" w:rsidR="00DA0753">
        <w:rPr>
          <w:b/>
          <w:snapToGrid/>
          <w:kern w:val="0"/>
          <w:szCs w:val="22"/>
          <w:u w:val="single"/>
        </w:rPr>
        <w:t xml:space="preserve"> </w:t>
      </w:r>
      <w:r w:rsidRPr="00B915C7">
        <w:rPr>
          <w:b/>
          <w:snapToGrid/>
          <w:kern w:val="0"/>
          <w:szCs w:val="22"/>
          <w:u w:val="single"/>
        </w:rPr>
        <w:t>A</w:t>
      </w:r>
    </w:p>
    <w:p w:rsidR="00937797" w:rsidP="00272BCA">
      <w:pPr>
        <w:keepNext/>
        <w:rPr>
          <w:b/>
          <w:color w:val="000000"/>
          <w:szCs w:val="22"/>
        </w:rPr>
      </w:pPr>
    </w:p>
    <w:p w:rsidR="00272BCA" w:rsidRPr="00D77A78" w:rsidP="00272BCA">
      <w:pPr>
        <w:keepNext/>
        <w:rPr>
          <w:color w:val="000000"/>
          <w:szCs w:val="22"/>
        </w:rPr>
      </w:pPr>
      <w:r w:rsidRPr="00D77A78">
        <w:rPr>
          <w:b/>
          <w:color w:val="000000"/>
          <w:szCs w:val="22"/>
        </w:rPr>
        <w:t>SECTION 214 AUTHORIZATIONS</w:t>
      </w:r>
    </w:p>
    <w:p w:rsidR="00272BCA" w:rsidRPr="00D77A78" w:rsidP="00272BCA">
      <w:pPr>
        <w:keepNext/>
        <w:rPr>
          <w:color w:val="000000"/>
          <w:szCs w:val="22"/>
        </w:rPr>
      </w:pPr>
    </w:p>
    <w:p w:rsidR="00272BCA" w:rsidRPr="00D77A78" w:rsidP="00272BCA">
      <w:pPr>
        <w:keepNext/>
        <w:ind w:firstLine="720"/>
        <w:rPr>
          <w:b/>
          <w:color w:val="000000"/>
          <w:szCs w:val="22"/>
        </w:rPr>
      </w:pPr>
      <w:r w:rsidRPr="00D77A78">
        <w:rPr>
          <w:b/>
          <w:color w:val="000000"/>
          <w:szCs w:val="22"/>
        </w:rPr>
        <w:t>A.</w:t>
      </w:r>
      <w:r w:rsidRPr="00D77A78">
        <w:rPr>
          <w:b/>
          <w:color w:val="000000"/>
          <w:szCs w:val="22"/>
        </w:rPr>
        <w:tab/>
        <w:t>International</w:t>
      </w:r>
    </w:p>
    <w:p w:rsidR="00272BCA" w:rsidRPr="00D77A78" w:rsidP="00272BCA">
      <w:pPr>
        <w:keepNext/>
        <w:rPr>
          <w:color w:val="000000"/>
          <w:szCs w:val="22"/>
        </w:rPr>
      </w:pPr>
    </w:p>
    <w:tbl>
      <w:tblPr>
        <w:tblW w:w="9738" w:type="dxa"/>
        <w:tblLook w:val="01E0"/>
      </w:tblPr>
      <w:tblGrid>
        <w:gridCol w:w="2880"/>
        <w:gridCol w:w="3888"/>
        <w:gridCol w:w="2970"/>
      </w:tblGrid>
      <w:tr w:rsidTr="004C088A">
        <w:tblPrEx>
          <w:tblW w:w="9738" w:type="dxa"/>
          <w:tblLook w:val="01E0"/>
        </w:tblPrEx>
        <w:tc>
          <w:tcPr>
            <w:tcW w:w="2880" w:type="dxa"/>
          </w:tcPr>
          <w:p w:rsidR="00272BCA" w:rsidRPr="00D77A78" w:rsidP="00C53296">
            <w:pPr>
              <w:rPr>
                <w:b/>
                <w:color w:val="000000"/>
                <w:szCs w:val="22"/>
              </w:rPr>
            </w:pPr>
            <w:r w:rsidRPr="00D77A78">
              <w:rPr>
                <w:b/>
                <w:color w:val="000000"/>
                <w:szCs w:val="22"/>
                <w:u w:val="single"/>
              </w:rPr>
              <w:t>File Number</w:t>
            </w:r>
          </w:p>
        </w:tc>
        <w:tc>
          <w:tcPr>
            <w:tcW w:w="3888" w:type="dxa"/>
          </w:tcPr>
          <w:p w:rsidR="00272BCA" w:rsidRPr="00D77A78" w:rsidP="00C53296">
            <w:pPr>
              <w:rPr>
                <w:b/>
                <w:color w:val="000000"/>
                <w:szCs w:val="22"/>
              </w:rPr>
            </w:pPr>
            <w:r w:rsidRPr="00D77A78">
              <w:rPr>
                <w:b/>
                <w:color w:val="000000"/>
                <w:szCs w:val="22"/>
                <w:u w:val="single"/>
              </w:rPr>
              <w:t>Authorization Holder</w:t>
            </w:r>
          </w:p>
        </w:tc>
        <w:tc>
          <w:tcPr>
            <w:tcW w:w="2970" w:type="dxa"/>
          </w:tcPr>
          <w:p w:rsidR="00272BCA" w:rsidRPr="00D77A78" w:rsidP="00C53296">
            <w:pPr>
              <w:rPr>
                <w:b/>
                <w:color w:val="000000"/>
                <w:szCs w:val="22"/>
                <w:u w:val="single"/>
              </w:rPr>
            </w:pPr>
            <w:r w:rsidRPr="00D77A78">
              <w:rPr>
                <w:b/>
                <w:color w:val="000000"/>
                <w:szCs w:val="22"/>
                <w:u w:val="single"/>
              </w:rPr>
              <w:t>Authorization Number</w:t>
            </w:r>
          </w:p>
          <w:p w:rsidR="00272BCA" w:rsidRPr="00D77A78" w:rsidP="00C53296">
            <w:pPr>
              <w:rPr>
                <w:b/>
                <w:color w:val="000000"/>
                <w:szCs w:val="22"/>
                <w:u w:val="single"/>
              </w:rPr>
            </w:pPr>
          </w:p>
        </w:tc>
      </w:tr>
      <w:tr w:rsidTr="004C088A">
        <w:tblPrEx>
          <w:tblW w:w="9738" w:type="dxa"/>
          <w:tblLook w:val="01E0"/>
        </w:tblPrEx>
        <w:tc>
          <w:tcPr>
            <w:tcW w:w="2880" w:type="dxa"/>
          </w:tcPr>
          <w:p w:rsidR="004C088A" w:rsidRPr="00B915C7" w:rsidP="00510C6F">
            <w:pPr>
              <w:rPr>
                <w:color w:val="000000"/>
                <w:szCs w:val="22"/>
              </w:rPr>
            </w:pPr>
            <w:r w:rsidRPr="00B915C7">
              <w:rPr>
                <w:color w:val="000000"/>
                <w:szCs w:val="22"/>
              </w:rPr>
              <w:t>ITC-T/C-20200902-00165</w:t>
            </w:r>
          </w:p>
          <w:p w:rsidR="004C088A" w:rsidRPr="00B915C7" w:rsidP="00C53296">
            <w:pPr>
              <w:rPr>
                <w:color w:val="000000"/>
                <w:szCs w:val="22"/>
              </w:rPr>
            </w:pPr>
            <w:r w:rsidRPr="00B915C7">
              <w:rPr>
                <w:color w:val="000000"/>
                <w:szCs w:val="22"/>
              </w:rPr>
              <w:t>ITC-T/C-20200902-00166</w:t>
            </w:r>
          </w:p>
        </w:tc>
        <w:tc>
          <w:tcPr>
            <w:tcW w:w="3888" w:type="dxa"/>
          </w:tcPr>
          <w:p w:rsidR="004C088A" w:rsidP="00510C6F">
            <w:pPr>
              <w:rPr>
                <w:szCs w:val="22"/>
              </w:rPr>
            </w:pPr>
            <w:r>
              <w:rPr>
                <w:szCs w:val="22"/>
              </w:rPr>
              <w:t>The Alaska Wireless Network, LLC</w:t>
            </w:r>
          </w:p>
          <w:p w:rsidR="004C088A" w:rsidRPr="00060D6A" w:rsidP="00C53296">
            <w:pPr>
              <w:rPr>
                <w:szCs w:val="22"/>
              </w:rPr>
            </w:pPr>
            <w:r>
              <w:rPr>
                <w:szCs w:val="22"/>
              </w:rPr>
              <w:t>GCI Communication Corp.</w:t>
            </w:r>
          </w:p>
        </w:tc>
        <w:tc>
          <w:tcPr>
            <w:tcW w:w="2970" w:type="dxa"/>
          </w:tcPr>
          <w:p w:rsidR="004C088A" w:rsidP="00510C6F">
            <w:pPr>
              <w:rPr>
                <w:szCs w:val="22"/>
              </w:rPr>
            </w:pPr>
            <w:r>
              <w:rPr>
                <w:szCs w:val="22"/>
              </w:rPr>
              <w:t>ITC-214-20120618-00162</w:t>
            </w:r>
          </w:p>
          <w:p w:rsidR="004C088A" w:rsidRPr="00060D6A" w:rsidP="00C53296">
            <w:pPr>
              <w:rPr>
                <w:szCs w:val="22"/>
              </w:rPr>
            </w:pPr>
            <w:r>
              <w:rPr>
                <w:szCs w:val="22"/>
              </w:rPr>
              <w:t>ITC-214-19960116-00009</w:t>
            </w:r>
          </w:p>
        </w:tc>
      </w:tr>
    </w:tbl>
    <w:p w:rsidR="0000308E" w:rsidP="00272BCA">
      <w:pPr>
        <w:keepNext/>
        <w:ind w:firstLine="720"/>
        <w:rPr>
          <w:b/>
          <w:color w:val="000000"/>
          <w:szCs w:val="22"/>
        </w:rPr>
      </w:pPr>
    </w:p>
    <w:p w:rsidR="00272BCA" w:rsidRPr="00D77A78" w:rsidP="00272BCA">
      <w:pPr>
        <w:keepNext/>
        <w:ind w:firstLine="720"/>
        <w:rPr>
          <w:b/>
          <w:color w:val="000000"/>
          <w:szCs w:val="22"/>
        </w:rPr>
      </w:pPr>
      <w:r w:rsidRPr="00D77A78">
        <w:rPr>
          <w:b/>
          <w:color w:val="000000"/>
          <w:szCs w:val="22"/>
        </w:rPr>
        <w:t>B.</w:t>
      </w:r>
      <w:r w:rsidRPr="00D77A78">
        <w:rPr>
          <w:b/>
          <w:color w:val="000000"/>
          <w:szCs w:val="22"/>
        </w:rPr>
        <w:tab/>
        <w:t>Domestic</w:t>
      </w:r>
    </w:p>
    <w:p w:rsidR="00272BCA" w:rsidRPr="00D77A78" w:rsidP="00272BCA">
      <w:pPr>
        <w:keepNext/>
        <w:rPr>
          <w:color w:val="000000"/>
          <w:szCs w:val="22"/>
        </w:rPr>
      </w:pPr>
    </w:p>
    <w:p w:rsidR="00272BCA" w:rsidRPr="00D77A78" w:rsidP="00272BCA">
      <w:pPr>
        <w:ind w:firstLine="720"/>
        <w:rPr>
          <w:szCs w:val="22"/>
        </w:rPr>
      </w:pPr>
      <w:r w:rsidRPr="00D77A78">
        <w:rPr>
          <w:color w:val="000000"/>
          <w:szCs w:val="22"/>
        </w:rPr>
        <w:t xml:space="preserve">The Applicants filed an application to transfer control of domestic </w:t>
      </w:r>
      <w:r>
        <w:rPr>
          <w:color w:val="000000"/>
          <w:szCs w:val="22"/>
        </w:rPr>
        <w:t>S</w:t>
      </w:r>
      <w:r w:rsidRPr="00D77A78">
        <w:rPr>
          <w:color w:val="000000"/>
          <w:szCs w:val="22"/>
        </w:rPr>
        <w:t xml:space="preserve">ection 214 authority in connection with the proposed transaction.  </w:t>
      </w:r>
      <w:r>
        <w:rPr>
          <w:color w:val="000000"/>
          <w:szCs w:val="22"/>
        </w:rPr>
        <w:t xml:space="preserve">Applicants do not request streamlined processing of this </w:t>
      </w:r>
      <w:r w:rsidRPr="00D77A78">
        <w:rPr>
          <w:color w:val="000000"/>
          <w:szCs w:val="22"/>
        </w:rPr>
        <w:t>application.</w:t>
      </w:r>
      <w:r>
        <w:rPr>
          <w:rStyle w:val="FootnoteReference"/>
          <w:color w:val="000000"/>
          <w:szCs w:val="22"/>
        </w:rPr>
        <w:footnoteReference w:id="26"/>
      </w:r>
      <w:bookmarkStart w:id="3" w:name="sp_999_4"/>
      <w:bookmarkStart w:id="4" w:name="SDU_4"/>
      <w:bookmarkStart w:id="5" w:name="citeas((Cite_as:_26_F.C.C.R._13372,_*133"/>
      <w:bookmarkEnd w:id="3"/>
      <w:bookmarkEnd w:id="4"/>
      <w:bookmarkEnd w:id="5"/>
    </w:p>
    <w:p w:rsidR="00272BCA" w:rsidP="00272BCA">
      <w:pPr>
        <w:keepNext/>
        <w:rPr>
          <w:b/>
          <w:color w:val="000000"/>
          <w:szCs w:val="22"/>
        </w:rPr>
      </w:pPr>
    </w:p>
    <w:p w:rsidR="00D23BC3" w:rsidRPr="00D23BC3" w:rsidP="00D23BC3">
      <w:pPr>
        <w:keepNext/>
        <w:rPr>
          <w:b/>
          <w:color w:val="000000"/>
          <w:szCs w:val="22"/>
        </w:rPr>
      </w:pPr>
      <w:r w:rsidRPr="00D23BC3">
        <w:rPr>
          <w:b/>
          <w:color w:val="000000"/>
          <w:szCs w:val="22"/>
        </w:rPr>
        <w:t>CABLE LANDING LICENSES</w:t>
      </w:r>
    </w:p>
    <w:p w:rsidR="00D23BC3" w:rsidRPr="00D23BC3" w:rsidP="00D23BC3">
      <w:pPr>
        <w:keepNext/>
        <w:rPr>
          <w:b/>
          <w:color w:val="000000"/>
          <w:szCs w:val="22"/>
        </w:rPr>
      </w:pPr>
      <w:r w:rsidRPr="00D23BC3">
        <w:rPr>
          <w:b/>
          <w:color w:val="000000"/>
          <w:szCs w:val="22"/>
        </w:rPr>
        <w:tab/>
      </w:r>
    </w:p>
    <w:tbl>
      <w:tblPr>
        <w:tblW w:w="9738" w:type="dxa"/>
        <w:tblLook w:val="01E0"/>
      </w:tblPr>
      <w:tblGrid>
        <w:gridCol w:w="2880"/>
        <w:gridCol w:w="3888"/>
        <w:gridCol w:w="2970"/>
      </w:tblGrid>
      <w:tr w:rsidTr="00510C6F">
        <w:tblPrEx>
          <w:tblW w:w="9738" w:type="dxa"/>
          <w:tblLook w:val="01E0"/>
        </w:tblPrEx>
        <w:tc>
          <w:tcPr>
            <w:tcW w:w="2880" w:type="dxa"/>
          </w:tcPr>
          <w:p w:rsidR="00D23BC3" w:rsidRPr="00D23BC3" w:rsidP="00D23BC3">
            <w:pPr>
              <w:keepNext/>
              <w:rPr>
                <w:b/>
                <w:color w:val="000000"/>
                <w:szCs w:val="22"/>
              </w:rPr>
            </w:pPr>
            <w:r w:rsidRPr="00D23BC3">
              <w:rPr>
                <w:b/>
                <w:color w:val="000000"/>
                <w:szCs w:val="22"/>
                <w:u w:val="single"/>
              </w:rPr>
              <w:t>File Number</w:t>
            </w:r>
          </w:p>
        </w:tc>
        <w:tc>
          <w:tcPr>
            <w:tcW w:w="3888" w:type="dxa"/>
          </w:tcPr>
          <w:p w:rsidR="00D23BC3" w:rsidRPr="00D23BC3" w:rsidP="00D23BC3">
            <w:pPr>
              <w:keepNext/>
              <w:rPr>
                <w:b/>
                <w:color w:val="000000"/>
                <w:szCs w:val="22"/>
                <w:u w:val="single"/>
              </w:rPr>
            </w:pPr>
            <w:r w:rsidRPr="00D23BC3">
              <w:rPr>
                <w:b/>
                <w:color w:val="000000"/>
                <w:szCs w:val="22"/>
                <w:u w:val="single"/>
              </w:rPr>
              <w:t>Licensee</w:t>
            </w:r>
          </w:p>
        </w:tc>
        <w:tc>
          <w:tcPr>
            <w:tcW w:w="2970" w:type="dxa"/>
          </w:tcPr>
          <w:p w:rsidR="00D23BC3" w:rsidRPr="00D23BC3" w:rsidP="00D23BC3">
            <w:pPr>
              <w:keepNext/>
              <w:rPr>
                <w:b/>
                <w:color w:val="000000"/>
                <w:szCs w:val="22"/>
                <w:u w:val="single"/>
              </w:rPr>
            </w:pPr>
            <w:r w:rsidRPr="00D23BC3">
              <w:rPr>
                <w:b/>
                <w:color w:val="000000"/>
                <w:szCs w:val="22"/>
                <w:u w:val="single"/>
              </w:rPr>
              <w:t>License Number</w:t>
            </w:r>
          </w:p>
          <w:p w:rsidR="00D23BC3" w:rsidRPr="00D23BC3" w:rsidP="00D23BC3">
            <w:pPr>
              <w:keepNext/>
              <w:rPr>
                <w:b/>
                <w:color w:val="000000"/>
                <w:szCs w:val="22"/>
                <w:u w:val="single"/>
              </w:rPr>
            </w:pPr>
          </w:p>
        </w:tc>
      </w:tr>
      <w:tr w:rsidTr="00510C6F">
        <w:tblPrEx>
          <w:tblW w:w="9738" w:type="dxa"/>
          <w:tblLook w:val="01E0"/>
        </w:tblPrEx>
        <w:tc>
          <w:tcPr>
            <w:tcW w:w="2880" w:type="dxa"/>
          </w:tcPr>
          <w:p w:rsidR="00D23BC3" w:rsidRPr="00B915C7" w:rsidP="00D23BC3">
            <w:pPr>
              <w:keepNext/>
              <w:rPr>
                <w:bCs/>
                <w:color w:val="000000"/>
                <w:szCs w:val="22"/>
              </w:rPr>
            </w:pPr>
            <w:r w:rsidRPr="00B915C7">
              <w:rPr>
                <w:bCs/>
                <w:color w:val="000000"/>
                <w:szCs w:val="22"/>
              </w:rPr>
              <w:t xml:space="preserve">SCL-T/C-20200828-00040 </w:t>
            </w:r>
          </w:p>
          <w:p w:rsidR="00D23BC3" w:rsidRPr="00B915C7" w:rsidP="00D23BC3">
            <w:pPr>
              <w:keepNext/>
              <w:rPr>
                <w:bCs/>
                <w:color w:val="000000"/>
                <w:szCs w:val="22"/>
              </w:rPr>
            </w:pPr>
          </w:p>
          <w:p w:rsidR="00D23BC3" w:rsidRPr="00B915C7" w:rsidP="00D23BC3">
            <w:pPr>
              <w:keepNext/>
              <w:rPr>
                <w:bCs/>
                <w:color w:val="000000"/>
                <w:szCs w:val="22"/>
              </w:rPr>
            </w:pPr>
          </w:p>
          <w:p w:rsidR="00D23BC3" w:rsidRPr="00B915C7" w:rsidP="00D23BC3">
            <w:pPr>
              <w:keepNext/>
              <w:rPr>
                <w:bCs/>
                <w:color w:val="000000"/>
                <w:szCs w:val="22"/>
              </w:rPr>
            </w:pPr>
          </w:p>
          <w:p w:rsidR="00D23BC3" w:rsidRPr="00B915C7" w:rsidP="00D23BC3">
            <w:pPr>
              <w:keepNext/>
              <w:rPr>
                <w:bCs/>
                <w:color w:val="000000"/>
                <w:szCs w:val="22"/>
              </w:rPr>
            </w:pPr>
            <w:r w:rsidRPr="00B915C7">
              <w:rPr>
                <w:bCs/>
                <w:color w:val="000000"/>
                <w:szCs w:val="22"/>
              </w:rPr>
              <w:t>SCL-T/C-20200828-00041</w:t>
            </w:r>
          </w:p>
          <w:p w:rsidR="00D23BC3" w:rsidRPr="00B915C7" w:rsidP="00D23BC3">
            <w:pPr>
              <w:keepNext/>
              <w:rPr>
                <w:bCs/>
                <w:color w:val="000000"/>
                <w:szCs w:val="22"/>
              </w:rPr>
            </w:pPr>
            <w:r w:rsidRPr="00B915C7">
              <w:rPr>
                <w:bCs/>
                <w:color w:val="000000"/>
                <w:szCs w:val="22"/>
              </w:rPr>
              <w:t>SCL-T/C-20200828-00042</w:t>
            </w:r>
          </w:p>
          <w:p w:rsidR="00D23BC3" w:rsidRPr="00B915C7" w:rsidP="00D23BC3">
            <w:pPr>
              <w:keepNext/>
              <w:rPr>
                <w:bCs/>
                <w:color w:val="000000"/>
                <w:szCs w:val="22"/>
              </w:rPr>
            </w:pPr>
            <w:r w:rsidRPr="00B915C7">
              <w:rPr>
                <w:bCs/>
                <w:color w:val="000000"/>
                <w:szCs w:val="22"/>
              </w:rPr>
              <w:t>SCL-T/C-20200828-00043</w:t>
            </w:r>
          </w:p>
        </w:tc>
        <w:tc>
          <w:tcPr>
            <w:tcW w:w="3888" w:type="dxa"/>
          </w:tcPr>
          <w:p w:rsidR="00D23BC3" w:rsidRPr="00D23BC3" w:rsidP="00D23BC3">
            <w:pPr>
              <w:keepNext/>
              <w:rPr>
                <w:bCs/>
                <w:color w:val="000000"/>
                <w:szCs w:val="22"/>
              </w:rPr>
            </w:pPr>
            <w:r w:rsidRPr="00D23BC3">
              <w:rPr>
                <w:bCs/>
                <w:color w:val="000000"/>
                <w:szCs w:val="22"/>
              </w:rPr>
              <w:t xml:space="preserve">GCI Communication Corp. </w:t>
            </w:r>
          </w:p>
          <w:p w:rsidR="00D23BC3" w:rsidRPr="00D23BC3" w:rsidP="00D23BC3">
            <w:pPr>
              <w:keepNext/>
              <w:rPr>
                <w:bCs/>
                <w:color w:val="000000"/>
                <w:szCs w:val="22"/>
              </w:rPr>
            </w:pPr>
          </w:p>
          <w:p w:rsidR="00D23BC3" w:rsidRPr="00D23BC3" w:rsidP="00D23BC3">
            <w:pPr>
              <w:keepNext/>
              <w:rPr>
                <w:bCs/>
                <w:color w:val="000000"/>
                <w:szCs w:val="22"/>
              </w:rPr>
            </w:pPr>
          </w:p>
          <w:p w:rsidR="00D23BC3" w:rsidRPr="00D23BC3" w:rsidP="00D23BC3">
            <w:pPr>
              <w:keepNext/>
              <w:rPr>
                <w:bCs/>
                <w:color w:val="000000"/>
                <w:szCs w:val="22"/>
              </w:rPr>
            </w:pPr>
          </w:p>
          <w:p w:rsidR="00D23BC3" w:rsidRPr="00D23BC3" w:rsidP="00D23BC3">
            <w:pPr>
              <w:keepNext/>
              <w:rPr>
                <w:bCs/>
                <w:color w:val="000000"/>
                <w:szCs w:val="22"/>
              </w:rPr>
            </w:pPr>
            <w:r w:rsidRPr="00D23BC3">
              <w:rPr>
                <w:bCs/>
                <w:color w:val="000000"/>
                <w:szCs w:val="22"/>
              </w:rPr>
              <w:t>Kodiak Kenai Fiber Link, Inc.</w:t>
            </w:r>
          </w:p>
          <w:p w:rsidR="00D23BC3" w:rsidRPr="00D23BC3" w:rsidP="00D23BC3">
            <w:pPr>
              <w:keepNext/>
              <w:rPr>
                <w:bCs/>
                <w:color w:val="000000"/>
                <w:szCs w:val="22"/>
              </w:rPr>
            </w:pPr>
            <w:r w:rsidRPr="00D23BC3">
              <w:rPr>
                <w:bCs/>
                <w:color w:val="000000"/>
                <w:szCs w:val="22"/>
              </w:rPr>
              <w:t xml:space="preserve">Unicom, Inc. </w:t>
            </w:r>
          </w:p>
          <w:p w:rsidR="00D23BC3" w:rsidRPr="00D23BC3" w:rsidP="00D23BC3">
            <w:pPr>
              <w:keepNext/>
              <w:rPr>
                <w:b/>
                <w:color w:val="000000"/>
                <w:szCs w:val="22"/>
              </w:rPr>
            </w:pPr>
            <w:r w:rsidRPr="00D23BC3">
              <w:rPr>
                <w:bCs/>
                <w:color w:val="000000"/>
                <w:szCs w:val="22"/>
              </w:rPr>
              <w:t>United Utilities, Inc.</w:t>
            </w:r>
          </w:p>
        </w:tc>
        <w:tc>
          <w:tcPr>
            <w:tcW w:w="2970" w:type="dxa"/>
          </w:tcPr>
          <w:p w:rsidR="00D23BC3" w:rsidRPr="00D23BC3" w:rsidP="00D23BC3">
            <w:pPr>
              <w:keepNext/>
              <w:rPr>
                <w:bCs/>
                <w:color w:val="000000"/>
                <w:szCs w:val="22"/>
              </w:rPr>
            </w:pPr>
            <w:bookmarkStart w:id="6" w:name="_Hlk50705362"/>
            <w:r w:rsidRPr="00D23BC3">
              <w:rPr>
                <w:bCs/>
                <w:color w:val="000000"/>
                <w:szCs w:val="22"/>
              </w:rPr>
              <w:t>SCL-MOD-20020409-00019</w:t>
            </w:r>
            <w:r>
              <w:rPr>
                <w:bCs/>
                <w:color w:val="000000"/>
                <w:szCs w:val="22"/>
                <w:vertAlign w:val="superscript"/>
              </w:rPr>
              <w:footnoteReference w:id="27"/>
            </w:r>
            <w:r w:rsidRPr="00D23BC3">
              <w:rPr>
                <w:bCs/>
                <w:color w:val="000000"/>
                <w:szCs w:val="22"/>
              </w:rPr>
              <w:t xml:space="preserve"> </w:t>
            </w:r>
          </w:p>
          <w:bookmarkEnd w:id="6"/>
          <w:p w:rsidR="00D23BC3" w:rsidRPr="00D23BC3" w:rsidP="00D23BC3">
            <w:pPr>
              <w:keepNext/>
              <w:rPr>
                <w:bCs/>
                <w:color w:val="000000"/>
                <w:szCs w:val="22"/>
              </w:rPr>
            </w:pPr>
            <w:r w:rsidRPr="00D23BC3">
              <w:rPr>
                <w:bCs/>
                <w:color w:val="000000"/>
                <w:szCs w:val="22"/>
              </w:rPr>
              <w:t>SCL-LIC-20100914-00021</w:t>
            </w:r>
            <w:r>
              <w:rPr>
                <w:bCs/>
                <w:color w:val="000000"/>
                <w:szCs w:val="22"/>
                <w:vertAlign w:val="superscript"/>
              </w:rPr>
              <w:footnoteReference w:id="28"/>
            </w:r>
          </w:p>
          <w:p w:rsidR="00D23BC3" w:rsidRPr="00D23BC3" w:rsidP="00D23BC3">
            <w:pPr>
              <w:keepNext/>
              <w:rPr>
                <w:bCs/>
                <w:color w:val="000000"/>
                <w:szCs w:val="22"/>
              </w:rPr>
            </w:pPr>
            <w:r w:rsidRPr="00D23BC3">
              <w:rPr>
                <w:bCs/>
                <w:color w:val="000000"/>
                <w:szCs w:val="22"/>
              </w:rPr>
              <w:t>SCL-LIC-20171031-00024</w:t>
            </w:r>
            <w:r>
              <w:rPr>
                <w:bCs/>
                <w:color w:val="000000"/>
                <w:szCs w:val="22"/>
                <w:vertAlign w:val="superscript"/>
              </w:rPr>
              <w:footnoteReference w:id="29"/>
            </w:r>
          </w:p>
          <w:p w:rsidR="00D23BC3" w:rsidRPr="00D23BC3" w:rsidP="00D23BC3">
            <w:pPr>
              <w:keepNext/>
              <w:rPr>
                <w:bCs/>
                <w:color w:val="000000"/>
                <w:szCs w:val="22"/>
              </w:rPr>
            </w:pPr>
            <w:bookmarkStart w:id="7" w:name="_Hlk50714806"/>
            <w:r w:rsidRPr="00D23BC3">
              <w:rPr>
                <w:bCs/>
                <w:color w:val="000000"/>
                <w:szCs w:val="22"/>
              </w:rPr>
              <w:t>SCL-MOD-20200708-00025</w:t>
            </w:r>
            <w:bookmarkEnd w:id="7"/>
            <w:r>
              <w:rPr>
                <w:bCs/>
                <w:color w:val="000000"/>
                <w:szCs w:val="22"/>
                <w:vertAlign w:val="superscript"/>
              </w:rPr>
              <w:footnoteReference w:id="30"/>
            </w:r>
          </w:p>
          <w:p w:rsidR="00D23BC3" w:rsidP="00D23BC3">
            <w:pPr>
              <w:keepNext/>
              <w:rPr>
                <w:bCs/>
                <w:color w:val="000000"/>
                <w:szCs w:val="22"/>
              </w:rPr>
            </w:pPr>
            <w:r w:rsidRPr="00D23BC3">
              <w:rPr>
                <w:bCs/>
                <w:color w:val="000000"/>
                <w:szCs w:val="22"/>
              </w:rPr>
              <w:t>SCL-LIC-20060413-00004</w:t>
            </w:r>
            <w:r>
              <w:rPr>
                <w:bCs/>
                <w:color w:val="000000"/>
                <w:szCs w:val="22"/>
                <w:vertAlign w:val="superscript"/>
              </w:rPr>
              <w:footnoteReference w:id="31"/>
            </w:r>
          </w:p>
          <w:p w:rsidR="00D23BC3" w:rsidRPr="00D23BC3" w:rsidP="00D23BC3">
            <w:pPr>
              <w:keepNext/>
              <w:rPr>
                <w:bCs/>
                <w:color w:val="000000"/>
                <w:szCs w:val="22"/>
              </w:rPr>
            </w:pPr>
            <w:r w:rsidRPr="00D23BC3">
              <w:rPr>
                <w:bCs/>
                <w:color w:val="000000"/>
                <w:szCs w:val="22"/>
              </w:rPr>
              <w:t>SCL-LIC-20020522-00047</w:t>
            </w:r>
            <w:r>
              <w:rPr>
                <w:bCs/>
                <w:color w:val="000000"/>
                <w:szCs w:val="22"/>
                <w:vertAlign w:val="superscript"/>
              </w:rPr>
              <w:footnoteReference w:id="32"/>
            </w:r>
          </w:p>
          <w:p w:rsidR="00D23BC3" w:rsidRPr="00D23BC3" w:rsidP="00D23BC3">
            <w:pPr>
              <w:keepNext/>
              <w:rPr>
                <w:b/>
                <w:color w:val="000000"/>
                <w:szCs w:val="22"/>
              </w:rPr>
            </w:pPr>
            <w:r w:rsidRPr="00D23BC3">
              <w:rPr>
                <w:bCs/>
                <w:color w:val="000000"/>
                <w:szCs w:val="22"/>
              </w:rPr>
              <w:t>SCL-LIC-20100914-00021</w:t>
            </w:r>
            <w:r>
              <w:rPr>
                <w:bCs/>
                <w:color w:val="000000"/>
                <w:szCs w:val="22"/>
                <w:vertAlign w:val="superscript"/>
              </w:rPr>
              <w:footnoteReference w:id="33"/>
            </w:r>
          </w:p>
        </w:tc>
      </w:tr>
    </w:tbl>
    <w:p w:rsidR="00D23BC3" w:rsidP="00272BCA">
      <w:pPr>
        <w:keepNext/>
        <w:rPr>
          <w:b/>
          <w:color w:val="000000"/>
          <w:szCs w:val="22"/>
        </w:rPr>
      </w:pPr>
    </w:p>
    <w:p w:rsidR="00611399" w:rsidP="00611399">
      <w:pPr>
        <w:rPr>
          <w:b/>
          <w:color w:val="000000"/>
          <w:szCs w:val="22"/>
        </w:rPr>
      </w:pPr>
      <w:r>
        <w:rPr>
          <w:b/>
          <w:color w:val="000000"/>
          <w:szCs w:val="22"/>
        </w:rPr>
        <w:t>SATELLITE EARTH STATION AUTHORIZATIONS</w:t>
      </w:r>
    </w:p>
    <w:p w:rsidR="00611399" w:rsidP="00611399">
      <w:pPr>
        <w:rPr>
          <w:b/>
          <w:color w:val="000000"/>
          <w:szCs w:val="22"/>
        </w:rPr>
      </w:pPr>
    </w:p>
    <w:tbl>
      <w:tblPr>
        <w:tblW w:w="9738" w:type="dxa"/>
        <w:tblLook w:val="01E0"/>
      </w:tblPr>
      <w:tblGrid>
        <w:gridCol w:w="2880"/>
        <w:gridCol w:w="3888"/>
        <w:gridCol w:w="2970"/>
      </w:tblGrid>
      <w:tr w:rsidTr="00C53296">
        <w:tblPrEx>
          <w:tblW w:w="9738" w:type="dxa"/>
          <w:tblLook w:val="01E0"/>
        </w:tblPrEx>
        <w:tc>
          <w:tcPr>
            <w:tcW w:w="2880" w:type="dxa"/>
          </w:tcPr>
          <w:p w:rsidR="00611399" w:rsidRPr="00F36E15" w:rsidP="00C53296">
            <w:pPr>
              <w:rPr>
                <w:b/>
                <w:color w:val="000000"/>
                <w:szCs w:val="22"/>
              </w:rPr>
            </w:pPr>
            <w:r w:rsidRPr="00F36E15">
              <w:rPr>
                <w:b/>
                <w:color w:val="000000"/>
                <w:szCs w:val="22"/>
                <w:u w:val="single"/>
              </w:rPr>
              <w:t>File Number</w:t>
            </w:r>
          </w:p>
        </w:tc>
        <w:tc>
          <w:tcPr>
            <w:tcW w:w="3888" w:type="dxa"/>
          </w:tcPr>
          <w:p w:rsidR="00611399" w:rsidRPr="0004423E" w:rsidP="00C53296">
            <w:pPr>
              <w:rPr>
                <w:b/>
                <w:color w:val="000000"/>
                <w:szCs w:val="22"/>
                <w:u w:val="single"/>
              </w:rPr>
            </w:pPr>
            <w:r w:rsidRPr="0004423E">
              <w:rPr>
                <w:b/>
                <w:color w:val="000000"/>
                <w:szCs w:val="22"/>
                <w:u w:val="single"/>
              </w:rPr>
              <w:t>Licensee</w:t>
            </w:r>
          </w:p>
        </w:tc>
        <w:tc>
          <w:tcPr>
            <w:tcW w:w="2970" w:type="dxa"/>
          </w:tcPr>
          <w:p w:rsidR="00611399" w:rsidRPr="00F36E15" w:rsidP="00C53296">
            <w:pPr>
              <w:rPr>
                <w:b/>
                <w:color w:val="000000"/>
                <w:szCs w:val="22"/>
                <w:u w:val="single"/>
              </w:rPr>
            </w:pPr>
            <w:r>
              <w:rPr>
                <w:b/>
                <w:color w:val="000000"/>
                <w:szCs w:val="22"/>
                <w:u w:val="single"/>
              </w:rPr>
              <w:t>Lead Call Sign</w:t>
            </w:r>
          </w:p>
          <w:p w:rsidR="00611399" w:rsidRPr="00F36E15" w:rsidP="00C53296">
            <w:pPr>
              <w:rPr>
                <w:b/>
                <w:color w:val="000000"/>
                <w:szCs w:val="22"/>
                <w:u w:val="single"/>
              </w:rPr>
            </w:pPr>
          </w:p>
        </w:tc>
      </w:tr>
    </w:tbl>
    <w:p w:rsidR="008D5F23" w:rsidRPr="00B915C7" w:rsidP="0042369C">
      <w:pPr>
        <w:widowControl/>
        <w:rPr>
          <w:bCs/>
          <w:color w:val="000000"/>
          <w:szCs w:val="22"/>
        </w:rPr>
      </w:pPr>
      <w:r w:rsidRPr="00B915C7">
        <w:rPr>
          <w:bCs/>
          <w:color w:val="000000"/>
          <w:szCs w:val="22"/>
        </w:rPr>
        <w:t>SES-T/C-20200902-00946</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E000635</w:t>
      </w:r>
    </w:p>
    <w:p w:rsidR="008D5F23" w:rsidRPr="00B915C7" w:rsidP="0042369C">
      <w:pPr>
        <w:widowControl/>
        <w:rPr>
          <w:bCs/>
          <w:color w:val="000000"/>
          <w:szCs w:val="22"/>
        </w:rPr>
      </w:pPr>
      <w:r w:rsidRPr="00B915C7">
        <w:rPr>
          <w:bCs/>
          <w:color w:val="000000"/>
          <w:szCs w:val="22"/>
        </w:rPr>
        <w:t>SES-T/C-20200902-00947</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E010091</w:t>
      </w:r>
    </w:p>
    <w:p w:rsidR="008D5F23" w:rsidRPr="00B915C7" w:rsidP="0042369C">
      <w:pPr>
        <w:widowControl/>
        <w:rPr>
          <w:bCs/>
          <w:color w:val="000000"/>
          <w:szCs w:val="22"/>
        </w:rPr>
      </w:pPr>
      <w:r w:rsidRPr="00B915C7">
        <w:rPr>
          <w:bCs/>
          <w:color w:val="000000"/>
          <w:szCs w:val="22"/>
        </w:rPr>
        <w:t>SES-T/C-20200902-00948</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E020336</w:t>
      </w:r>
    </w:p>
    <w:p w:rsidR="008D5F23" w:rsidRPr="00B915C7" w:rsidP="0042369C">
      <w:pPr>
        <w:widowControl/>
        <w:rPr>
          <w:bCs/>
          <w:color w:val="000000"/>
          <w:szCs w:val="22"/>
        </w:rPr>
      </w:pPr>
      <w:r w:rsidRPr="00B915C7">
        <w:rPr>
          <w:bCs/>
          <w:color w:val="000000"/>
          <w:szCs w:val="22"/>
        </w:rPr>
        <w:t>SES-T/C-20200902-00949</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E890589</w:t>
      </w:r>
    </w:p>
    <w:p w:rsidR="008D5F23" w:rsidRPr="00B915C7" w:rsidP="0042369C">
      <w:pPr>
        <w:widowControl/>
        <w:rPr>
          <w:bCs/>
          <w:color w:val="000000"/>
          <w:szCs w:val="22"/>
        </w:rPr>
      </w:pPr>
      <w:r w:rsidRPr="00B915C7">
        <w:rPr>
          <w:bCs/>
          <w:color w:val="000000"/>
          <w:szCs w:val="22"/>
        </w:rPr>
        <w:t>SES-T/C-20200902-00950</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E020104</w:t>
      </w:r>
    </w:p>
    <w:p w:rsidR="008D5F23" w:rsidRPr="00B915C7" w:rsidP="0042369C">
      <w:pPr>
        <w:widowControl/>
        <w:rPr>
          <w:bCs/>
          <w:color w:val="000000"/>
          <w:szCs w:val="22"/>
        </w:rPr>
      </w:pPr>
      <w:r w:rsidRPr="00B915C7">
        <w:rPr>
          <w:bCs/>
          <w:color w:val="000000"/>
          <w:szCs w:val="22"/>
        </w:rPr>
        <w:t>SES-T/C-20200902-00951</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E110169</w:t>
      </w:r>
    </w:p>
    <w:p w:rsidR="008D5F23" w:rsidRPr="00B915C7" w:rsidP="0042369C">
      <w:pPr>
        <w:widowControl/>
        <w:rPr>
          <w:bCs/>
          <w:color w:val="000000"/>
          <w:szCs w:val="22"/>
        </w:rPr>
      </w:pPr>
      <w:r w:rsidRPr="00B915C7">
        <w:rPr>
          <w:bCs/>
          <w:color w:val="000000"/>
          <w:szCs w:val="22"/>
        </w:rPr>
        <w:t>SES-T/C-20200902-00952</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E120041</w:t>
      </w:r>
    </w:p>
    <w:p w:rsidR="008D5F23" w:rsidRPr="00B915C7" w:rsidP="0042369C">
      <w:pPr>
        <w:widowControl/>
        <w:rPr>
          <w:bCs/>
          <w:color w:val="000000"/>
          <w:szCs w:val="22"/>
        </w:rPr>
      </w:pPr>
      <w:r w:rsidRPr="00B915C7">
        <w:rPr>
          <w:bCs/>
          <w:color w:val="000000"/>
          <w:szCs w:val="22"/>
        </w:rPr>
        <w:t>SES-T/C-20200902-00953</w:t>
      </w:r>
      <w:r w:rsidRPr="00B915C7">
        <w:rPr>
          <w:bCs/>
          <w:color w:val="000000"/>
          <w:szCs w:val="22"/>
        </w:rPr>
        <w:tab/>
      </w:r>
      <w:r w:rsidRPr="00B915C7" w:rsidR="000250A9">
        <w:rPr>
          <w:bCs/>
          <w:color w:val="000000"/>
          <w:szCs w:val="22"/>
        </w:rPr>
        <w:t>Denali Media Anchorage, Corp.</w:t>
      </w:r>
      <w:r w:rsidRPr="00B915C7">
        <w:rPr>
          <w:bCs/>
          <w:color w:val="000000"/>
          <w:szCs w:val="22"/>
        </w:rPr>
        <w:tab/>
      </w:r>
      <w:r w:rsidRPr="00B915C7">
        <w:rPr>
          <w:bCs/>
          <w:color w:val="000000"/>
          <w:szCs w:val="22"/>
        </w:rPr>
        <w:tab/>
      </w:r>
      <w:r w:rsidRPr="00B915C7">
        <w:rPr>
          <w:bCs/>
          <w:color w:val="000000"/>
          <w:szCs w:val="22"/>
        </w:rPr>
        <w:tab/>
        <w:t>E060015</w:t>
      </w:r>
    </w:p>
    <w:p w:rsidR="008D5F23" w:rsidRPr="00B915C7" w:rsidP="0042369C">
      <w:pPr>
        <w:widowControl/>
        <w:rPr>
          <w:bCs/>
          <w:color w:val="000000"/>
          <w:szCs w:val="22"/>
        </w:rPr>
      </w:pPr>
      <w:r w:rsidRPr="00B915C7">
        <w:rPr>
          <w:bCs/>
          <w:color w:val="000000"/>
          <w:szCs w:val="22"/>
        </w:rPr>
        <w:t>SES-T/C-20200902-00954</w:t>
      </w:r>
      <w:r w:rsidRPr="00B915C7">
        <w:rPr>
          <w:bCs/>
          <w:color w:val="000000"/>
          <w:szCs w:val="22"/>
        </w:rPr>
        <w:tab/>
      </w:r>
      <w:r w:rsidRPr="00B915C7" w:rsidR="000250A9">
        <w:rPr>
          <w:bCs/>
          <w:color w:val="000000"/>
          <w:szCs w:val="22"/>
        </w:rPr>
        <w:t>Denali Media Anchorage, Corp.</w:t>
      </w:r>
      <w:r w:rsidRPr="00B915C7">
        <w:rPr>
          <w:bCs/>
          <w:color w:val="000000"/>
          <w:szCs w:val="22"/>
        </w:rPr>
        <w:tab/>
      </w:r>
      <w:r w:rsidRPr="00B915C7">
        <w:rPr>
          <w:bCs/>
          <w:color w:val="000000"/>
          <w:szCs w:val="22"/>
        </w:rPr>
        <w:tab/>
      </w:r>
      <w:r w:rsidRPr="00B915C7">
        <w:rPr>
          <w:bCs/>
          <w:color w:val="000000"/>
          <w:szCs w:val="22"/>
        </w:rPr>
        <w:tab/>
        <w:t>E060291</w:t>
      </w:r>
    </w:p>
    <w:p w:rsidR="008D5F23" w:rsidRPr="00B915C7" w:rsidP="0042369C">
      <w:pPr>
        <w:widowControl/>
        <w:rPr>
          <w:bCs/>
          <w:color w:val="000000"/>
          <w:szCs w:val="22"/>
        </w:rPr>
      </w:pPr>
      <w:r w:rsidRPr="00B915C7">
        <w:rPr>
          <w:bCs/>
          <w:color w:val="000000"/>
          <w:szCs w:val="22"/>
        </w:rPr>
        <w:t>SES-T/C-20200903-00959</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E030192</w:t>
      </w:r>
    </w:p>
    <w:p w:rsidR="008D5F23" w:rsidRPr="00B915C7" w:rsidP="0042369C">
      <w:pPr>
        <w:widowControl/>
        <w:rPr>
          <w:bCs/>
          <w:color w:val="000000"/>
          <w:szCs w:val="22"/>
        </w:rPr>
      </w:pPr>
      <w:r w:rsidRPr="00B915C7">
        <w:rPr>
          <w:bCs/>
          <w:color w:val="000000"/>
          <w:szCs w:val="22"/>
        </w:rPr>
        <w:t>SES-T/C-20200903-00960</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E000627</w:t>
      </w:r>
    </w:p>
    <w:p w:rsidR="008D5F23" w:rsidRPr="00B915C7" w:rsidP="0042369C">
      <w:pPr>
        <w:widowControl/>
        <w:rPr>
          <w:bCs/>
          <w:color w:val="000000"/>
          <w:szCs w:val="22"/>
        </w:rPr>
      </w:pPr>
      <w:r w:rsidRPr="00B915C7">
        <w:rPr>
          <w:bCs/>
          <w:color w:val="000000"/>
          <w:szCs w:val="22"/>
        </w:rPr>
        <w:t>SES-T/C-20200903-00961</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E180787</w:t>
      </w:r>
    </w:p>
    <w:p w:rsidR="00937797" w:rsidRPr="00B915C7" w:rsidP="0042369C">
      <w:pPr>
        <w:widowControl/>
        <w:rPr>
          <w:bCs/>
          <w:color w:val="000000"/>
          <w:szCs w:val="22"/>
        </w:rPr>
      </w:pPr>
      <w:r w:rsidRPr="00B915C7">
        <w:rPr>
          <w:bCs/>
          <w:color w:val="000000"/>
          <w:szCs w:val="22"/>
        </w:rPr>
        <w:t>SES-T/C-20200903-00962</w:t>
      </w:r>
      <w:r w:rsidRPr="00B915C7">
        <w:rPr>
          <w:bCs/>
          <w:color w:val="000000"/>
          <w:szCs w:val="22"/>
        </w:rPr>
        <w:t xml:space="preserve"> </w:t>
      </w:r>
      <w:r w:rsidRPr="00B915C7">
        <w:rPr>
          <w:bCs/>
          <w:color w:val="000000"/>
          <w:szCs w:val="22"/>
        </w:rPr>
        <w:tab/>
      </w:r>
      <w:r w:rsidRPr="00B915C7" w:rsidR="000250A9">
        <w:rPr>
          <w:bCs/>
          <w:color w:val="000000"/>
          <w:szCs w:val="22"/>
        </w:rPr>
        <w:t>GCI Communication Corp.</w:t>
      </w:r>
      <w:r w:rsidRPr="00B915C7">
        <w:rPr>
          <w:bCs/>
          <w:color w:val="000000"/>
          <w:szCs w:val="22"/>
        </w:rPr>
        <w:tab/>
      </w:r>
      <w:r w:rsidRPr="00B915C7">
        <w:rPr>
          <w:bCs/>
          <w:color w:val="000000"/>
          <w:szCs w:val="22"/>
        </w:rPr>
        <w:tab/>
      </w:r>
      <w:r w:rsidRPr="00B915C7">
        <w:rPr>
          <w:bCs/>
          <w:color w:val="000000"/>
          <w:szCs w:val="22"/>
        </w:rPr>
        <w:tab/>
        <w:t>E874371</w:t>
      </w:r>
    </w:p>
    <w:p w:rsidR="00937797" w:rsidP="008A78A1">
      <w:pPr>
        <w:widowControl/>
        <w:rPr>
          <w:bCs/>
          <w:color w:val="000000"/>
          <w:szCs w:val="22"/>
        </w:rPr>
      </w:pPr>
    </w:p>
    <w:p w:rsidR="00B849E1" w:rsidP="008A78A1">
      <w:pPr>
        <w:widowControl/>
        <w:rPr>
          <w:b/>
          <w:color w:val="000000"/>
          <w:szCs w:val="22"/>
        </w:rPr>
      </w:pPr>
      <w:r w:rsidRPr="00D77A78">
        <w:rPr>
          <w:b/>
          <w:color w:val="000000"/>
          <w:szCs w:val="22"/>
        </w:rPr>
        <w:t>PART</w:t>
      </w:r>
      <w:r>
        <w:rPr>
          <w:b/>
          <w:color w:val="000000"/>
          <w:szCs w:val="22"/>
        </w:rPr>
        <w:t xml:space="preserve"> 73 </w:t>
      </w:r>
      <w:r w:rsidR="009B3CF6">
        <w:rPr>
          <w:b/>
          <w:color w:val="000000"/>
          <w:szCs w:val="22"/>
        </w:rPr>
        <w:t xml:space="preserve">– </w:t>
      </w:r>
      <w:r>
        <w:rPr>
          <w:b/>
          <w:color w:val="000000"/>
          <w:szCs w:val="22"/>
        </w:rPr>
        <w:t xml:space="preserve">RADIO BROADCAST SERVICES LICENSES and </w:t>
      </w:r>
    </w:p>
    <w:p w:rsidR="00B849E1" w:rsidRPr="00D77A78" w:rsidP="00B849E1">
      <w:pPr>
        <w:rPr>
          <w:b/>
          <w:color w:val="000000"/>
          <w:szCs w:val="22"/>
        </w:rPr>
      </w:pPr>
      <w:r>
        <w:rPr>
          <w:b/>
          <w:color w:val="000000"/>
          <w:szCs w:val="22"/>
        </w:rPr>
        <w:t>PART 74 – EXPERIMENTAL RADIO, AUXILIARY, SPECIAL BROADCAST AND OTHER PROGRAM DISTRIBUTIONAL SERVICES</w:t>
      </w:r>
    </w:p>
    <w:p w:rsidR="00B849E1" w:rsidRPr="00F36E15" w:rsidP="00611399">
      <w:pPr>
        <w:rPr>
          <w:b/>
          <w:color w:val="000000"/>
          <w:szCs w:val="22"/>
        </w:rPr>
      </w:pPr>
    </w:p>
    <w:tbl>
      <w:tblPr>
        <w:tblW w:w="0" w:type="auto"/>
        <w:tblInd w:w="18" w:type="dxa"/>
        <w:tblLayout w:type="fixed"/>
        <w:tblLook w:val="04A0"/>
      </w:tblPr>
      <w:tblGrid>
        <w:gridCol w:w="2700"/>
        <w:gridCol w:w="3600"/>
        <w:gridCol w:w="2700"/>
      </w:tblGrid>
      <w:tr w:rsidTr="004141D8">
        <w:tblPrEx>
          <w:tblW w:w="0" w:type="auto"/>
          <w:tblInd w:w="18" w:type="dxa"/>
          <w:tblLayout w:type="fixed"/>
          <w:tblLook w:val="04A0"/>
        </w:tblPrEx>
        <w:trPr>
          <w:trHeight w:val="310"/>
        </w:trPr>
        <w:tc>
          <w:tcPr>
            <w:tcW w:w="2700" w:type="dxa"/>
            <w:shd w:val="clear" w:color="auto" w:fill="auto"/>
            <w:noWrap/>
          </w:tcPr>
          <w:p w:rsidR="00B849E1" w:rsidRPr="00FB126F" w:rsidP="004141D8">
            <w:pPr>
              <w:ind w:hanging="93"/>
              <w:rPr>
                <w:b/>
                <w:bCs/>
                <w:color w:val="000000"/>
                <w:szCs w:val="22"/>
                <w:u w:val="single"/>
              </w:rPr>
            </w:pPr>
            <w:r w:rsidRPr="00D23BC3">
              <w:rPr>
                <w:b/>
                <w:bCs/>
                <w:color w:val="000000"/>
                <w:szCs w:val="22"/>
              </w:rPr>
              <w:t xml:space="preserve"> </w:t>
            </w:r>
            <w:r>
              <w:rPr>
                <w:b/>
                <w:bCs/>
                <w:color w:val="000000"/>
                <w:szCs w:val="22"/>
              </w:rPr>
              <w:t xml:space="preserve"> </w:t>
            </w:r>
            <w:r>
              <w:rPr>
                <w:b/>
                <w:bCs/>
                <w:color w:val="000000"/>
                <w:szCs w:val="22"/>
                <w:u w:val="single"/>
              </w:rPr>
              <w:t>Call Sign</w:t>
            </w:r>
          </w:p>
          <w:p w:rsidR="00B849E1" w:rsidRPr="00FB126F" w:rsidP="004141D8">
            <w:pPr>
              <w:ind w:hanging="93"/>
              <w:rPr>
                <w:bCs/>
                <w:color w:val="000000"/>
                <w:szCs w:val="22"/>
              </w:rPr>
            </w:pPr>
          </w:p>
        </w:tc>
        <w:tc>
          <w:tcPr>
            <w:tcW w:w="3600" w:type="dxa"/>
            <w:shd w:val="clear" w:color="auto" w:fill="auto"/>
            <w:noWrap/>
          </w:tcPr>
          <w:p w:rsidR="00B849E1" w:rsidRPr="00FB126F" w:rsidP="000E0269">
            <w:pPr>
              <w:ind w:left="163"/>
              <w:rPr>
                <w:b/>
                <w:bCs/>
                <w:color w:val="000000"/>
                <w:szCs w:val="22"/>
                <w:u w:val="single"/>
              </w:rPr>
            </w:pPr>
            <w:r w:rsidRPr="00FB126F">
              <w:rPr>
                <w:b/>
                <w:bCs/>
                <w:color w:val="000000"/>
                <w:szCs w:val="22"/>
                <w:u w:val="single"/>
              </w:rPr>
              <w:t>Licensee</w:t>
            </w:r>
          </w:p>
          <w:p w:rsidR="00B849E1" w:rsidRPr="00FB126F" w:rsidP="004141D8">
            <w:pPr>
              <w:rPr>
                <w:b/>
                <w:bCs/>
                <w:color w:val="000000"/>
                <w:szCs w:val="22"/>
                <w:u w:val="single"/>
              </w:rPr>
            </w:pPr>
          </w:p>
        </w:tc>
        <w:tc>
          <w:tcPr>
            <w:tcW w:w="2700" w:type="dxa"/>
            <w:shd w:val="clear" w:color="auto" w:fill="auto"/>
            <w:noWrap/>
          </w:tcPr>
          <w:p w:rsidR="00B849E1" w:rsidRPr="00FB126F" w:rsidP="000E0269">
            <w:pPr>
              <w:ind w:left="163"/>
              <w:rPr>
                <w:b/>
                <w:bCs/>
                <w:color w:val="000000"/>
                <w:szCs w:val="22"/>
                <w:u w:val="single"/>
              </w:rPr>
            </w:pPr>
            <w:r>
              <w:rPr>
                <w:b/>
                <w:bCs/>
                <w:color w:val="000000"/>
                <w:szCs w:val="22"/>
                <w:u w:val="single"/>
              </w:rPr>
              <w:t>File Number</w:t>
            </w:r>
          </w:p>
          <w:p w:rsidR="00B849E1" w:rsidRPr="00FB126F" w:rsidP="000E0269">
            <w:pPr>
              <w:ind w:left="163"/>
              <w:rPr>
                <w:b/>
                <w:bCs/>
                <w:color w:val="000000"/>
                <w:szCs w:val="22"/>
                <w:u w:val="single"/>
              </w:rPr>
            </w:pPr>
          </w:p>
        </w:tc>
      </w:tr>
      <w:tr w:rsidTr="004141D8">
        <w:tblPrEx>
          <w:tblW w:w="0" w:type="auto"/>
          <w:tblInd w:w="18" w:type="dxa"/>
          <w:tblLayout w:type="fixed"/>
          <w:tblLook w:val="04A0"/>
        </w:tblPrEx>
        <w:trPr>
          <w:trHeight w:val="164"/>
        </w:trPr>
        <w:tc>
          <w:tcPr>
            <w:tcW w:w="2700" w:type="dxa"/>
            <w:shd w:val="clear" w:color="auto" w:fill="auto"/>
            <w:noWrap/>
          </w:tcPr>
          <w:p w:rsidR="00B849E1" w:rsidRPr="00B915C7" w:rsidP="007E6DB9">
            <w:pPr>
              <w:rPr>
                <w:szCs w:val="22"/>
              </w:rPr>
            </w:pPr>
            <w:r w:rsidRPr="00B915C7">
              <w:rPr>
                <w:szCs w:val="22"/>
              </w:rPr>
              <w:t>KTVA(DT)</w:t>
            </w:r>
          </w:p>
          <w:p w:rsidR="00C93347" w:rsidRPr="00B915C7" w:rsidP="007E6DB9">
            <w:pPr>
              <w:rPr>
                <w:szCs w:val="22"/>
              </w:rPr>
            </w:pPr>
            <w:r w:rsidRPr="00B915C7">
              <w:rPr>
                <w:szCs w:val="22"/>
              </w:rPr>
              <w:t>K50MO-D</w:t>
            </w:r>
          </w:p>
          <w:p w:rsidR="00C93347" w:rsidRPr="00B915C7" w:rsidP="007E6DB9">
            <w:pPr>
              <w:rPr>
                <w:szCs w:val="22"/>
              </w:rPr>
            </w:pPr>
            <w:r w:rsidRPr="00B915C7">
              <w:rPr>
                <w:szCs w:val="22"/>
              </w:rPr>
              <w:t>K29KH-D</w:t>
            </w:r>
          </w:p>
          <w:p w:rsidR="00C93347" w:rsidRPr="00B915C7" w:rsidP="007E6DB9">
            <w:pPr>
              <w:rPr>
                <w:szCs w:val="22"/>
              </w:rPr>
            </w:pPr>
            <w:r w:rsidRPr="00B915C7">
              <w:rPr>
                <w:szCs w:val="22"/>
              </w:rPr>
              <w:t>K15AG-D</w:t>
            </w:r>
          </w:p>
          <w:p w:rsidR="00C93347" w:rsidRPr="00B915C7" w:rsidP="007E6DB9">
            <w:pPr>
              <w:rPr>
                <w:szCs w:val="22"/>
              </w:rPr>
            </w:pPr>
            <w:r w:rsidRPr="00B915C7">
              <w:rPr>
                <w:szCs w:val="22"/>
              </w:rPr>
              <w:t>K11VP-D</w:t>
            </w:r>
          </w:p>
          <w:p w:rsidR="00C93347" w:rsidRPr="00B915C7" w:rsidP="007E6DB9">
            <w:pPr>
              <w:rPr>
                <w:szCs w:val="22"/>
              </w:rPr>
            </w:pPr>
            <w:r w:rsidRPr="00B915C7">
              <w:rPr>
                <w:szCs w:val="22"/>
              </w:rPr>
              <w:t>K08LW-D</w:t>
            </w:r>
          </w:p>
          <w:p w:rsidR="00C93347" w:rsidRPr="00B915C7" w:rsidP="007E6DB9">
            <w:pPr>
              <w:rPr>
                <w:szCs w:val="22"/>
              </w:rPr>
            </w:pPr>
            <w:r w:rsidRPr="00B915C7">
              <w:rPr>
                <w:szCs w:val="22"/>
              </w:rPr>
              <w:t>KO4GP-D</w:t>
            </w:r>
          </w:p>
          <w:p w:rsidR="009219D2" w:rsidRPr="00B915C7" w:rsidP="007E6DB9">
            <w:pPr>
              <w:rPr>
                <w:szCs w:val="22"/>
              </w:rPr>
            </w:pPr>
            <w:r w:rsidRPr="00B915C7">
              <w:rPr>
                <w:szCs w:val="22"/>
              </w:rPr>
              <w:t>KTNL-TV</w:t>
            </w:r>
          </w:p>
          <w:p w:rsidR="009219D2" w:rsidRPr="00B915C7" w:rsidP="007E6DB9">
            <w:pPr>
              <w:rPr>
                <w:szCs w:val="22"/>
              </w:rPr>
            </w:pPr>
            <w:r w:rsidRPr="00B915C7">
              <w:rPr>
                <w:szCs w:val="22"/>
              </w:rPr>
              <w:t>KXLJ-LD</w:t>
            </w:r>
          </w:p>
        </w:tc>
        <w:tc>
          <w:tcPr>
            <w:tcW w:w="3600" w:type="dxa"/>
            <w:shd w:val="clear" w:color="auto" w:fill="auto"/>
            <w:noWrap/>
          </w:tcPr>
          <w:p w:rsidR="00B849E1" w:rsidRPr="00B915C7" w:rsidP="000E0269">
            <w:pPr>
              <w:ind w:left="163"/>
              <w:rPr>
                <w:szCs w:val="22"/>
              </w:rPr>
            </w:pPr>
            <w:r w:rsidRPr="00B915C7">
              <w:rPr>
                <w:szCs w:val="22"/>
              </w:rPr>
              <w:t>Denali Media Anchorage, Corp.</w:t>
            </w:r>
          </w:p>
          <w:p w:rsidR="00C93347" w:rsidRPr="00B915C7" w:rsidP="000E0269">
            <w:pPr>
              <w:ind w:left="163"/>
              <w:rPr>
                <w:szCs w:val="22"/>
              </w:rPr>
            </w:pPr>
            <w:r w:rsidRPr="00B915C7">
              <w:rPr>
                <w:szCs w:val="22"/>
              </w:rPr>
              <w:t>Denali Media Anchorage, Corp.</w:t>
            </w:r>
          </w:p>
          <w:p w:rsidR="00C93347" w:rsidRPr="00B915C7" w:rsidP="000E0269">
            <w:pPr>
              <w:ind w:left="163"/>
              <w:rPr>
                <w:szCs w:val="22"/>
              </w:rPr>
            </w:pPr>
            <w:r w:rsidRPr="00B915C7">
              <w:rPr>
                <w:szCs w:val="22"/>
              </w:rPr>
              <w:t>Denali Media Anchorage, Corp.</w:t>
            </w:r>
          </w:p>
          <w:p w:rsidR="00C93347" w:rsidRPr="00B915C7" w:rsidP="000E0269">
            <w:pPr>
              <w:ind w:left="163"/>
              <w:rPr>
                <w:szCs w:val="22"/>
              </w:rPr>
            </w:pPr>
            <w:r w:rsidRPr="00B915C7">
              <w:rPr>
                <w:szCs w:val="22"/>
              </w:rPr>
              <w:t>Denali Media Anchorage, Corp.</w:t>
            </w:r>
          </w:p>
          <w:p w:rsidR="00C93347" w:rsidRPr="00B915C7" w:rsidP="000E0269">
            <w:pPr>
              <w:ind w:left="163"/>
              <w:rPr>
                <w:szCs w:val="22"/>
              </w:rPr>
            </w:pPr>
            <w:r w:rsidRPr="00B915C7">
              <w:rPr>
                <w:szCs w:val="22"/>
              </w:rPr>
              <w:t>Denali Media Anchorage, Corp.</w:t>
            </w:r>
          </w:p>
          <w:p w:rsidR="00C93347" w:rsidRPr="00B915C7" w:rsidP="000E0269">
            <w:pPr>
              <w:ind w:left="163"/>
              <w:rPr>
                <w:szCs w:val="22"/>
              </w:rPr>
            </w:pPr>
            <w:r w:rsidRPr="00B915C7">
              <w:rPr>
                <w:szCs w:val="22"/>
              </w:rPr>
              <w:t>Denali Media Anchorage, Corp.</w:t>
            </w:r>
          </w:p>
          <w:p w:rsidR="00C93347" w:rsidRPr="00B915C7" w:rsidP="000E0269">
            <w:pPr>
              <w:ind w:left="163"/>
              <w:rPr>
                <w:szCs w:val="22"/>
              </w:rPr>
            </w:pPr>
            <w:r w:rsidRPr="00B915C7">
              <w:rPr>
                <w:szCs w:val="22"/>
              </w:rPr>
              <w:t>Denali Media Anchorage, Corp.</w:t>
            </w:r>
          </w:p>
          <w:p w:rsidR="009219D2" w:rsidRPr="00B915C7" w:rsidP="000E0269">
            <w:pPr>
              <w:ind w:left="163"/>
              <w:rPr>
                <w:szCs w:val="22"/>
              </w:rPr>
            </w:pPr>
            <w:r w:rsidRPr="00B915C7">
              <w:rPr>
                <w:szCs w:val="22"/>
              </w:rPr>
              <w:t>Denali Media Juneau, Corp.</w:t>
            </w:r>
          </w:p>
          <w:p w:rsidR="009219D2" w:rsidRPr="00B915C7" w:rsidP="000E0269">
            <w:pPr>
              <w:ind w:left="163"/>
              <w:rPr>
                <w:szCs w:val="22"/>
              </w:rPr>
            </w:pPr>
            <w:r w:rsidRPr="00B915C7">
              <w:rPr>
                <w:szCs w:val="22"/>
              </w:rPr>
              <w:t>Denali Media Juneau, Corp.</w:t>
            </w:r>
          </w:p>
        </w:tc>
        <w:tc>
          <w:tcPr>
            <w:tcW w:w="2700" w:type="dxa"/>
            <w:shd w:val="clear" w:color="auto" w:fill="auto"/>
            <w:noWrap/>
          </w:tcPr>
          <w:p w:rsidR="00B849E1" w:rsidRPr="00B915C7" w:rsidP="000E0269">
            <w:pPr>
              <w:ind w:left="163"/>
              <w:rPr>
                <w:szCs w:val="22"/>
              </w:rPr>
            </w:pPr>
            <w:r w:rsidRPr="00B915C7">
              <w:rPr>
                <w:szCs w:val="22"/>
              </w:rPr>
              <w:t>BTCCDT-</w:t>
            </w:r>
            <w:r w:rsidRPr="00B915C7" w:rsidR="00C93347">
              <w:rPr>
                <w:szCs w:val="22"/>
              </w:rPr>
              <w:t>20200828AAQ</w:t>
            </w:r>
          </w:p>
          <w:p w:rsidR="00C93347" w:rsidRPr="00B915C7" w:rsidP="000E0269">
            <w:pPr>
              <w:ind w:left="163"/>
              <w:rPr>
                <w:szCs w:val="22"/>
              </w:rPr>
            </w:pPr>
            <w:r w:rsidRPr="00B915C7">
              <w:rPr>
                <w:szCs w:val="22"/>
              </w:rPr>
              <w:t>BTCDTT-20200828AAR</w:t>
            </w:r>
          </w:p>
          <w:p w:rsidR="00C93347" w:rsidRPr="00B915C7" w:rsidP="000E0269">
            <w:pPr>
              <w:ind w:left="163"/>
              <w:rPr>
                <w:szCs w:val="22"/>
              </w:rPr>
            </w:pPr>
            <w:r w:rsidRPr="00B915C7">
              <w:rPr>
                <w:szCs w:val="22"/>
              </w:rPr>
              <w:t>BTCDTT-20200828AAS</w:t>
            </w:r>
          </w:p>
          <w:p w:rsidR="00C93347" w:rsidRPr="00B915C7" w:rsidP="000E0269">
            <w:pPr>
              <w:ind w:left="163"/>
              <w:rPr>
                <w:szCs w:val="22"/>
              </w:rPr>
            </w:pPr>
            <w:r w:rsidRPr="00B915C7">
              <w:rPr>
                <w:szCs w:val="22"/>
              </w:rPr>
              <w:t>BTCDTT-20200828AAT</w:t>
            </w:r>
          </w:p>
          <w:p w:rsidR="00C93347" w:rsidRPr="00B915C7" w:rsidP="000E0269">
            <w:pPr>
              <w:ind w:left="163"/>
              <w:rPr>
                <w:szCs w:val="22"/>
              </w:rPr>
            </w:pPr>
            <w:r w:rsidRPr="00B915C7">
              <w:rPr>
                <w:szCs w:val="22"/>
              </w:rPr>
              <w:t>BTCDTV-20200828AAU</w:t>
            </w:r>
          </w:p>
          <w:p w:rsidR="00C93347" w:rsidRPr="00B915C7" w:rsidP="000E0269">
            <w:pPr>
              <w:ind w:left="163"/>
              <w:rPr>
                <w:szCs w:val="22"/>
              </w:rPr>
            </w:pPr>
            <w:r w:rsidRPr="00B915C7">
              <w:rPr>
                <w:szCs w:val="22"/>
              </w:rPr>
              <w:t>BTCDTV-20200828AAV</w:t>
            </w:r>
          </w:p>
          <w:p w:rsidR="00C93347" w:rsidRPr="00B915C7" w:rsidP="000E0269">
            <w:pPr>
              <w:ind w:left="163"/>
              <w:rPr>
                <w:szCs w:val="22"/>
              </w:rPr>
            </w:pPr>
            <w:r w:rsidRPr="00B915C7">
              <w:rPr>
                <w:szCs w:val="22"/>
              </w:rPr>
              <w:t>BTCDTV-20200828AAW</w:t>
            </w:r>
          </w:p>
          <w:p w:rsidR="009219D2" w:rsidRPr="00B915C7" w:rsidP="000E0269">
            <w:pPr>
              <w:ind w:left="163"/>
              <w:rPr>
                <w:szCs w:val="22"/>
              </w:rPr>
            </w:pPr>
            <w:r w:rsidRPr="00B915C7">
              <w:rPr>
                <w:szCs w:val="22"/>
              </w:rPr>
              <w:t>BTCCDT-20200828AAX</w:t>
            </w:r>
          </w:p>
          <w:p w:rsidR="009219D2" w:rsidRPr="00B915C7" w:rsidP="000E0269">
            <w:pPr>
              <w:ind w:left="163"/>
              <w:rPr>
                <w:szCs w:val="22"/>
              </w:rPr>
            </w:pPr>
            <w:r w:rsidRPr="00B915C7">
              <w:rPr>
                <w:szCs w:val="22"/>
              </w:rPr>
              <w:t>BTCDTL-20200828AAY</w:t>
            </w:r>
          </w:p>
          <w:p w:rsidR="00C93347" w:rsidRPr="00B915C7" w:rsidP="000E0269">
            <w:pPr>
              <w:ind w:left="163"/>
              <w:rPr>
                <w:szCs w:val="22"/>
              </w:rPr>
            </w:pPr>
          </w:p>
        </w:tc>
      </w:tr>
    </w:tbl>
    <w:p w:rsidR="00272BCA" w:rsidP="00272BCA">
      <w:pPr>
        <w:keepNext/>
        <w:rPr>
          <w:b/>
          <w:color w:val="000000"/>
          <w:szCs w:val="22"/>
        </w:rPr>
      </w:pPr>
    </w:p>
    <w:tbl>
      <w:tblPr>
        <w:tblW w:w="9738" w:type="dxa"/>
        <w:tblLook w:val="04A0"/>
      </w:tblPr>
      <w:tblGrid>
        <w:gridCol w:w="9234"/>
        <w:gridCol w:w="3895"/>
        <w:gridCol w:w="1991"/>
      </w:tblGrid>
      <w:tr w:rsidTr="00DC4A70">
        <w:tblPrEx>
          <w:tblW w:w="9738" w:type="dxa"/>
          <w:tblLook w:val="04A0"/>
        </w:tblPrEx>
        <w:trPr>
          <w:trHeight w:val="164"/>
        </w:trPr>
        <w:tc>
          <w:tcPr>
            <w:tcW w:w="2963" w:type="dxa"/>
            <w:shd w:val="clear" w:color="auto" w:fill="auto"/>
            <w:noWrap/>
          </w:tcPr>
          <w:p w:rsidR="00DE2EAB" w:rsidRPr="00DE2EAB" w:rsidP="00DE2EAB">
            <w:pPr>
              <w:widowControl/>
              <w:rPr>
                <w:b/>
                <w:bCs/>
                <w:color w:val="000000"/>
                <w:szCs w:val="22"/>
              </w:rPr>
            </w:pPr>
            <w:r>
              <w:rPr>
                <w:b/>
                <w:bCs/>
                <w:color w:val="000000"/>
                <w:szCs w:val="22"/>
              </w:rPr>
              <w:t xml:space="preserve">SECTION 310(d) APPLICATIONS </w:t>
            </w:r>
            <w:r w:rsidRPr="00DE2EAB">
              <w:rPr>
                <w:b/>
                <w:bCs/>
                <w:color w:val="000000"/>
                <w:szCs w:val="22"/>
              </w:rPr>
              <w:t xml:space="preserve"> </w:t>
            </w:r>
          </w:p>
          <w:p w:rsidR="00DE2EAB" w:rsidRPr="00DE2EAB" w:rsidP="00DE2EAB">
            <w:pPr>
              <w:widowControl/>
              <w:rPr>
                <w:b/>
                <w:bCs/>
                <w:color w:val="000000"/>
                <w:szCs w:val="22"/>
              </w:rPr>
            </w:pPr>
          </w:p>
          <w:tbl>
            <w:tblPr>
              <w:tblW w:w="0" w:type="auto"/>
              <w:tblInd w:w="18" w:type="dxa"/>
              <w:tblLook w:val="04A0"/>
            </w:tblPr>
            <w:tblGrid>
              <w:gridCol w:w="2700"/>
              <w:gridCol w:w="3600"/>
              <w:gridCol w:w="2700"/>
            </w:tblGrid>
            <w:tr w:rsidTr="000E0269">
              <w:tblPrEx>
                <w:tblW w:w="0" w:type="auto"/>
                <w:tblInd w:w="18" w:type="dxa"/>
                <w:tblLook w:val="04A0"/>
              </w:tblPrEx>
              <w:trPr>
                <w:trHeight w:val="405"/>
              </w:trPr>
              <w:tc>
                <w:tcPr>
                  <w:tcW w:w="2700" w:type="dxa"/>
                  <w:shd w:val="clear" w:color="auto" w:fill="auto"/>
                  <w:noWrap/>
                </w:tcPr>
                <w:p w:rsidR="00DE2EAB" w:rsidRPr="00DE2EAB" w:rsidP="00B915C7">
                  <w:pPr>
                    <w:widowControl/>
                    <w:tabs>
                      <w:tab w:val="left" w:pos="54"/>
                    </w:tabs>
                    <w:ind w:left="-141"/>
                    <w:rPr>
                      <w:b/>
                      <w:bCs/>
                      <w:color w:val="000000"/>
                      <w:szCs w:val="22"/>
                      <w:u w:val="single"/>
                    </w:rPr>
                  </w:pPr>
                  <w:r w:rsidRPr="00DE2EAB">
                    <w:rPr>
                      <w:b/>
                      <w:bCs/>
                      <w:color w:val="000000"/>
                      <w:szCs w:val="22"/>
                      <w:u w:val="single"/>
                    </w:rPr>
                    <w:t>Lead Call Sig</w:t>
                  </w:r>
                  <w:r w:rsidR="000E0269">
                    <w:rPr>
                      <w:b/>
                      <w:bCs/>
                      <w:color w:val="000000"/>
                      <w:szCs w:val="22"/>
                      <w:u w:val="single"/>
                    </w:rPr>
                    <w:t>n</w:t>
                  </w:r>
                </w:p>
              </w:tc>
              <w:tc>
                <w:tcPr>
                  <w:tcW w:w="3600" w:type="dxa"/>
                  <w:shd w:val="clear" w:color="auto" w:fill="auto"/>
                  <w:noWrap/>
                </w:tcPr>
                <w:p w:rsidR="00DE2EAB" w:rsidRPr="00DE2EAB" w:rsidP="00DE2EAB">
                  <w:pPr>
                    <w:widowControl/>
                    <w:rPr>
                      <w:b/>
                      <w:bCs/>
                      <w:color w:val="000000"/>
                      <w:szCs w:val="22"/>
                      <w:u w:val="single"/>
                    </w:rPr>
                  </w:pPr>
                  <w:r w:rsidRPr="00DE2EAB">
                    <w:rPr>
                      <w:b/>
                      <w:bCs/>
                      <w:color w:val="000000"/>
                      <w:szCs w:val="22"/>
                      <w:u w:val="single"/>
                    </w:rPr>
                    <w:t>Licensee</w:t>
                  </w:r>
                </w:p>
                <w:p w:rsidR="00DE2EAB" w:rsidRPr="00DE2EAB" w:rsidP="00DE2EAB">
                  <w:pPr>
                    <w:widowControl/>
                    <w:rPr>
                      <w:b/>
                      <w:bCs/>
                      <w:color w:val="000000"/>
                      <w:szCs w:val="22"/>
                      <w:u w:val="single"/>
                    </w:rPr>
                  </w:pPr>
                </w:p>
              </w:tc>
              <w:tc>
                <w:tcPr>
                  <w:tcW w:w="2700" w:type="dxa"/>
                  <w:shd w:val="clear" w:color="auto" w:fill="auto"/>
                  <w:noWrap/>
                </w:tcPr>
                <w:p w:rsidR="00DE2EAB" w:rsidRPr="00DE2EAB" w:rsidP="00DE2EAB">
                  <w:pPr>
                    <w:widowControl/>
                    <w:rPr>
                      <w:b/>
                      <w:bCs/>
                      <w:color w:val="000000"/>
                      <w:szCs w:val="22"/>
                      <w:u w:val="single"/>
                    </w:rPr>
                  </w:pPr>
                  <w:r w:rsidRPr="00DE2EAB">
                    <w:rPr>
                      <w:b/>
                      <w:bCs/>
                      <w:color w:val="000000"/>
                      <w:szCs w:val="22"/>
                      <w:u w:val="single"/>
                    </w:rPr>
                    <w:t>File Number</w:t>
                  </w:r>
                </w:p>
                <w:p w:rsidR="00DE2EAB" w:rsidRPr="00DE2EAB" w:rsidP="00DE2EAB">
                  <w:pPr>
                    <w:widowControl/>
                    <w:rPr>
                      <w:b/>
                      <w:bCs/>
                      <w:color w:val="000000"/>
                      <w:szCs w:val="22"/>
                      <w:u w:val="single"/>
                    </w:rPr>
                  </w:pPr>
                </w:p>
              </w:tc>
            </w:tr>
          </w:tbl>
          <w:p w:rsidR="00DE2EAB" w:rsidRPr="00B915C7" w:rsidP="00DE2EAB">
            <w:pPr>
              <w:widowControl/>
              <w:rPr>
                <w:color w:val="000000"/>
                <w:szCs w:val="22"/>
              </w:rPr>
            </w:pPr>
            <w:r w:rsidRPr="00B915C7">
              <w:rPr>
                <w:color w:val="000000"/>
                <w:szCs w:val="22"/>
              </w:rPr>
              <w:t>KNKA480</w:t>
            </w:r>
            <w:r w:rsidRPr="00B915C7">
              <w:rPr>
                <w:color w:val="000000"/>
                <w:szCs w:val="22"/>
              </w:rPr>
              <w:tab/>
            </w:r>
            <w:r w:rsidRPr="00B915C7">
              <w:rPr>
                <w:color w:val="000000"/>
                <w:szCs w:val="22"/>
              </w:rPr>
              <w:tab/>
            </w:r>
            <w:r w:rsidRPr="00B915C7">
              <w:rPr>
                <w:color w:val="000000"/>
                <w:szCs w:val="22"/>
              </w:rPr>
              <w:tab/>
              <w:t>The Alaska Wireless Network, LLC</w:t>
            </w:r>
            <w:r w:rsidRPr="00B915C7">
              <w:rPr>
                <w:color w:val="000000"/>
                <w:szCs w:val="22"/>
              </w:rPr>
              <w:tab/>
              <w:t>0009193369</w:t>
            </w:r>
          </w:p>
          <w:p w:rsidR="00DE2EAB" w:rsidRPr="00B915C7" w:rsidP="00DE2EAB">
            <w:pPr>
              <w:widowControl/>
              <w:rPr>
                <w:color w:val="000000"/>
                <w:szCs w:val="22"/>
              </w:rPr>
            </w:pPr>
            <w:r w:rsidRPr="00B915C7">
              <w:rPr>
                <w:color w:val="000000"/>
                <w:szCs w:val="22"/>
              </w:rPr>
              <w:t>WLT719</w:t>
            </w:r>
            <w:r w:rsidRPr="00B915C7">
              <w:rPr>
                <w:color w:val="000000"/>
                <w:szCs w:val="22"/>
              </w:rPr>
              <w:tab/>
            </w:r>
            <w:r w:rsidRPr="00B915C7">
              <w:rPr>
                <w:color w:val="000000"/>
                <w:szCs w:val="22"/>
              </w:rPr>
              <w:tab/>
            </w:r>
            <w:r w:rsidRPr="00B915C7">
              <w:rPr>
                <w:color w:val="000000"/>
                <w:szCs w:val="22"/>
              </w:rPr>
              <w:tab/>
              <w:t>GCI Communications Corp.</w:t>
            </w:r>
            <w:r w:rsidRPr="00B915C7">
              <w:rPr>
                <w:color w:val="000000"/>
                <w:szCs w:val="22"/>
              </w:rPr>
              <w:tab/>
            </w:r>
            <w:r w:rsidRPr="00B915C7">
              <w:rPr>
                <w:color w:val="000000"/>
                <w:szCs w:val="22"/>
              </w:rPr>
              <w:tab/>
              <w:t>0009193439</w:t>
            </w:r>
          </w:p>
          <w:p w:rsidR="00DE2EAB" w:rsidRPr="00B915C7" w:rsidP="00DE2EAB">
            <w:pPr>
              <w:widowControl/>
              <w:rPr>
                <w:color w:val="000000"/>
                <w:szCs w:val="22"/>
              </w:rPr>
            </w:pPr>
            <w:r w:rsidRPr="00B915C7">
              <w:rPr>
                <w:color w:val="000000"/>
                <w:szCs w:val="22"/>
              </w:rPr>
              <w:t>KNKD748</w:t>
            </w:r>
            <w:r w:rsidRPr="00B915C7">
              <w:rPr>
                <w:color w:val="000000"/>
                <w:szCs w:val="22"/>
              </w:rPr>
              <w:tab/>
            </w:r>
            <w:r w:rsidRPr="00B915C7">
              <w:rPr>
                <w:color w:val="000000"/>
                <w:szCs w:val="22"/>
              </w:rPr>
              <w:tab/>
            </w:r>
            <w:r w:rsidRPr="00B915C7">
              <w:rPr>
                <w:color w:val="000000"/>
                <w:szCs w:val="22"/>
              </w:rPr>
              <w:tab/>
              <w:t>United Utilities, Inc.</w:t>
            </w:r>
            <w:r w:rsidRPr="00B915C7">
              <w:rPr>
                <w:color w:val="000000"/>
                <w:szCs w:val="22"/>
              </w:rPr>
              <w:tab/>
            </w:r>
            <w:r w:rsidRPr="00B915C7">
              <w:rPr>
                <w:color w:val="000000"/>
                <w:szCs w:val="22"/>
              </w:rPr>
              <w:tab/>
            </w:r>
            <w:r w:rsidRPr="00B915C7">
              <w:rPr>
                <w:color w:val="000000"/>
                <w:szCs w:val="22"/>
              </w:rPr>
              <w:tab/>
              <w:t>0009193458</w:t>
            </w:r>
          </w:p>
          <w:p w:rsidR="00DE2EAB" w:rsidRPr="00B915C7" w:rsidP="00DE2EAB">
            <w:pPr>
              <w:widowControl/>
              <w:rPr>
                <w:color w:val="000000"/>
                <w:szCs w:val="22"/>
              </w:rPr>
            </w:pPr>
            <w:r w:rsidRPr="00B915C7">
              <w:rPr>
                <w:color w:val="000000"/>
                <w:szCs w:val="22"/>
              </w:rPr>
              <w:t>WQPH548</w:t>
            </w:r>
            <w:r w:rsidRPr="00B915C7">
              <w:rPr>
                <w:color w:val="000000"/>
                <w:szCs w:val="22"/>
              </w:rPr>
              <w:tab/>
            </w:r>
            <w:r w:rsidRPr="00B915C7">
              <w:rPr>
                <w:color w:val="000000"/>
                <w:szCs w:val="22"/>
              </w:rPr>
              <w:tab/>
            </w:r>
            <w:r w:rsidRPr="00B915C7">
              <w:rPr>
                <w:color w:val="000000"/>
                <w:szCs w:val="22"/>
              </w:rPr>
              <w:tab/>
              <w:t>Unicom, Inc.</w:t>
            </w:r>
            <w:r w:rsidRPr="00B915C7">
              <w:rPr>
                <w:color w:val="000000"/>
                <w:szCs w:val="22"/>
              </w:rPr>
              <w:tab/>
            </w:r>
            <w:r w:rsidRPr="00B915C7">
              <w:rPr>
                <w:color w:val="000000"/>
                <w:szCs w:val="22"/>
              </w:rPr>
              <w:tab/>
            </w:r>
            <w:r w:rsidRPr="00B915C7">
              <w:rPr>
                <w:color w:val="000000"/>
                <w:szCs w:val="22"/>
              </w:rPr>
              <w:tab/>
            </w:r>
            <w:r w:rsidRPr="00B915C7">
              <w:rPr>
                <w:color w:val="000000"/>
                <w:szCs w:val="22"/>
              </w:rPr>
              <w:tab/>
              <w:t>0009193467</w:t>
            </w:r>
          </w:p>
          <w:p w:rsidR="00DE2EAB" w:rsidRPr="00B915C7" w:rsidP="00DE2EAB">
            <w:pPr>
              <w:widowControl/>
              <w:rPr>
                <w:color w:val="000000"/>
                <w:szCs w:val="22"/>
              </w:rPr>
            </w:pPr>
            <w:r w:rsidRPr="00B915C7">
              <w:rPr>
                <w:color w:val="000000"/>
                <w:szCs w:val="22"/>
              </w:rPr>
              <w:t>WPNI462</w:t>
            </w:r>
            <w:r w:rsidRPr="00B915C7">
              <w:rPr>
                <w:color w:val="000000"/>
                <w:szCs w:val="22"/>
              </w:rPr>
              <w:tab/>
            </w:r>
            <w:r w:rsidRPr="00B915C7">
              <w:rPr>
                <w:color w:val="000000"/>
                <w:szCs w:val="22"/>
              </w:rPr>
              <w:tab/>
            </w:r>
            <w:r w:rsidRPr="00B915C7">
              <w:rPr>
                <w:color w:val="000000"/>
                <w:szCs w:val="22"/>
              </w:rPr>
              <w:tab/>
              <w:t>United2, LLC</w:t>
            </w:r>
            <w:r w:rsidRPr="00B915C7">
              <w:rPr>
                <w:color w:val="000000"/>
                <w:szCs w:val="22"/>
              </w:rPr>
              <w:tab/>
            </w:r>
            <w:r w:rsidRPr="00B915C7">
              <w:rPr>
                <w:color w:val="000000"/>
                <w:szCs w:val="22"/>
              </w:rPr>
              <w:tab/>
            </w:r>
            <w:r w:rsidRPr="00B915C7">
              <w:rPr>
                <w:color w:val="000000"/>
                <w:szCs w:val="22"/>
              </w:rPr>
              <w:tab/>
            </w:r>
            <w:r w:rsidRPr="00B915C7">
              <w:rPr>
                <w:color w:val="000000"/>
                <w:szCs w:val="22"/>
              </w:rPr>
              <w:tab/>
              <w:t>0009193477</w:t>
            </w:r>
          </w:p>
          <w:p w:rsidR="00DE2EAB" w:rsidRPr="00B915C7" w:rsidP="00DE2EAB">
            <w:pPr>
              <w:widowControl/>
              <w:rPr>
                <w:color w:val="000000"/>
                <w:szCs w:val="22"/>
              </w:rPr>
            </w:pPr>
            <w:r w:rsidRPr="00B915C7">
              <w:rPr>
                <w:color w:val="000000"/>
                <w:szCs w:val="22"/>
              </w:rPr>
              <w:t>WQSY276</w:t>
            </w:r>
            <w:r w:rsidRPr="00B915C7">
              <w:rPr>
                <w:color w:val="000000"/>
                <w:szCs w:val="22"/>
              </w:rPr>
              <w:tab/>
            </w:r>
            <w:r w:rsidRPr="00B915C7">
              <w:rPr>
                <w:color w:val="000000"/>
                <w:szCs w:val="22"/>
              </w:rPr>
              <w:tab/>
            </w:r>
            <w:r w:rsidRPr="00B915C7">
              <w:rPr>
                <w:color w:val="000000"/>
                <w:szCs w:val="22"/>
              </w:rPr>
              <w:tab/>
              <w:t>Denali Media Holdings Corp</w:t>
            </w:r>
            <w:r w:rsidRPr="00B915C7">
              <w:rPr>
                <w:color w:val="000000"/>
                <w:szCs w:val="22"/>
              </w:rPr>
              <w:tab/>
            </w:r>
            <w:r w:rsidRPr="00B915C7">
              <w:rPr>
                <w:color w:val="000000"/>
                <w:szCs w:val="22"/>
              </w:rPr>
              <w:tab/>
              <w:t>0009193485</w:t>
            </w:r>
          </w:p>
          <w:p w:rsidR="00DE2EAB" w:rsidRPr="00B915C7" w:rsidP="00DE2EAB">
            <w:pPr>
              <w:widowControl/>
              <w:rPr>
                <w:color w:val="000000"/>
                <w:szCs w:val="22"/>
              </w:rPr>
            </w:pPr>
            <w:r w:rsidRPr="00B915C7">
              <w:rPr>
                <w:color w:val="000000"/>
                <w:szCs w:val="22"/>
              </w:rPr>
              <w:t>WPOS651</w:t>
            </w:r>
            <w:r w:rsidRPr="00B915C7">
              <w:rPr>
                <w:color w:val="000000"/>
                <w:szCs w:val="22"/>
              </w:rPr>
              <w:tab/>
            </w:r>
            <w:r w:rsidRPr="00B915C7">
              <w:rPr>
                <w:color w:val="000000"/>
                <w:szCs w:val="22"/>
              </w:rPr>
              <w:tab/>
            </w:r>
            <w:r w:rsidRPr="00B915C7">
              <w:rPr>
                <w:color w:val="000000"/>
                <w:szCs w:val="22"/>
              </w:rPr>
              <w:tab/>
              <w:t>Denali Media Anchorage Corp</w:t>
            </w:r>
            <w:r w:rsidRPr="00B915C7">
              <w:rPr>
                <w:color w:val="000000"/>
                <w:szCs w:val="22"/>
              </w:rPr>
              <w:tab/>
            </w:r>
            <w:r w:rsidRPr="00B915C7">
              <w:rPr>
                <w:color w:val="000000"/>
                <w:szCs w:val="22"/>
              </w:rPr>
              <w:tab/>
              <w:t>0009194618</w:t>
            </w:r>
          </w:p>
          <w:p w:rsidR="00DE2EAB" w:rsidRPr="00B915C7" w:rsidP="00DE2EAB">
            <w:pPr>
              <w:widowControl/>
              <w:rPr>
                <w:color w:val="000000"/>
                <w:szCs w:val="22"/>
              </w:rPr>
            </w:pPr>
            <w:r w:rsidRPr="00B915C7">
              <w:rPr>
                <w:color w:val="000000"/>
                <w:szCs w:val="22"/>
              </w:rPr>
              <w:t>WQRA367</w:t>
            </w:r>
            <w:r w:rsidRPr="00B915C7">
              <w:rPr>
                <w:color w:val="000000"/>
                <w:szCs w:val="22"/>
              </w:rPr>
              <w:tab/>
            </w:r>
            <w:r w:rsidRPr="00B915C7">
              <w:rPr>
                <w:color w:val="000000"/>
                <w:szCs w:val="22"/>
              </w:rPr>
              <w:tab/>
            </w:r>
            <w:r w:rsidRPr="00B915C7">
              <w:rPr>
                <w:color w:val="000000"/>
                <w:szCs w:val="22"/>
              </w:rPr>
              <w:tab/>
              <w:t>Provide Gifts, Inc.</w:t>
            </w:r>
            <w:r w:rsidRPr="00B915C7">
              <w:rPr>
                <w:color w:val="000000"/>
                <w:szCs w:val="22"/>
              </w:rPr>
              <w:tab/>
            </w:r>
            <w:r w:rsidRPr="00B915C7">
              <w:rPr>
                <w:color w:val="000000"/>
                <w:szCs w:val="22"/>
              </w:rPr>
              <w:tab/>
            </w:r>
            <w:r w:rsidRPr="00B915C7">
              <w:rPr>
                <w:color w:val="000000"/>
                <w:szCs w:val="22"/>
              </w:rPr>
              <w:tab/>
              <w:t>0009200524</w:t>
            </w:r>
          </w:p>
          <w:p w:rsidR="00272BCA" w:rsidRPr="00681B6F" w:rsidP="00774382">
            <w:pPr>
              <w:widowControl/>
              <w:rPr>
                <w:bCs/>
                <w:color w:val="000000"/>
                <w:szCs w:val="22"/>
              </w:rPr>
            </w:pPr>
          </w:p>
        </w:tc>
        <w:tc>
          <w:tcPr>
            <w:tcW w:w="3895" w:type="dxa"/>
            <w:shd w:val="clear" w:color="auto" w:fill="auto"/>
            <w:noWrap/>
          </w:tcPr>
          <w:p w:rsidR="00272BCA" w:rsidRPr="00681B6F" w:rsidP="00C53296">
            <w:pPr>
              <w:rPr>
                <w:bCs/>
                <w:color w:val="000000"/>
                <w:szCs w:val="22"/>
              </w:rPr>
            </w:pPr>
          </w:p>
        </w:tc>
        <w:tc>
          <w:tcPr>
            <w:tcW w:w="1991" w:type="dxa"/>
            <w:shd w:val="clear" w:color="auto" w:fill="auto"/>
            <w:noWrap/>
          </w:tcPr>
          <w:p w:rsidR="00272BCA" w:rsidRPr="00681B6F" w:rsidP="00C53296">
            <w:pPr>
              <w:rPr>
                <w:bCs/>
                <w:color w:val="000000"/>
                <w:szCs w:val="22"/>
              </w:rPr>
            </w:pPr>
          </w:p>
        </w:tc>
      </w:tr>
    </w:tbl>
    <w:p w:rsidR="006D5228" w:rsidRPr="003B5C6E" w:rsidP="006D5228">
      <w:pPr>
        <w:widowControl/>
        <w:autoSpaceDE w:val="0"/>
        <w:autoSpaceDN w:val="0"/>
        <w:adjustRightInd w:val="0"/>
        <w:jc w:val="center"/>
        <w:rPr>
          <w:b/>
          <w:snapToGrid/>
          <w:kern w:val="0"/>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046">
    <w:pPr>
      <w:pStyle w:val="Footer"/>
      <w:jc w:val="center"/>
    </w:pPr>
    <w:r>
      <w:fldChar w:fldCharType="begin"/>
    </w:r>
    <w:r>
      <w:instrText xml:space="preserve"> PAGE   \* MERGEFORMAT </w:instrText>
    </w:r>
    <w:r>
      <w:fldChar w:fldCharType="separate"/>
    </w:r>
    <w:r w:rsidR="007D63C4">
      <w:rPr>
        <w:noProof/>
      </w:rPr>
      <w:t>7</w:t>
    </w:r>
    <w:r>
      <w:rPr>
        <w:noProof/>
      </w:rPr>
      <w:fldChar w:fldCharType="end"/>
    </w:r>
  </w:p>
  <w:p w:rsidR="000E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09E2">
      <w:r>
        <w:separator/>
      </w:r>
    </w:p>
  </w:footnote>
  <w:footnote w:type="continuationSeparator" w:id="1">
    <w:p w:rsidR="00F409E2">
      <w:pPr>
        <w:rPr>
          <w:sz w:val="20"/>
        </w:rPr>
      </w:pPr>
    </w:p>
    <w:p w:rsidR="00F409E2" w:rsidRPr="00C1509A">
      <w:pPr>
        <w:rPr>
          <w:sz w:val="20"/>
        </w:rPr>
      </w:pPr>
      <w:r w:rsidRPr="00C1509A">
        <w:rPr>
          <w:sz w:val="20"/>
        </w:rPr>
        <w:t xml:space="preserve">(Continued from previous page) </w:t>
      </w:r>
      <w:r w:rsidRPr="00C1509A">
        <w:rPr>
          <w:sz w:val="20"/>
        </w:rPr>
        <w:separator/>
      </w:r>
    </w:p>
  </w:footnote>
  <w:footnote w:type="continuationNotice" w:id="2">
    <w:p w:rsidR="00F409E2" w:rsidRPr="00C1509A" w:rsidP="00C1509A">
      <w:pPr>
        <w:jc w:val="right"/>
        <w:rPr>
          <w:sz w:val="20"/>
        </w:rPr>
      </w:pPr>
      <w:r>
        <w:rPr>
          <w:sz w:val="20"/>
        </w:rPr>
        <w:t>(continued…)</w:t>
      </w:r>
    </w:p>
  </w:footnote>
  <w:footnote w:id="3">
    <w:p w:rsidR="000E2046" w:rsidRPr="00840869" w:rsidP="003B5C6E">
      <w:pPr>
        <w:pStyle w:val="FootnoteText"/>
        <w:tabs>
          <w:tab w:val="clear" w:pos="720"/>
        </w:tabs>
        <w:spacing w:after="120"/>
        <w:rPr>
          <w:sz w:val="20"/>
        </w:rPr>
      </w:pPr>
      <w:r w:rsidRPr="002161F4">
        <w:rPr>
          <w:rStyle w:val="FootnoteReference"/>
          <w:sz w:val="20"/>
        </w:rPr>
        <w:footnoteRef/>
      </w:r>
      <w:r w:rsidRPr="002161F4">
        <w:rPr>
          <w:sz w:val="20"/>
        </w:rPr>
        <w:t xml:space="preserve"> 47 U.S.C. §§ </w:t>
      </w:r>
      <w:r w:rsidRPr="00840869">
        <w:rPr>
          <w:sz w:val="20"/>
        </w:rPr>
        <w:t xml:space="preserve">214, 310(d).  </w:t>
      </w:r>
    </w:p>
  </w:footnote>
  <w:footnote w:id="4">
    <w:p w:rsidR="00772A08" w:rsidRPr="00840869" w:rsidP="00AA2147">
      <w:pPr>
        <w:pStyle w:val="FootnoteText"/>
        <w:tabs>
          <w:tab w:val="clear" w:pos="720"/>
        </w:tabs>
        <w:spacing w:after="120"/>
        <w:rPr>
          <w:sz w:val="20"/>
        </w:rPr>
      </w:pPr>
      <w:r w:rsidRPr="00840869">
        <w:rPr>
          <w:rStyle w:val="FootnoteReference"/>
          <w:sz w:val="20"/>
        </w:rPr>
        <w:footnoteRef/>
      </w:r>
      <w:r w:rsidRPr="00840869">
        <w:rPr>
          <w:sz w:val="20"/>
        </w:rPr>
        <w:t xml:space="preserve"> 47 U.S.C. §§ 34-39.  </w:t>
      </w:r>
      <w:r w:rsidRPr="00840869">
        <w:rPr>
          <w:i/>
          <w:sz w:val="20"/>
        </w:rPr>
        <w:t>See also</w:t>
      </w:r>
      <w:r w:rsidRPr="00840869">
        <w:rPr>
          <w:sz w:val="20"/>
        </w:rPr>
        <w:t xml:space="preserve"> Exec. Ord. No. 10530, Sec. 5(a), reprinted as amended at 3 U.S.C. § 301 (delegating the President’s authority under the Cable Landing License Act to the Commission).</w:t>
      </w:r>
    </w:p>
  </w:footnote>
  <w:footnote w:id="5">
    <w:p w:rsidR="00D326DC" w:rsidRPr="00840869" w:rsidP="00D2009E">
      <w:pPr>
        <w:pStyle w:val="FootnoteText"/>
        <w:spacing w:after="120"/>
        <w:rPr>
          <w:sz w:val="20"/>
        </w:rPr>
      </w:pPr>
      <w:r w:rsidRPr="00840869">
        <w:rPr>
          <w:rStyle w:val="FootnoteReference"/>
          <w:sz w:val="20"/>
        </w:rPr>
        <w:footnoteRef/>
      </w:r>
      <w:r w:rsidRPr="00840869">
        <w:rPr>
          <w:sz w:val="20"/>
        </w:rPr>
        <w:t xml:space="preserve"> 47 U.S.C. §§ 214; 47 CFR §§ 63.03-04, 63.18, 63.24.</w:t>
      </w:r>
    </w:p>
  </w:footnote>
  <w:footnote w:id="6">
    <w:p w:rsidR="00B31B49" w:rsidRPr="00840869" w:rsidP="00AA2147">
      <w:pPr>
        <w:pStyle w:val="FootnoteText"/>
        <w:tabs>
          <w:tab w:val="clear" w:pos="720"/>
        </w:tabs>
        <w:spacing w:after="120"/>
        <w:rPr>
          <w:sz w:val="20"/>
        </w:rPr>
      </w:pPr>
      <w:r w:rsidRPr="00840869">
        <w:rPr>
          <w:rStyle w:val="FootnoteReference"/>
          <w:sz w:val="20"/>
        </w:rPr>
        <w:footnoteRef/>
      </w:r>
      <w:r w:rsidRPr="00840869">
        <w:rPr>
          <w:sz w:val="20"/>
        </w:rPr>
        <w:t xml:space="preserve"> </w:t>
      </w:r>
      <w:r w:rsidRPr="00840869" w:rsidR="00B64881">
        <w:rPr>
          <w:sz w:val="20"/>
        </w:rPr>
        <w:t xml:space="preserve">Application for Consent to Transfer Control of International and Domestic Section 214 Authority, WC Docket No. </w:t>
      </w:r>
      <w:r w:rsidRPr="00840869" w:rsidR="00EF3B99">
        <w:rPr>
          <w:sz w:val="20"/>
        </w:rPr>
        <w:t>20-</w:t>
      </w:r>
      <w:r w:rsidRPr="00840869" w:rsidR="00F2658B">
        <w:rPr>
          <w:sz w:val="20"/>
        </w:rPr>
        <w:t>292</w:t>
      </w:r>
      <w:r w:rsidRPr="00840869" w:rsidR="00B64881">
        <w:rPr>
          <w:sz w:val="20"/>
        </w:rPr>
        <w:t xml:space="preserve"> (filed </w:t>
      </w:r>
      <w:r w:rsidRPr="00840869" w:rsidR="00EF3B99">
        <w:rPr>
          <w:sz w:val="20"/>
        </w:rPr>
        <w:t>Aug. 28, 2020</w:t>
      </w:r>
      <w:r w:rsidRPr="00840869" w:rsidR="00B64881">
        <w:rPr>
          <w:sz w:val="20"/>
        </w:rPr>
        <w:t xml:space="preserve">) (Lead Application). </w:t>
      </w:r>
      <w:r w:rsidRPr="00840869" w:rsidR="00750FB2">
        <w:rPr>
          <w:sz w:val="20"/>
        </w:rPr>
        <w:t xml:space="preserve"> </w:t>
      </w:r>
      <w:r w:rsidRPr="00840869">
        <w:rPr>
          <w:sz w:val="20"/>
        </w:rPr>
        <w:t xml:space="preserve">Applicants also filed applications to transfer or assign wireless authorizations, </w:t>
      </w:r>
      <w:r w:rsidRPr="00840869" w:rsidR="0067755A">
        <w:rPr>
          <w:sz w:val="20"/>
        </w:rPr>
        <w:t xml:space="preserve">a </w:t>
      </w:r>
      <w:r w:rsidRPr="00840869">
        <w:rPr>
          <w:sz w:val="20"/>
        </w:rPr>
        <w:t>submarine cable landing license, earth station licenses, and broadcast licenses.  Lead Application</w:t>
      </w:r>
      <w:r w:rsidRPr="00840869" w:rsidR="00A05CBB">
        <w:rPr>
          <w:sz w:val="20"/>
        </w:rPr>
        <w:t xml:space="preserve"> at 18-19 and</w:t>
      </w:r>
      <w:r w:rsidRPr="00840869" w:rsidR="00C669F9">
        <w:rPr>
          <w:sz w:val="20"/>
        </w:rPr>
        <w:t xml:space="preserve"> Exh. 1</w:t>
      </w:r>
      <w:r w:rsidRPr="00840869">
        <w:rPr>
          <w:sz w:val="20"/>
        </w:rPr>
        <w:t xml:space="preserve"> at Attach. </w:t>
      </w:r>
      <w:r w:rsidRPr="00840869" w:rsidR="00EF3B99">
        <w:rPr>
          <w:sz w:val="20"/>
        </w:rPr>
        <w:t>2</w:t>
      </w:r>
      <w:r w:rsidRPr="00840869">
        <w:rPr>
          <w:sz w:val="20"/>
        </w:rPr>
        <w:t>.</w:t>
      </w:r>
      <w:r w:rsidRPr="00840869" w:rsidR="003B21EA">
        <w:rPr>
          <w:sz w:val="20"/>
        </w:rPr>
        <w:t xml:space="preserve">  The </w:t>
      </w:r>
      <w:r w:rsidRPr="00840869" w:rsidR="00EF3B99">
        <w:rPr>
          <w:sz w:val="20"/>
        </w:rPr>
        <w:t>o</w:t>
      </w:r>
      <w:r w:rsidRPr="00840869" w:rsidR="003B21EA">
        <w:rPr>
          <w:sz w:val="20"/>
        </w:rPr>
        <w:t xml:space="preserve">perating </w:t>
      </w:r>
      <w:r w:rsidRPr="00840869" w:rsidR="00EF3B99">
        <w:rPr>
          <w:sz w:val="20"/>
        </w:rPr>
        <w:t>s</w:t>
      </w:r>
      <w:r w:rsidRPr="00840869" w:rsidR="003B21EA">
        <w:rPr>
          <w:sz w:val="20"/>
        </w:rPr>
        <w:t xml:space="preserve">ubsidiaries </w:t>
      </w:r>
      <w:r w:rsidRPr="00840869" w:rsidR="00EF3B99">
        <w:rPr>
          <w:sz w:val="20"/>
        </w:rPr>
        <w:t xml:space="preserve">of GCI Liberty </w:t>
      </w:r>
      <w:r w:rsidRPr="00840869" w:rsidR="00DB2645">
        <w:rPr>
          <w:sz w:val="20"/>
        </w:rPr>
        <w:t xml:space="preserve">that </w:t>
      </w:r>
      <w:r w:rsidRPr="00840869" w:rsidR="003B21EA">
        <w:rPr>
          <w:sz w:val="20"/>
        </w:rPr>
        <w:t>provid</w:t>
      </w:r>
      <w:r w:rsidRPr="00840869" w:rsidR="00EF3B99">
        <w:rPr>
          <w:sz w:val="20"/>
        </w:rPr>
        <w:t>e</w:t>
      </w:r>
      <w:r w:rsidRPr="00840869" w:rsidR="003B21EA">
        <w:rPr>
          <w:sz w:val="20"/>
        </w:rPr>
        <w:t xml:space="preserve"> domestic interstate service are identified in </w:t>
      </w:r>
      <w:r w:rsidRPr="00840869" w:rsidR="00D023D1">
        <w:rPr>
          <w:sz w:val="20"/>
        </w:rPr>
        <w:t xml:space="preserve">Table 4.  </w:t>
      </w:r>
      <w:r w:rsidRPr="00840869" w:rsidR="00A443D7">
        <w:rPr>
          <w:sz w:val="20"/>
        </w:rPr>
        <w:t>Lead Application</w:t>
      </w:r>
      <w:r w:rsidRPr="00840869" w:rsidR="003B21EA">
        <w:rPr>
          <w:sz w:val="20"/>
        </w:rPr>
        <w:t xml:space="preserve"> at 11</w:t>
      </w:r>
      <w:r w:rsidRPr="00840869" w:rsidR="00A05CBB">
        <w:rPr>
          <w:sz w:val="20"/>
        </w:rPr>
        <w:t>.</w:t>
      </w:r>
      <w:r w:rsidRPr="00840869" w:rsidR="003B21EA">
        <w:rPr>
          <w:sz w:val="20"/>
        </w:rPr>
        <w:t xml:space="preserve">  Applicants </w:t>
      </w:r>
      <w:r w:rsidRPr="00840869" w:rsidR="00D023D1">
        <w:rPr>
          <w:sz w:val="20"/>
        </w:rPr>
        <w:t xml:space="preserve">also </w:t>
      </w:r>
      <w:r w:rsidRPr="00840869" w:rsidR="003B21EA">
        <w:rPr>
          <w:sz w:val="20"/>
        </w:rPr>
        <w:t xml:space="preserve">provide a list of </w:t>
      </w:r>
      <w:r w:rsidRPr="00840869" w:rsidR="00785FCF">
        <w:rPr>
          <w:sz w:val="20"/>
        </w:rPr>
        <w:t xml:space="preserve">the </w:t>
      </w:r>
      <w:r w:rsidRPr="00840869" w:rsidR="003B21EA">
        <w:rPr>
          <w:sz w:val="20"/>
        </w:rPr>
        <w:t xml:space="preserve">anticipated </w:t>
      </w:r>
      <w:r w:rsidRPr="00840869" w:rsidR="00A5655D">
        <w:rPr>
          <w:sz w:val="20"/>
        </w:rPr>
        <w:t>Liberty Broadband</w:t>
      </w:r>
      <w:r w:rsidRPr="00840869" w:rsidR="003B21EA">
        <w:rPr>
          <w:sz w:val="20"/>
        </w:rPr>
        <w:t xml:space="preserve"> affiliates </w:t>
      </w:r>
      <w:r w:rsidRPr="00840869" w:rsidR="00785FCF">
        <w:rPr>
          <w:sz w:val="20"/>
        </w:rPr>
        <w:t xml:space="preserve">providing domestic interstate telecommunications services </w:t>
      </w:r>
      <w:r w:rsidRPr="00840869" w:rsidR="003B21EA">
        <w:rPr>
          <w:sz w:val="20"/>
        </w:rPr>
        <w:t xml:space="preserve">in </w:t>
      </w:r>
      <w:r w:rsidRPr="00840869" w:rsidR="00D023D1">
        <w:rPr>
          <w:sz w:val="20"/>
        </w:rPr>
        <w:t xml:space="preserve">Table 5.  </w:t>
      </w:r>
      <w:r w:rsidRPr="00840869" w:rsidR="00D023D1">
        <w:rPr>
          <w:i/>
          <w:iCs/>
          <w:sz w:val="20"/>
        </w:rPr>
        <w:t>Id.</w:t>
      </w:r>
      <w:r w:rsidRPr="00840869" w:rsidR="003B21EA">
        <w:rPr>
          <w:sz w:val="20"/>
        </w:rPr>
        <w:t xml:space="preserve"> at 1</w:t>
      </w:r>
      <w:r w:rsidRPr="00840869" w:rsidR="00A443D7">
        <w:rPr>
          <w:sz w:val="20"/>
        </w:rPr>
        <w:t>2</w:t>
      </w:r>
      <w:r w:rsidRPr="00840869" w:rsidR="00A5655D">
        <w:rPr>
          <w:sz w:val="20"/>
        </w:rPr>
        <w:t>-1</w:t>
      </w:r>
      <w:r w:rsidRPr="00840869" w:rsidR="00785FCF">
        <w:rPr>
          <w:sz w:val="20"/>
        </w:rPr>
        <w:t>4</w:t>
      </w:r>
      <w:r w:rsidRPr="00840869" w:rsidR="003B21EA">
        <w:rPr>
          <w:sz w:val="20"/>
        </w:rPr>
        <w:t>.</w:t>
      </w:r>
    </w:p>
  </w:footnote>
  <w:footnote w:id="7">
    <w:p w:rsidR="00253AEB" w:rsidRPr="00840869" w:rsidP="00253AEB">
      <w:pPr>
        <w:pStyle w:val="FootnoteText"/>
        <w:rPr>
          <w:sz w:val="20"/>
        </w:rPr>
      </w:pPr>
      <w:r w:rsidRPr="00840869">
        <w:rPr>
          <w:rStyle w:val="FootnoteReference"/>
          <w:sz w:val="20"/>
        </w:rPr>
        <w:footnoteRef/>
      </w:r>
      <w:r w:rsidRPr="00840869">
        <w:rPr>
          <w:sz w:val="20"/>
        </w:rPr>
        <w:t xml:space="preserve"> Applicants state that besides GCI Holdings, GCI Liberty’s principal assets currently consist of </w:t>
      </w:r>
      <w:r w:rsidRPr="00840869" w:rsidR="00C226A1">
        <w:rPr>
          <w:sz w:val="20"/>
        </w:rPr>
        <w:t>its wholly</w:t>
      </w:r>
      <w:r w:rsidRPr="00840869" w:rsidR="00FB5444">
        <w:rPr>
          <w:sz w:val="20"/>
        </w:rPr>
        <w:t xml:space="preserve"> </w:t>
      </w:r>
      <w:r w:rsidRPr="00840869" w:rsidR="00C226A1">
        <w:rPr>
          <w:sz w:val="20"/>
        </w:rPr>
        <w:t xml:space="preserve">owned subsidiary </w:t>
      </w:r>
      <w:r w:rsidRPr="00840869">
        <w:rPr>
          <w:sz w:val="20"/>
        </w:rPr>
        <w:t>Evite, Inc., a non-controlling interest in Lending Tree, Inc.</w:t>
      </w:r>
      <w:r w:rsidRPr="00840869" w:rsidR="00992CD3">
        <w:rPr>
          <w:sz w:val="20"/>
        </w:rPr>
        <w:t xml:space="preserve"> (approximately 27%)</w:t>
      </w:r>
      <w:r w:rsidRPr="00840869">
        <w:rPr>
          <w:sz w:val="20"/>
        </w:rPr>
        <w:t>, a non-voting interest in Liberty Broadband Corporation</w:t>
      </w:r>
      <w:r w:rsidRPr="00840869" w:rsidR="00992CD3">
        <w:rPr>
          <w:sz w:val="20"/>
        </w:rPr>
        <w:t xml:space="preserve"> (approximately 23.5%)</w:t>
      </w:r>
      <w:r w:rsidRPr="00840869">
        <w:rPr>
          <w:sz w:val="20"/>
        </w:rPr>
        <w:t>, and</w:t>
      </w:r>
      <w:r w:rsidRPr="00840869" w:rsidR="00C21E58">
        <w:rPr>
          <w:sz w:val="20"/>
        </w:rPr>
        <w:t xml:space="preserve"> an</w:t>
      </w:r>
      <w:r w:rsidRPr="00840869" w:rsidR="00C226A1">
        <w:rPr>
          <w:sz w:val="20"/>
        </w:rPr>
        <w:t xml:space="preserve"> approximate 2% interest in</w:t>
      </w:r>
      <w:r w:rsidRPr="00840869">
        <w:rPr>
          <w:sz w:val="20"/>
        </w:rPr>
        <w:t xml:space="preserve"> Charter Communications, Inc. (Charter)</w:t>
      </w:r>
      <w:r w:rsidRPr="00840869" w:rsidR="00DB2645">
        <w:rPr>
          <w:sz w:val="20"/>
        </w:rPr>
        <w:t xml:space="preserve"> (on a fully diluted basis)</w:t>
      </w:r>
      <w:r w:rsidRPr="00840869">
        <w:rPr>
          <w:sz w:val="20"/>
        </w:rPr>
        <w:t>.  Lead Application, Exh</w:t>
      </w:r>
      <w:r w:rsidRPr="00840869" w:rsidR="00A443D7">
        <w:rPr>
          <w:sz w:val="20"/>
        </w:rPr>
        <w:t>.</w:t>
      </w:r>
      <w:r w:rsidRPr="00840869">
        <w:rPr>
          <w:sz w:val="20"/>
        </w:rPr>
        <w:t xml:space="preserve"> 1 at 1.</w:t>
      </w:r>
    </w:p>
  </w:footnote>
  <w:footnote w:id="8">
    <w:p w:rsidR="000E2046" w:rsidRPr="00840869" w:rsidP="003B5C6E">
      <w:pPr>
        <w:pStyle w:val="FootnoteText"/>
        <w:tabs>
          <w:tab w:val="clear" w:pos="720"/>
        </w:tabs>
        <w:spacing w:after="120"/>
        <w:rPr>
          <w:sz w:val="20"/>
        </w:rPr>
      </w:pPr>
      <w:r w:rsidRPr="00840869">
        <w:rPr>
          <w:rStyle w:val="FootnoteReference"/>
          <w:sz w:val="20"/>
        </w:rPr>
        <w:footnoteRef/>
      </w:r>
      <w:r w:rsidRPr="00840869" w:rsidR="006F2BD2">
        <w:rPr>
          <w:sz w:val="20"/>
        </w:rPr>
        <w:t xml:space="preserve"> </w:t>
      </w:r>
      <w:r w:rsidRPr="00840869" w:rsidR="00416E00">
        <w:rPr>
          <w:i/>
          <w:iCs/>
          <w:sz w:val="20"/>
        </w:rPr>
        <w:t>Id.</w:t>
      </w:r>
      <w:r w:rsidRPr="00840869" w:rsidR="0016703B">
        <w:rPr>
          <w:sz w:val="20"/>
        </w:rPr>
        <w:t xml:space="preserve"> at </w:t>
      </w:r>
      <w:r w:rsidRPr="00840869" w:rsidR="00CE6622">
        <w:rPr>
          <w:sz w:val="20"/>
        </w:rPr>
        <w:t>1-2</w:t>
      </w:r>
      <w:r w:rsidRPr="00840869">
        <w:rPr>
          <w:sz w:val="20"/>
        </w:rPr>
        <w:t>.</w:t>
      </w:r>
      <w:r w:rsidRPr="00840869" w:rsidR="0016703B">
        <w:rPr>
          <w:sz w:val="20"/>
        </w:rPr>
        <w:t xml:space="preserve">  Applicants provide a list of GCI’s subsidiaries and their Commission authorizations and licenses</w:t>
      </w:r>
      <w:r w:rsidRPr="00840869" w:rsidR="004C7E20">
        <w:rPr>
          <w:sz w:val="20"/>
        </w:rPr>
        <w:t xml:space="preserve"> as Attachment </w:t>
      </w:r>
      <w:r w:rsidRPr="00840869" w:rsidR="006C6BC9">
        <w:rPr>
          <w:sz w:val="20"/>
        </w:rPr>
        <w:t>2</w:t>
      </w:r>
      <w:r w:rsidRPr="00840869" w:rsidR="0016703B">
        <w:rPr>
          <w:sz w:val="20"/>
        </w:rPr>
        <w:t>.</w:t>
      </w:r>
      <w:r w:rsidRPr="00840869" w:rsidR="006C6BC9">
        <w:rPr>
          <w:sz w:val="20"/>
        </w:rPr>
        <w:t xml:space="preserve">  </w:t>
      </w:r>
      <w:r w:rsidRPr="00840869" w:rsidR="006C6BC9">
        <w:rPr>
          <w:i/>
          <w:iCs/>
          <w:sz w:val="20"/>
        </w:rPr>
        <w:t>Id</w:t>
      </w:r>
      <w:r w:rsidRPr="00840869" w:rsidR="005F3028">
        <w:rPr>
          <w:i/>
          <w:iCs/>
          <w:sz w:val="20"/>
        </w:rPr>
        <w:t>.</w:t>
      </w:r>
      <w:r w:rsidRPr="00840869" w:rsidR="006C6BC9">
        <w:rPr>
          <w:sz w:val="20"/>
        </w:rPr>
        <w:t xml:space="preserve"> at </w:t>
      </w:r>
      <w:r w:rsidRPr="00840869" w:rsidR="00047339">
        <w:rPr>
          <w:sz w:val="20"/>
        </w:rPr>
        <w:t>Attach. 2</w:t>
      </w:r>
      <w:r w:rsidRPr="00840869" w:rsidR="006C6BC9">
        <w:rPr>
          <w:sz w:val="20"/>
        </w:rPr>
        <w:t xml:space="preserve">.  </w:t>
      </w:r>
    </w:p>
  </w:footnote>
  <w:footnote w:id="9">
    <w:p w:rsidR="00B31B49" w:rsidRPr="00840869" w:rsidP="00AA2147">
      <w:pPr>
        <w:pStyle w:val="FootnoteText"/>
        <w:tabs>
          <w:tab w:val="clear" w:pos="720"/>
        </w:tabs>
        <w:spacing w:after="120"/>
        <w:rPr>
          <w:i/>
          <w:iCs/>
          <w:sz w:val="20"/>
        </w:rPr>
      </w:pPr>
      <w:r w:rsidRPr="00840869">
        <w:rPr>
          <w:rStyle w:val="FootnoteReference"/>
          <w:sz w:val="20"/>
        </w:rPr>
        <w:footnoteRef/>
      </w:r>
      <w:r w:rsidRPr="00840869">
        <w:rPr>
          <w:sz w:val="20"/>
        </w:rPr>
        <w:t xml:space="preserve"> </w:t>
      </w:r>
      <w:r w:rsidRPr="00840869" w:rsidR="006C6BC9">
        <w:rPr>
          <w:i/>
          <w:iCs/>
          <w:sz w:val="20"/>
        </w:rPr>
        <w:t>Id.</w:t>
      </w:r>
      <w:r w:rsidRPr="00840869">
        <w:rPr>
          <w:sz w:val="20"/>
        </w:rPr>
        <w:t xml:space="preserve"> at 2.</w:t>
      </w:r>
      <w:r w:rsidRPr="00840869" w:rsidR="001D5A5B">
        <w:rPr>
          <w:sz w:val="20"/>
        </w:rPr>
        <w:t xml:space="preserve">  Applicants state that, in addition to local voice services, these incumbent LECs offer Internet access via DSL or in some cases fixed wireless technologies. </w:t>
      </w:r>
      <w:r w:rsidRPr="00840869" w:rsidR="00B67391">
        <w:rPr>
          <w:sz w:val="20"/>
        </w:rPr>
        <w:t xml:space="preserve"> </w:t>
      </w:r>
      <w:r w:rsidRPr="00840869" w:rsidR="00B67391">
        <w:rPr>
          <w:i/>
          <w:iCs/>
          <w:sz w:val="20"/>
        </w:rPr>
        <w:t>Id.</w:t>
      </w:r>
      <w:r w:rsidRPr="00840869" w:rsidR="006C6BC9">
        <w:rPr>
          <w:sz w:val="20"/>
        </w:rPr>
        <w:t xml:space="preserve"> </w:t>
      </w:r>
      <w:r w:rsidRPr="00840869" w:rsidR="00047339">
        <w:rPr>
          <w:sz w:val="20"/>
        </w:rPr>
        <w:t xml:space="preserve"> </w:t>
      </w:r>
      <w:r w:rsidRPr="00840869" w:rsidR="006C6BC9">
        <w:rPr>
          <w:sz w:val="20"/>
        </w:rPr>
        <w:t xml:space="preserve">Applicants provide a list of GCI’s eligible telecommunications carrier designations as Attachment 3.  </w:t>
      </w:r>
      <w:r w:rsidRPr="00840869" w:rsidR="006C6BC9">
        <w:rPr>
          <w:i/>
          <w:iCs/>
          <w:sz w:val="20"/>
        </w:rPr>
        <w:t xml:space="preserve">Id. </w:t>
      </w:r>
      <w:r w:rsidRPr="00840869" w:rsidR="006C6BC9">
        <w:rPr>
          <w:sz w:val="20"/>
        </w:rPr>
        <w:t xml:space="preserve">at </w:t>
      </w:r>
      <w:r w:rsidRPr="00840869" w:rsidR="00047339">
        <w:rPr>
          <w:sz w:val="20"/>
        </w:rPr>
        <w:t>Attach. 3</w:t>
      </w:r>
      <w:r w:rsidRPr="00840869" w:rsidR="006C6BC9">
        <w:rPr>
          <w:sz w:val="20"/>
        </w:rPr>
        <w:t>.</w:t>
      </w:r>
    </w:p>
  </w:footnote>
  <w:footnote w:id="10">
    <w:p w:rsidR="005C4B5D" w:rsidRPr="00840869" w:rsidP="00AA2147">
      <w:pPr>
        <w:pStyle w:val="FootnoteText"/>
        <w:tabs>
          <w:tab w:val="clear" w:pos="720"/>
        </w:tabs>
        <w:spacing w:after="120"/>
        <w:rPr>
          <w:sz w:val="20"/>
        </w:rPr>
      </w:pPr>
      <w:r w:rsidRPr="00840869">
        <w:rPr>
          <w:rStyle w:val="FootnoteReference"/>
          <w:sz w:val="20"/>
        </w:rPr>
        <w:footnoteRef/>
      </w:r>
      <w:r w:rsidRPr="00840869">
        <w:rPr>
          <w:sz w:val="20"/>
        </w:rPr>
        <w:t xml:space="preserve"> </w:t>
      </w:r>
      <w:r w:rsidRPr="00840869" w:rsidR="002D511E">
        <w:rPr>
          <w:i/>
          <w:sz w:val="20"/>
        </w:rPr>
        <w:t>Id</w:t>
      </w:r>
      <w:r w:rsidRPr="00840869" w:rsidR="002D511E">
        <w:rPr>
          <w:sz w:val="20"/>
        </w:rPr>
        <w:t>.</w:t>
      </w:r>
      <w:r w:rsidRPr="00840869">
        <w:rPr>
          <w:sz w:val="20"/>
        </w:rPr>
        <w:t xml:space="preserve"> at 2.</w:t>
      </w:r>
      <w:r w:rsidRPr="00840869" w:rsidR="00B4609C">
        <w:rPr>
          <w:sz w:val="20"/>
        </w:rPr>
        <w:t xml:space="preserve">  Applicants also provide descriptions of the GCI Holding</w:t>
      </w:r>
      <w:r w:rsidRPr="00840869" w:rsidR="00047339">
        <w:rPr>
          <w:sz w:val="20"/>
        </w:rPr>
        <w:t>s</w:t>
      </w:r>
      <w:r w:rsidRPr="00840869" w:rsidR="00B4609C">
        <w:rPr>
          <w:sz w:val="20"/>
        </w:rPr>
        <w:t>’ operating subsidiaries that provide submarine cable, fixed and mobile wireless, cable and internet access, broadcast television, and international resale</w:t>
      </w:r>
      <w:r w:rsidRPr="00840869" w:rsidR="0067755A">
        <w:rPr>
          <w:sz w:val="20"/>
        </w:rPr>
        <w:t xml:space="preserve"> services</w:t>
      </w:r>
      <w:r w:rsidRPr="00840869" w:rsidR="00B4609C">
        <w:rPr>
          <w:sz w:val="20"/>
        </w:rPr>
        <w:t xml:space="preserve">.  </w:t>
      </w:r>
      <w:r w:rsidRPr="00840869" w:rsidR="00B4609C">
        <w:rPr>
          <w:i/>
          <w:iCs/>
          <w:sz w:val="20"/>
        </w:rPr>
        <w:t xml:space="preserve">Id. </w:t>
      </w:r>
      <w:r w:rsidRPr="00840869" w:rsidR="00B4609C">
        <w:rPr>
          <w:sz w:val="20"/>
        </w:rPr>
        <w:t xml:space="preserve">at 3-4.  </w:t>
      </w:r>
    </w:p>
  </w:footnote>
  <w:footnote w:id="11">
    <w:p w:rsidR="005F3028" w:rsidRPr="00840869" w:rsidP="00555BD1">
      <w:pPr>
        <w:pStyle w:val="FootnoteText"/>
        <w:spacing w:after="120"/>
        <w:rPr>
          <w:sz w:val="20"/>
        </w:rPr>
      </w:pPr>
      <w:r w:rsidRPr="00840869">
        <w:rPr>
          <w:rStyle w:val="FootnoteReference"/>
          <w:sz w:val="20"/>
        </w:rPr>
        <w:footnoteRef/>
      </w:r>
      <w:r w:rsidRPr="00840869">
        <w:rPr>
          <w:sz w:val="20"/>
        </w:rPr>
        <w:t xml:space="preserve"> </w:t>
      </w:r>
      <w:r w:rsidRPr="00840869" w:rsidR="00416E00">
        <w:rPr>
          <w:sz w:val="20"/>
        </w:rPr>
        <w:t>Lead Application, Exh.</w:t>
      </w:r>
      <w:r w:rsidRPr="00840869" w:rsidR="00A27BA5">
        <w:rPr>
          <w:sz w:val="20"/>
        </w:rPr>
        <w:t xml:space="preserve"> </w:t>
      </w:r>
      <w:r w:rsidRPr="00840869" w:rsidR="00416E00">
        <w:rPr>
          <w:sz w:val="20"/>
        </w:rPr>
        <w:t>1</w:t>
      </w:r>
      <w:r w:rsidRPr="00840869">
        <w:rPr>
          <w:i/>
          <w:iCs/>
          <w:sz w:val="20"/>
        </w:rPr>
        <w:t xml:space="preserve"> </w:t>
      </w:r>
      <w:r w:rsidRPr="00840869">
        <w:rPr>
          <w:sz w:val="20"/>
        </w:rPr>
        <w:t>at 4.</w:t>
      </w:r>
    </w:p>
  </w:footnote>
  <w:footnote w:id="12">
    <w:p w:rsidR="00D010CE" w:rsidRPr="00840869" w:rsidP="00555BD1">
      <w:pPr>
        <w:pStyle w:val="FootnoteText"/>
        <w:spacing w:after="120"/>
        <w:rPr>
          <w:sz w:val="20"/>
        </w:rPr>
      </w:pPr>
      <w:r w:rsidRPr="00840869">
        <w:rPr>
          <w:rStyle w:val="FootnoteReference"/>
          <w:sz w:val="20"/>
        </w:rPr>
        <w:footnoteRef/>
      </w:r>
      <w:r w:rsidRPr="00840869">
        <w:rPr>
          <w:sz w:val="20"/>
        </w:rPr>
        <w:t xml:space="preserve"> </w:t>
      </w:r>
      <w:r w:rsidRPr="00840869">
        <w:rPr>
          <w:i/>
          <w:iCs/>
          <w:sz w:val="20"/>
        </w:rPr>
        <w:t>Id</w:t>
      </w:r>
      <w:r w:rsidRPr="00840869">
        <w:rPr>
          <w:sz w:val="20"/>
        </w:rPr>
        <w:t xml:space="preserve">.  Applicants provide </w:t>
      </w:r>
      <w:r w:rsidRPr="00840869" w:rsidR="002832B9">
        <w:rPr>
          <w:sz w:val="20"/>
        </w:rPr>
        <w:t>a chart showing the</w:t>
      </w:r>
      <w:r w:rsidRPr="00840869">
        <w:rPr>
          <w:sz w:val="20"/>
        </w:rPr>
        <w:t xml:space="preserve"> current organizational structure of Liberty Broadband as Attachment 1.B.  </w:t>
      </w:r>
      <w:r w:rsidRPr="00840869" w:rsidR="002832B9">
        <w:rPr>
          <w:i/>
          <w:iCs/>
          <w:sz w:val="20"/>
        </w:rPr>
        <w:t xml:space="preserve">Id. </w:t>
      </w:r>
      <w:r w:rsidRPr="00840869" w:rsidR="002832B9">
        <w:rPr>
          <w:sz w:val="20"/>
        </w:rPr>
        <w:t xml:space="preserve">at </w:t>
      </w:r>
      <w:r w:rsidRPr="00840869" w:rsidR="00080E6E">
        <w:rPr>
          <w:sz w:val="20"/>
        </w:rPr>
        <w:t>Attach. 1.B</w:t>
      </w:r>
      <w:r w:rsidRPr="00840869" w:rsidR="002832B9">
        <w:rPr>
          <w:sz w:val="20"/>
        </w:rPr>
        <w:t xml:space="preserve">.  Applicants also provide a chart showing the pro forma structure of Liberty Broadband post-transaction in Attachment 1.C.  </w:t>
      </w:r>
      <w:r w:rsidRPr="00840869" w:rsidR="002832B9">
        <w:rPr>
          <w:i/>
          <w:iCs/>
          <w:sz w:val="20"/>
        </w:rPr>
        <w:t>Id.</w:t>
      </w:r>
      <w:r w:rsidRPr="00840869" w:rsidR="002832B9">
        <w:rPr>
          <w:sz w:val="20"/>
        </w:rPr>
        <w:t xml:space="preserve"> at </w:t>
      </w:r>
      <w:r w:rsidRPr="00840869" w:rsidR="00080E6E">
        <w:rPr>
          <w:sz w:val="20"/>
        </w:rPr>
        <w:t>Attach. 1.C</w:t>
      </w:r>
      <w:r w:rsidRPr="00840869" w:rsidR="002832B9">
        <w:rPr>
          <w:sz w:val="20"/>
        </w:rPr>
        <w:t>.  Applicants state that,</w:t>
      </w:r>
      <w:r w:rsidRPr="00840869" w:rsidR="007625FA">
        <w:rPr>
          <w:sz w:val="20"/>
        </w:rPr>
        <w:t xml:space="preserve"> post-</w:t>
      </w:r>
      <w:r w:rsidRPr="00840869">
        <w:rPr>
          <w:sz w:val="20"/>
        </w:rPr>
        <w:t xml:space="preserve">transaction, Liberty Broadband will </w:t>
      </w:r>
      <w:r w:rsidRPr="00840869" w:rsidR="00E802A9">
        <w:rPr>
          <w:sz w:val="20"/>
        </w:rPr>
        <w:t xml:space="preserve">own GCI Liberty’s existing wholly owned subsidiaries including GCI Holdings and its operating subsidiaries, </w:t>
      </w:r>
      <w:r w:rsidRPr="00840869">
        <w:rPr>
          <w:sz w:val="20"/>
        </w:rPr>
        <w:t>Evite, Inc.</w:t>
      </w:r>
      <w:r w:rsidRPr="00840869" w:rsidR="00E802A9">
        <w:rPr>
          <w:sz w:val="20"/>
        </w:rPr>
        <w:t>,</w:t>
      </w:r>
      <w:r w:rsidRPr="00840869" w:rsidR="002832B9">
        <w:rPr>
          <w:sz w:val="20"/>
        </w:rPr>
        <w:t xml:space="preserve"> and</w:t>
      </w:r>
      <w:r w:rsidRPr="00840869">
        <w:rPr>
          <w:sz w:val="20"/>
        </w:rPr>
        <w:t xml:space="preserve"> non-controlling interests in Lending Tree and Charter.  </w:t>
      </w:r>
      <w:r w:rsidRPr="00840869" w:rsidR="005F3028">
        <w:rPr>
          <w:i/>
          <w:iCs/>
          <w:sz w:val="20"/>
        </w:rPr>
        <w:t xml:space="preserve">Id. </w:t>
      </w:r>
      <w:r w:rsidRPr="00840869" w:rsidR="002832B9">
        <w:rPr>
          <w:sz w:val="20"/>
        </w:rPr>
        <w:t>at 4.</w:t>
      </w:r>
      <w:r w:rsidRPr="00840869" w:rsidR="005F3028">
        <w:rPr>
          <w:i/>
          <w:iCs/>
          <w:sz w:val="20"/>
        </w:rPr>
        <w:t xml:space="preserve"> </w:t>
      </w:r>
    </w:p>
  </w:footnote>
  <w:footnote w:id="13">
    <w:p w:rsidR="00D42926" w:rsidRPr="00840869" w:rsidP="00555BD1">
      <w:pPr>
        <w:pStyle w:val="FootnoteText"/>
        <w:spacing w:after="120"/>
        <w:rPr>
          <w:sz w:val="20"/>
        </w:rPr>
      </w:pPr>
      <w:r w:rsidRPr="00840869">
        <w:rPr>
          <w:rStyle w:val="FootnoteReference"/>
          <w:sz w:val="20"/>
        </w:rPr>
        <w:footnoteRef/>
      </w:r>
      <w:r w:rsidRPr="00840869">
        <w:rPr>
          <w:sz w:val="20"/>
        </w:rPr>
        <w:t xml:space="preserve"> Lead Application at 5.  Applicants state that the current members of Vanguard’s board of directors are Mortimer J. Buckley, Emerson U. Fullwood, Amy Gutman, F. Joseph Loughrey, Mark Loughridge, Scott C. Malpass, Deanna Mulligan, André F. Perold, Sarah Bloom Raskin, and Peter F. Volanakis</w:t>
      </w:r>
      <w:r w:rsidRPr="00840869" w:rsidR="000E0269">
        <w:rPr>
          <w:sz w:val="20"/>
        </w:rPr>
        <w:t>,</w:t>
      </w:r>
      <w:r w:rsidRPr="00840869">
        <w:rPr>
          <w:sz w:val="20"/>
        </w:rPr>
        <w:t xml:space="preserve"> wh</w:t>
      </w:r>
      <w:r w:rsidRPr="00840869" w:rsidR="0067755A">
        <w:rPr>
          <w:sz w:val="20"/>
        </w:rPr>
        <w:t>o</w:t>
      </w:r>
      <w:r w:rsidRPr="00840869">
        <w:rPr>
          <w:sz w:val="20"/>
        </w:rPr>
        <w:t xml:space="preserve">, to the best of Applicants’ knowledge, are all or nearly all U.S. citizens.  </w:t>
      </w:r>
      <w:r w:rsidRPr="00840869">
        <w:rPr>
          <w:i/>
          <w:iCs/>
          <w:sz w:val="20"/>
        </w:rPr>
        <w:t>Id.</w:t>
      </w:r>
      <w:r w:rsidRPr="00840869">
        <w:rPr>
          <w:sz w:val="20"/>
        </w:rPr>
        <w:t xml:space="preserve"> at 5-6.</w:t>
      </w:r>
      <w:r w:rsidRPr="00840869" w:rsidR="00D023D1">
        <w:rPr>
          <w:sz w:val="20"/>
        </w:rPr>
        <w:t xml:space="preserve">  Applicants provide as Table 6 a list of carriers that Liberty Broadband will be affiliated with, post-consummation, as a result of Vanguard’s expected ownership of 10% or more of Liberty Broadband.  </w:t>
      </w:r>
      <w:r w:rsidRPr="00840869" w:rsidR="00D023D1">
        <w:rPr>
          <w:i/>
          <w:iCs/>
          <w:sz w:val="20"/>
        </w:rPr>
        <w:t xml:space="preserve">Id. </w:t>
      </w:r>
      <w:r w:rsidRPr="00840869" w:rsidR="00D023D1">
        <w:rPr>
          <w:sz w:val="20"/>
        </w:rPr>
        <w:t xml:space="preserve">at 15-18. </w:t>
      </w:r>
      <w:r w:rsidRPr="00840869" w:rsidR="00753F32">
        <w:rPr>
          <w:sz w:val="20"/>
        </w:rPr>
        <w:t xml:space="preserve"> Applicants </w:t>
      </w:r>
      <w:r w:rsidRPr="00840869" w:rsidR="00F7148C">
        <w:rPr>
          <w:sz w:val="20"/>
        </w:rPr>
        <w:t xml:space="preserve">also </w:t>
      </w:r>
      <w:r w:rsidRPr="00840869" w:rsidR="00753F32">
        <w:rPr>
          <w:sz w:val="20"/>
        </w:rPr>
        <w:t xml:space="preserve">provide </w:t>
      </w:r>
      <w:r w:rsidRPr="00840869" w:rsidR="00E963C8">
        <w:rPr>
          <w:sz w:val="20"/>
        </w:rPr>
        <w:t xml:space="preserve">charts of </w:t>
      </w:r>
      <w:r w:rsidRPr="00840869" w:rsidR="00753F32">
        <w:rPr>
          <w:sz w:val="20"/>
        </w:rPr>
        <w:t>the post-</w:t>
      </w:r>
      <w:r w:rsidRPr="00840869" w:rsidR="00E963C8">
        <w:rPr>
          <w:sz w:val="20"/>
        </w:rPr>
        <w:t>transaction structure of Liberty Broadband and</w:t>
      </w:r>
      <w:r w:rsidRPr="00840869" w:rsidR="00DE0D3D">
        <w:rPr>
          <w:sz w:val="20"/>
        </w:rPr>
        <w:t xml:space="preserve"> its</w:t>
      </w:r>
      <w:r w:rsidRPr="00840869" w:rsidR="00E963C8">
        <w:rPr>
          <w:sz w:val="20"/>
        </w:rPr>
        <w:t xml:space="preserve"> </w:t>
      </w:r>
      <w:r w:rsidRPr="00840869" w:rsidR="001C0CDE">
        <w:rPr>
          <w:sz w:val="20"/>
        </w:rPr>
        <w:t>ownership of</w:t>
      </w:r>
      <w:r w:rsidRPr="00840869" w:rsidR="00F7148C">
        <w:rPr>
          <w:sz w:val="20"/>
        </w:rPr>
        <w:t xml:space="preserve"> </w:t>
      </w:r>
      <w:r w:rsidRPr="00840869" w:rsidR="00E963C8">
        <w:rPr>
          <w:sz w:val="20"/>
        </w:rPr>
        <w:t>GCI Holdings, GCI Communications Corp., Skyh</w:t>
      </w:r>
      <w:r w:rsidRPr="00840869" w:rsidR="00F7148C">
        <w:rPr>
          <w:sz w:val="20"/>
        </w:rPr>
        <w:t xml:space="preserve">ook Holding, Inc., and GCI, LLC.  </w:t>
      </w:r>
      <w:r w:rsidRPr="00840869" w:rsidR="00A27BA5">
        <w:rPr>
          <w:sz w:val="20"/>
        </w:rPr>
        <w:t>Lead Application</w:t>
      </w:r>
      <w:r w:rsidRPr="00840869" w:rsidR="005C0D78">
        <w:rPr>
          <w:sz w:val="20"/>
        </w:rPr>
        <w:t>,</w:t>
      </w:r>
      <w:r w:rsidRPr="00840869" w:rsidR="00F7148C">
        <w:rPr>
          <w:sz w:val="20"/>
        </w:rPr>
        <w:t xml:space="preserve"> </w:t>
      </w:r>
      <w:r w:rsidRPr="00840869" w:rsidR="005C0D78">
        <w:rPr>
          <w:sz w:val="20"/>
        </w:rPr>
        <w:t xml:space="preserve">Exh. 1 at </w:t>
      </w:r>
      <w:r w:rsidRPr="00840869" w:rsidR="00080E6E">
        <w:rPr>
          <w:sz w:val="20"/>
        </w:rPr>
        <w:t>Attach. 1.C.</w:t>
      </w:r>
      <w:r w:rsidRPr="00840869" w:rsidR="003B1038">
        <w:rPr>
          <w:sz w:val="20"/>
        </w:rPr>
        <w:t xml:space="preserve"> at</w:t>
      </w:r>
      <w:r w:rsidRPr="00840869" w:rsidR="00080E6E">
        <w:rPr>
          <w:sz w:val="20"/>
        </w:rPr>
        <w:t xml:space="preserve"> </w:t>
      </w:r>
      <w:r w:rsidRPr="00840869" w:rsidR="00F7148C">
        <w:rPr>
          <w:sz w:val="20"/>
        </w:rPr>
        <w:t>21-24.</w:t>
      </w:r>
    </w:p>
  </w:footnote>
  <w:footnote w:id="14">
    <w:p w:rsidR="005C0D78" w:rsidRPr="00840869" w:rsidP="00555BD1">
      <w:pPr>
        <w:pStyle w:val="FootnoteText"/>
        <w:spacing w:after="120"/>
        <w:rPr>
          <w:sz w:val="20"/>
        </w:rPr>
      </w:pPr>
      <w:r w:rsidRPr="00840869">
        <w:rPr>
          <w:rStyle w:val="FootnoteReference"/>
          <w:sz w:val="20"/>
        </w:rPr>
        <w:footnoteRef/>
      </w:r>
      <w:r w:rsidRPr="00840869">
        <w:rPr>
          <w:sz w:val="20"/>
        </w:rPr>
        <w:t xml:space="preserve"> </w:t>
      </w:r>
      <w:r w:rsidRPr="00840869" w:rsidR="00921CCC">
        <w:rPr>
          <w:sz w:val="20"/>
        </w:rPr>
        <w:t>Lead Application, Exh. 1</w:t>
      </w:r>
      <w:r w:rsidRPr="00840869">
        <w:rPr>
          <w:sz w:val="20"/>
        </w:rPr>
        <w:t xml:space="preserve"> at 5.</w:t>
      </w:r>
      <w:r w:rsidRPr="00840869" w:rsidR="007C2E28">
        <w:rPr>
          <w:sz w:val="20"/>
        </w:rPr>
        <w:t xml:space="preserve">  Applicants provide a copy of the August 6, 2020</w:t>
      </w:r>
      <w:r w:rsidRPr="00840869" w:rsidR="003B1038">
        <w:rPr>
          <w:sz w:val="20"/>
        </w:rPr>
        <w:t>,</w:t>
      </w:r>
      <w:r w:rsidRPr="00840869" w:rsidR="007C2E28">
        <w:rPr>
          <w:sz w:val="20"/>
        </w:rPr>
        <w:t xml:space="preserve"> Agreement and Plan of Merger a</w:t>
      </w:r>
      <w:r w:rsidRPr="00840869" w:rsidR="00DD4DEB">
        <w:rPr>
          <w:sz w:val="20"/>
        </w:rPr>
        <w:t>s</w:t>
      </w:r>
      <w:r w:rsidRPr="00840869" w:rsidR="007C2E28">
        <w:rPr>
          <w:sz w:val="20"/>
        </w:rPr>
        <w:t xml:space="preserve"> Attachment 4.  </w:t>
      </w:r>
      <w:r w:rsidRPr="00840869" w:rsidR="007C2E28">
        <w:rPr>
          <w:i/>
          <w:iCs/>
          <w:sz w:val="20"/>
        </w:rPr>
        <w:t>Id.</w:t>
      </w:r>
      <w:r w:rsidRPr="00840869" w:rsidR="007C2E28">
        <w:rPr>
          <w:sz w:val="20"/>
        </w:rPr>
        <w:t xml:space="preserve"> at </w:t>
      </w:r>
      <w:r w:rsidRPr="00840869" w:rsidR="003B1038">
        <w:rPr>
          <w:sz w:val="20"/>
        </w:rPr>
        <w:t>Attach. 4</w:t>
      </w:r>
      <w:r w:rsidRPr="00840869" w:rsidR="007C2E28">
        <w:rPr>
          <w:sz w:val="20"/>
        </w:rPr>
        <w:t xml:space="preserve">. </w:t>
      </w:r>
      <w:r w:rsidRPr="00840869" w:rsidR="00590617">
        <w:rPr>
          <w:sz w:val="20"/>
        </w:rPr>
        <w:t xml:space="preserve"> Applicants state that</w:t>
      </w:r>
      <w:r w:rsidRPr="00840869" w:rsidR="00E802A9">
        <w:rPr>
          <w:sz w:val="20"/>
        </w:rPr>
        <w:t>, post-transaction,</w:t>
      </w:r>
      <w:r w:rsidRPr="00840869" w:rsidR="00590617">
        <w:rPr>
          <w:sz w:val="20"/>
        </w:rPr>
        <w:t xml:space="preserve"> the </w:t>
      </w:r>
      <w:r w:rsidRPr="00840869" w:rsidR="00E802A9">
        <w:rPr>
          <w:sz w:val="20"/>
        </w:rPr>
        <w:t xml:space="preserve">headquarters, </w:t>
      </w:r>
      <w:r w:rsidRPr="00840869" w:rsidR="00590617">
        <w:rPr>
          <w:sz w:val="20"/>
        </w:rPr>
        <w:t>leadership team, brand,</w:t>
      </w:r>
      <w:r w:rsidRPr="00840869" w:rsidR="00E802A9">
        <w:rPr>
          <w:sz w:val="20"/>
        </w:rPr>
        <w:t xml:space="preserve"> </w:t>
      </w:r>
      <w:r w:rsidRPr="00840869" w:rsidR="00590617">
        <w:rPr>
          <w:sz w:val="20"/>
        </w:rPr>
        <w:t>operations, products and services</w:t>
      </w:r>
      <w:r w:rsidRPr="00840869" w:rsidR="00E802A9">
        <w:rPr>
          <w:sz w:val="20"/>
        </w:rPr>
        <w:t>,</w:t>
      </w:r>
      <w:r w:rsidRPr="00840869" w:rsidR="00590617">
        <w:rPr>
          <w:sz w:val="20"/>
        </w:rPr>
        <w:t xml:space="preserve"> and the Alaska-based focus for GCI Holdings will not change</w:t>
      </w:r>
      <w:r w:rsidRPr="00840869" w:rsidR="00E802A9">
        <w:rPr>
          <w:sz w:val="20"/>
        </w:rPr>
        <w:t xml:space="preserve"> and that</w:t>
      </w:r>
      <w:r w:rsidRPr="00840869" w:rsidR="00590617">
        <w:rPr>
          <w:sz w:val="20"/>
        </w:rPr>
        <w:t xml:space="preserve"> GCI Holdings will be the primary operating asset in Liberty Broadband’s portfolio of assets.  </w:t>
      </w:r>
      <w:r w:rsidRPr="00840869" w:rsidR="00590617">
        <w:rPr>
          <w:i/>
          <w:iCs/>
          <w:sz w:val="20"/>
        </w:rPr>
        <w:t xml:space="preserve">Id. </w:t>
      </w:r>
      <w:r w:rsidRPr="00840869" w:rsidR="00590617">
        <w:rPr>
          <w:sz w:val="20"/>
        </w:rPr>
        <w:t xml:space="preserve">at </w:t>
      </w:r>
      <w:r w:rsidRPr="00840869" w:rsidR="009D2C85">
        <w:rPr>
          <w:sz w:val="20"/>
        </w:rPr>
        <w:t>6.</w:t>
      </w:r>
    </w:p>
  </w:footnote>
  <w:footnote w:id="15">
    <w:p w:rsidR="00921CCC" w:rsidRPr="00840869" w:rsidP="00555BD1">
      <w:pPr>
        <w:pStyle w:val="FootnoteText"/>
        <w:spacing w:after="120"/>
        <w:rPr>
          <w:i/>
          <w:iCs/>
          <w:sz w:val="20"/>
        </w:rPr>
      </w:pPr>
      <w:r w:rsidRPr="00840869">
        <w:rPr>
          <w:rStyle w:val="FootnoteReference"/>
          <w:sz w:val="20"/>
        </w:rPr>
        <w:footnoteRef/>
      </w:r>
      <w:r w:rsidRPr="00840869">
        <w:rPr>
          <w:sz w:val="20"/>
        </w:rPr>
        <w:t xml:space="preserve"> </w:t>
      </w:r>
      <w:r w:rsidRPr="00840869">
        <w:rPr>
          <w:i/>
          <w:iCs/>
          <w:sz w:val="20"/>
        </w:rPr>
        <w:t>Id</w:t>
      </w:r>
      <w:r w:rsidRPr="00840869" w:rsidR="00837699">
        <w:rPr>
          <w:i/>
          <w:iCs/>
          <w:sz w:val="20"/>
        </w:rPr>
        <w:t>.</w:t>
      </w:r>
    </w:p>
  </w:footnote>
  <w:footnote w:id="16">
    <w:p w:rsidR="003B1038" w:rsidRPr="00840869">
      <w:pPr>
        <w:pStyle w:val="FootnoteText"/>
        <w:rPr>
          <w:sz w:val="20"/>
        </w:rPr>
      </w:pPr>
      <w:r w:rsidRPr="00840869">
        <w:rPr>
          <w:rStyle w:val="FootnoteReference"/>
          <w:sz w:val="20"/>
        </w:rPr>
        <w:footnoteRef/>
      </w:r>
      <w:r w:rsidRPr="00840869">
        <w:rPr>
          <w:sz w:val="20"/>
        </w:rPr>
        <w:t xml:space="preserve"> </w:t>
      </w:r>
      <w:r w:rsidRPr="00840869">
        <w:rPr>
          <w:i/>
          <w:iCs/>
          <w:sz w:val="20"/>
        </w:rPr>
        <w:t>Id.</w:t>
      </w:r>
    </w:p>
  </w:footnote>
  <w:footnote w:id="17">
    <w:p w:rsidR="00A94CF6" w:rsidRPr="00840869" w:rsidP="00395B92">
      <w:pPr>
        <w:pStyle w:val="FootnoteText"/>
        <w:spacing w:after="120"/>
        <w:rPr>
          <w:i/>
          <w:iCs/>
          <w:sz w:val="20"/>
        </w:rPr>
      </w:pPr>
      <w:r w:rsidRPr="00840869">
        <w:rPr>
          <w:rStyle w:val="FootnoteReference"/>
          <w:sz w:val="20"/>
        </w:rPr>
        <w:footnoteRef/>
      </w:r>
      <w:r w:rsidRPr="00840869">
        <w:rPr>
          <w:sz w:val="20"/>
        </w:rPr>
        <w:t xml:space="preserve"> </w:t>
      </w:r>
      <w:r w:rsidRPr="00840869">
        <w:rPr>
          <w:i/>
          <w:iCs/>
          <w:sz w:val="20"/>
        </w:rPr>
        <w:t xml:space="preserve">Id. </w:t>
      </w:r>
      <w:r w:rsidRPr="00840869">
        <w:rPr>
          <w:sz w:val="20"/>
        </w:rPr>
        <w:t xml:space="preserve">at 6.  </w:t>
      </w:r>
      <w:r w:rsidRPr="00840869" w:rsidR="00837699">
        <w:rPr>
          <w:sz w:val="20"/>
        </w:rPr>
        <w:t xml:space="preserve">Specifically, under the Exchange Agreement, </w:t>
      </w:r>
      <w:r w:rsidRPr="00840869" w:rsidR="00B46AE5">
        <w:rPr>
          <w:sz w:val="20"/>
        </w:rPr>
        <w:t>Applicants explain that</w:t>
      </w:r>
      <w:r w:rsidRPr="00840869" w:rsidR="00C02958">
        <w:rPr>
          <w:sz w:val="20"/>
        </w:rPr>
        <w:t xml:space="preserve">, at the effective time of the proposed transaction, </w:t>
      </w:r>
      <w:r w:rsidRPr="00840869" w:rsidR="00837699">
        <w:rPr>
          <w:sz w:val="20"/>
        </w:rPr>
        <w:t xml:space="preserve">the trust </w:t>
      </w:r>
      <w:r w:rsidRPr="00840869" w:rsidR="00C02958">
        <w:rPr>
          <w:sz w:val="20"/>
        </w:rPr>
        <w:t>would</w:t>
      </w:r>
      <w:r w:rsidRPr="00840869" w:rsidR="00837699">
        <w:rPr>
          <w:sz w:val="20"/>
        </w:rPr>
        <w:t xml:space="preserve"> waive its right to receive shares of Liberty Broadband Series B Common Stock in exchange for certain shares of GCI Liberty Series B Common Stock held by the trust and, instead, </w:t>
      </w:r>
      <w:r w:rsidRPr="00840869" w:rsidR="00C02958">
        <w:rPr>
          <w:sz w:val="20"/>
        </w:rPr>
        <w:t>would</w:t>
      </w:r>
      <w:r w:rsidRPr="00840869" w:rsidR="00837699">
        <w:rPr>
          <w:sz w:val="20"/>
        </w:rPr>
        <w:t xml:space="preserve"> receive an equal number of shares of non-voting Liberty Broadband Series C Common Stock.  </w:t>
      </w:r>
      <w:r w:rsidRPr="00840869" w:rsidR="00837699">
        <w:rPr>
          <w:i/>
          <w:iCs/>
          <w:sz w:val="20"/>
        </w:rPr>
        <w:t xml:space="preserve">Id.  </w:t>
      </w:r>
      <w:r w:rsidRPr="00840869">
        <w:rPr>
          <w:sz w:val="20"/>
        </w:rPr>
        <w:t xml:space="preserve">Applicants state that in the event that Dr. Malone’s voting power otherwise would exceed 49.5% following any repurchase, redemption or other event after the effective time, Dr. Malone will be required to transfer certain shares of Liberty Broadband Series B Common Stock owned by him to Liberty Broadband in exchange for an equal number of shares of Liberty Broadband Series C Common Stock.  </w:t>
      </w:r>
      <w:r w:rsidRPr="00840869">
        <w:rPr>
          <w:i/>
          <w:iCs/>
          <w:sz w:val="20"/>
        </w:rPr>
        <w:t xml:space="preserve">Id. </w:t>
      </w:r>
      <w:r w:rsidRPr="00840869" w:rsidR="00384971">
        <w:rPr>
          <w:i/>
          <w:iCs/>
          <w:sz w:val="20"/>
        </w:rPr>
        <w:t xml:space="preserve"> </w:t>
      </w:r>
      <w:r w:rsidRPr="00840869">
        <w:rPr>
          <w:sz w:val="20"/>
        </w:rPr>
        <w:t xml:space="preserve">Likewise, if Dr. Malone’s voting power subsequently falls below 48.5% following any issuance of voting securities or other dilutive event, </w:t>
      </w:r>
      <w:r w:rsidRPr="00840869" w:rsidR="00384971">
        <w:rPr>
          <w:sz w:val="20"/>
        </w:rPr>
        <w:t xml:space="preserve">Applicants </w:t>
      </w:r>
      <w:r w:rsidRPr="00840869" w:rsidR="00781297">
        <w:rPr>
          <w:sz w:val="20"/>
        </w:rPr>
        <w:t>explain</w:t>
      </w:r>
      <w:r w:rsidRPr="00840869" w:rsidR="000E0269">
        <w:rPr>
          <w:sz w:val="20"/>
        </w:rPr>
        <w:t>,</w:t>
      </w:r>
      <w:r w:rsidRPr="00840869" w:rsidR="00384971">
        <w:rPr>
          <w:sz w:val="20"/>
        </w:rPr>
        <w:t xml:space="preserve"> </w:t>
      </w:r>
      <w:r w:rsidRPr="00840869">
        <w:rPr>
          <w:sz w:val="20"/>
        </w:rPr>
        <w:t xml:space="preserve">Dr. Malone may exchange shares of Liberty Broadband Series C Common Stock on a one-for one basis for the shares of Liberty Broadband Series B Common Stock waived by Dr. Malone or exchanged under the Exchange Agreement to the extent necessary to maintain 49% voting power.  </w:t>
      </w:r>
      <w:r w:rsidRPr="00840869">
        <w:rPr>
          <w:i/>
          <w:iCs/>
          <w:sz w:val="20"/>
        </w:rPr>
        <w:t xml:space="preserve">Id. </w:t>
      </w:r>
      <w:r w:rsidRPr="00840869">
        <w:rPr>
          <w:sz w:val="20"/>
        </w:rPr>
        <w:t>at n. 4.</w:t>
      </w:r>
    </w:p>
  </w:footnote>
  <w:footnote w:id="18">
    <w:p w:rsidR="004F63BD" w:rsidRPr="00840869" w:rsidP="00395B92">
      <w:pPr>
        <w:pStyle w:val="FootnoteText"/>
        <w:spacing w:after="120"/>
        <w:rPr>
          <w:sz w:val="20"/>
        </w:rPr>
      </w:pPr>
      <w:r w:rsidRPr="00840869">
        <w:rPr>
          <w:rStyle w:val="FootnoteReference"/>
          <w:sz w:val="20"/>
        </w:rPr>
        <w:footnoteRef/>
      </w:r>
      <w:r w:rsidRPr="00840869">
        <w:rPr>
          <w:sz w:val="20"/>
        </w:rPr>
        <w:t xml:space="preserve"> </w:t>
      </w:r>
      <w:r w:rsidRPr="00840869" w:rsidR="00A27BA5">
        <w:rPr>
          <w:sz w:val="20"/>
        </w:rPr>
        <w:t>Lead Application, Exh. 1</w:t>
      </w:r>
      <w:r w:rsidRPr="00840869">
        <w:rPr>
          <w:i/>
          <w:iCs/>
          <w:sz w:val="20"/>
        </w:rPr>
        <w:t xml:space="preserve"> </w:t>
      </w:r>
      <w:r w:rsidRPr="00840869">
        <w:rPr>
          <w:sz w:val="20"/>
        </w:rPr>
        <w:t>at 7.</w:t>
      </w:r>
    </w:p>
  </w:footnote>
  <w:footnote w:id="19">
    <w:p w:rsidR="004F63BD" w:rsidRPr="00840869" w:rsidP="00395B92">
      <w:pPr>
        <w:pStyle w:val="FootnoteText"/>
        <w:spacing w:after="120"/>
        <w:rPr>
          <w:i/>
          <w:iCs/>
          <w:sz w:val="20"/>
        </w:rPr>
      </w:pPr>
      <w:r w:rsidRPr="00840869">
        <w:rPr>
          <w:rStyle w:val="FootnoteReference"/>
          <w:sz w:val="20"/>
        </w:rPr>
        <w:footnoteRef/>
      </w:r>
      <w:r w:rsidRPr="00840869">
        <w:rPr>
          <w:sz w:val="20"/>
        </w:rPr>
        <w:t xml:space="preserve"> </w:t>
      </w:r>
      <w:r w:rsidRPr="00840869">
        <w:rPr>
          <w:i/>
          <w:iCs/>
          <w:sz w:val="20"/>
        </w:rPr>
        <w:t xml:space="preserve">Id.  </w:t>
      </w:r>
      <w:r w:rsidRPr="00840869" w:rsidR="00715F63">
        <w:rPr>
          <w:sz w:val="20"/>
        </w:rPr>
        <w:t xml:space="preserve">Applicants state that three of the seven directors of GCI Liberty (John C. Malone, Gregory B. Maffei and Richard R. Green) also </w:t>
      </w:r>
      <w:r w:rsidRPr="00840869" w:rsidR="00781297">
        <w:rPr>
          <w:sz w:val="20"/>
        </w:rPr>
        <w:t xml:space="preserve">currently </w:t>
      </w:r>
      <w:r w:rsidRPr="00840869" w:rsidR="00715F63">
        <w:rPr>
          <w:sz w:val="20"/>
        </w:rPr>
        <w:t xml:space="preserve">serve as members of Liberty Broadband’s six-member board of directors.  </w:t>
      </w:r>
      <w:r w:rsidRPr="00840869" w:rsidR="001648D9">
        <w:rPr>
          <w:i/>
          <w:iCs/>
          <w:sz w:val="20"/>
        </w:rPr>
        <w:t xml:space="preserve">Id.  </w:t>
      </w:r>
      <w:r w:rsidRPr="00840869" w:rsidR="00715F63">
        <w:rPr>
          <w:sz w:val="20"/>
        </w:rPr>
        <w:t xml:space="preserve">Dr. Malone serves as the Chairman of the Board of both companies, and he and Mr. Maffei are the sole members of the Executive Committees of their respective boards of directors.  </w:t>
      </w:r>
      <w:r w:rsidRPr="00840869" w:rsidR="00715F63">
        <w:rPr>
          <w:i/>
          <w:iCs/>
          <w:sz w:val="20"/>
        </w:rPr>
        <w:t>Id.</w:t>
      </w:r>
    </w:p>
  </w:footnote>
  <w:footnote w:id="20">
    <w:p w:rsidR="00715F63" w:rsidRPr="00840869" w:rsidP="00395B92">
      <w:pPr>
        <w:pStyle w:val="FootnoteText"/>
        <w:spacing w:after="120"/>
        <w:rPr>
          <w:sz w:val="20"/>
        </w:rPr>
      </w:pPr>
      <w:r w:rsidRPr="00840869">
        <w:rPr>
          <w:rStyle w:val="FootnoteReference"/>
          <w:sz w:val="20"/>
        </w:rPr>
        <w:footnoteRef/>
      </w:r>
      <w:r w:rsidRPr="00840869">
        <w:rPr>
          <w:sz w:val="20"/>
        </w:rPr>
        <w:t xml:space="preserve"> </w:t>
      </w:r>
      <w:r w:rsidRPr="00840869">
        <w:rPr>
          <w:i/>
          <w:iCs/>
          <w:sz w:val="20"/>
        </w:rPr>
        <w:t xml:space="preserve">Id. </w:t>
      </w:r>
      <w:r w:rsidRPr="00840869">
        <w:rPr>
          <w:sz w:val="20"/>
        </w:rPr>
        <w:t xml:space="preserve"> Applicants state that Dr. Malone currently beneficially owns shares equal to approximately 4.1% of the outstanding equity and 27.5% of the outstanding voting power in GCI Liberty and beneficially owns shares equal to approximately 3.5% of the outstanding equity and 48.8% of the outstanding voting power in Liberty Broadband.  </w:t>
      </w:r>
      <w:r w:rsidRPr="00840869">
        <w:rPr>
          <w:i/>
          <w:iCs/>
          <w:sz w:val="20"/>
        </w:rPr>
        <w:t xml:space="preserve">Id. </w:t>
      </w:r>
      <w:r w:rsidRPr="00840869" w:rsidR="000D4754">
        <w:rPr>
          <w:sz w:val="20"/>
        </w:rPr>
        <w:t xml:space="preserve"> </w:t>
      </w:r>
    </w:p>
  </w:footnote>
  <w:footnote w:id="21">
    <w:p w:rsidR="00D0790F" w:rsidRPr="00840869" w:rsidP="00395B92">
      <w:pPr>
        <w:pStyle w:val="FootnoteText"/>
        <w:spacing w:after="120"/>
        <w:rPr>
          <w:sz w:val="20"/>
        </w:rPr>
      </w:pPr>
      <w:r w:rsidRPr="00840869">
        <w:rPr>
          <w:rStyle w:val="FootnoteReference"/>
          <w:sz w:val="20"/>
        </w:rPr>
        <w:footnoteRef/>
      </w:r>
      <w:r w:rsidRPr="00840869">
        <w:rPr>
          <w:sz w:val="20"/>
        </w:rPr>
        <w:t xml:space="preserve"> </w:t>
      </w:r>
      <w:r w:rsidRPr="00840869">
        <w:rPr>
          <w:i/>
          <w:iCs/>
          <w:sz w:val="20"/>
        </w:rPr>
        <w:t xml:space="preserve">Id. </w:t>
      </w:r>
      <w:r w:rsidRPr="00840869">
        <w:rPr>
          <w:sz w:val="20"/>
        </w:rPr>
        <w:t>at 10.</w:t>
      </w:r>
    </w:p>
  </w:footnote>
  <w:footnote w:id="22">
    <w:p w:rsidR="00D32821" w:rsidRPr="00840869">
      <w:pPr>
        <w:pStyle w:val="FootnoteText"/>
        <w:rPr>
          <w:sz w:val="20"/>
        </w:rPr>
      </w:pPr>
      <w:r w:rsidRPr="00840869">
        <w:rPr>
          <w:rStyle w:val="FootnoteReference"/>
          <w:sz w:val="20"/>
        </w:rPr>
        <w:footnoteRef/>
      </w:r>
      <w:r w:rsidRPr="00840869">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p>
  </w:footnote>
  <w:footnote w:id="23">
    <w:p w:rsidR="00D32821" w:rsidRPr="00840869">
      <w:pPr>
        <w:pStyle w:val="FootnoteText"/>
        <w:rPr>
          <w:sz w:val="20"/>
        </w:rPr>
      </w:pPr>
      <w:r w:rsidRPr="00840869">
        <w:rPr>
          <w:rStyle w:val="FootnoteReference"/>
          <w:sz w:val="20"/>
        </w:rPr>
        <w:footnoteRef/>
      </w:r>
      <w:r w:rsidRPr="00840869">
        <w:rPr>
          <w:sz w:val="20"/>
        </w:rPr>
        <w:t xml:space="preserve"> 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footnote>
  <w:footnote w:id="24">
    <w:p w:rsidR="000201F6" w:rsidRPr="00840869" w:rsidP="000201F6">
      <w:pPr>
        <w:pStyle w:val="FootnoteText"/>
        <w:rPr>
          <w:sz w:val="20"/>
        </w:rPr>
      </w:pPr>
      <w:r w:rsidRPr="00840869">
        <w:rPr>
          <w:rStyle w:val="FootnoteReference"/>
          <w:sz w:val="20"/>
        </w:rPr>
        <w:footnoteRef/>
      </w:r>
      <w:r w:rsidRPr="00840869">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840869">
        <w:rPr>
          <w:i/>
          <w:iCs/>
          <w:sz w:val="20"/>
        </w:rPr>
        <w:t xml:space="preserve">  FCC Announces Closure of FCC Headquarters Open Window and Change in Hand-Delivery Filing</w:t>
      </w:r>
      <w:r w:rsidRPr="00840869">
        <w:rPr>
          <w:sz w:val="20"/>
        </w:rPr>
        <w:t>,</w:t>
      </w:r>
      <w:r w:rsidRPr="00840869">
        <w:rPr>
          <w:i/>
          <w:iCs/>
          <w:sz w:val="20"/>
        </w:rPr>
        <w:t xml:space="preserve"> </w:t>
      </w:r>
      <w:r w:rsidRPr="00840869">
        <w:rPr>
          <w:sz w:val="20"/>
        </w:rPr>
        <w:t>Public Notice, DA 20-304 (rel. Mar. 19, 2020)</w:t>
      </w:r>
      <w:r w:rsidRPr="00840869" w:rsidR="00DA0753">
        <w:rPr>
          <w:b/>
          <w:bCs/>
          <w:color w:val="201F1E"/>
          <w:sz w:val="20"/>
          <w:shd w:val="clear" w:color="auto" w:fill="FFFFFF"/>
        </w:rPr>
        <w:t xml:space="preserve"> </w:t>
      </w:r>
      <w:hyperlink r:id="rId1" w:history="1">
        <w:r w:rsidRPr="00840869" w:rsidR="00DA0753">
          <w:rPr>
            <w:rStyle w:val="Hyperlink"/>
            <w:sz w:val="20"/>
            <w:bdr w:val="none" w:sz="0" w:space="0" w:color="auto" w:frame="1"/>
            <w:shd w:val="clear" w:color="auto" w:fill="FFFFFF"/>
          </w:rPr>
          <w:t>https://www.fcc.gov/document/fcc-closes-headquarters-open-window-and-changes-hand-delivery-policy</w:t>
        </w:r>
      </w:hyperlink>
      <w:r w:rsidRPr="00840869">
        <w:rPr>
          <w:sz w:val="20"/>
        </w:rPr>
        <w:t>.</w:t>
      </w:r>
      <w:r w:rsidRPr="00840869">
        <w:rPr>
          <w:color w:val="201F1E"/>
          <w:sz w:val="20"/>
          <w:shd w:val="clear" w:color="auto" w:fill="FFFFFF"/>
        </w:rPr>
        <w:t> </w:t>
      </w:r>
    </w:p>
  </w:footnote>
  <w:footnote w:id="25">
    <w:p w:rsidR="000201F6" w:rsidRPr="00840869" w:rsidP="000201F6">
      <w:pPr>
        <w:pStyle w:val="FootnoteText"/>
        <w:rPr>
          <w:sz w:val="20"/>
        </w:rPr>
      </w:pPr>
      <w:r w:rsidRPr="00840869">
        <w:rPr>
          <w:rStyle w:val="FootnoteReference"/>
          <w:sz w:val="20"/>
        </w:rPr>
        <w:footnoteRef/>
      </w:r>
      <w:r w:rsidRPr="00840869">
        <w:rPr>
          <w:sz w:val="20"/>
        </w:rPr>
        <w:t xml:space="preserve"> </w:t>
      </w:r>
      <w:r w:rsidRPr="00840869">
        <w:rPr>
          <w:i/>
          <w:sz w:val="20"/>
        </w:rPr>
        <w:t>See</w:t>
      </w:r>
      <w:r w:rsidRPr="00840869">
        <w:rPr>
          <w:sz w:val="20"/>
        </w:rPr>
        <w:t xml:space="preserve"> 47 CFR § 1.45(c).</w:t>
      </w:r>
    </w:p>
  </w:footnote>
  <w:footnote w:id="26">
    <w:p w:rsidR="00272BCA" w:rsidRPr="00840869" w:rsidP="00AA2147">
      <w:pPr>
        <w:pStyle w:val="FootnoteText"/>
        <w:tabs>
          <w:tab w:val="clear" w:pos="720"/>
        </w:tabs>
        <w:spacing w:after="120"/>
        <w:rPr>
          <w:color w:val="000000"/>
          <w:sz w:val="20"/>
        </w:rPr>
      </w:pPr>
      <w:r w:rsidRPr="00840869">
        <w:rPr>
          <w:rStyle w:val="FootnoteReference"/>
          <w:color w:val="000000"/>
          <w:sz w:val="20"/>
        </w:rPr>
        <w:footnoteRef/>
      </w:r>
      <w:r w:rsidRPr="00840869">
        <w:rPr>
          <w:color w:val="000000"/>
          <w:sz w:val="20"/>
        </w:rPr>
        <w:t xml:space="preserve"> </w:t>
      </w:r>
      <w:r w:rsidRPr="00840869">
        <w:rPr>
          <w:i/>
          <w:sz w:val="20"/>
        </w:rPr>
        <w:t>See</w:t>
      </w:r>
      <w:r w:rsidRPr="00840869">
        <w:rPr>
          <w:color w:val="000000"/>
          <w:sz w:val="20"/>
        </w:rPr>
        <w:t xml:space="preserve"> 47 CFR § 63.03(c)(1).  </w:t>
      </w:r>
    </w:p>
  </w:footnote>
  <w:footnote w:id="27">
    <w:p w:rsidR="00D23BC3" w:rsidRPr="00840869" w:rsidP="002161F4">
      <w:pPr>
        <w:pStyle w:val="FootnoteText"/>
        <w:spacing w:after="120"/>
        <w:rPr>
          <w:sz w:val="20"/>
        </w:rPr>
      </w:pPr>
      <w:r w:rsidRPr="00840869">
        <w:rPr>
          <w:rStyle w:val="FootnoteReference"/>
          <w:sz w:val="20"/>
        </w:rPr>
        <w:footnoteRef/>
      </w:r>
      <w:r w:rsidRPr="00840869">
        <w:rPr>
          <w:sz w:val="20"/>
        </w:rPr>
        <w:t xml:space="preserve"> This is the authorization for the Alaska United East cable.</w:t>
      </w:r>
    </w:p>
  </w:footnote>
  <w:footnote w:id="28">
    <w:p w:rsidR="00D23BC3" w:rsidRPr="00840869" w:rsidP="002161F4">
      <w:pPr>
        <w:pStyle w:val="FootnoteText"/>
        <w:spacing w:after="120"/>
        <w:rPr>
          <w:sz w:val="20"/>
        </w:rPr>
      </w:pPr>
      <w:r w:rsidRPr="00840869">
        <w:rPr>
          <w:rStyle w:val="FootnoteReference"/>
          <w:sz w:val="20"/>
        </w:rPr>
        <w:footnoteRef/>
      </w:r>
      <w:r w:rsidRPr="00840869">
        <w:rPr>
          <w:sz w:val="20"/>
        </w:rPr>
        <w:t xml:space="preserve"> This is the authorization for the </w:t>
      </w:r>
      <w:r w:rsidRPr="00840869">
        <w:rPr>
          <w:color w:val="000000"/>
          <w:sz w:val="20"/>
        </w:rPr>
        <w:t>Cook Inlet Segment of TERRA-SW cable.</w:t>
      </w:r>
    </w:p>
  </w:footnote>
  <w:footnote w:id="29">
    <w:p w:rsidR="00D23BC3" w:rsidRPr="00840869" w:rsidP="002161F4">
      <w:pPr>
        <w:pStyle w:val="FootnoteText"/>
        <w:spacing w:after="120"/>
        <w:rPr>
          <w:sz w:val="20"/>
        </w:rPr>
      </w:pPr>
      <w:r w:rsidRPr="00840869">
        <w:rPr>
          <w:rStyle w:val="FootnoteReference"/>
          <w:sz w:val="20"/>
        </w:rPr>
        <w:footnoteRef/>
      </w:r>
      <w:r w:rsidRPr="00840869">
        <w:rPr>
          <w:sz w:val="20"/>
        </w:rPr>
        <w:t xml:space="preserve"> This is the authorization for the </w:t>
      </w:r>
      <w:r w:rsidRPr="00840869">
        <w:rPr>
          <w:color w:val="000000"/>
          <w:sz w:val="20"/>
        </w:rPr>
        <w:t>AU-Aleutian cable.</w:t>
      </w:r>
    </w:p>
  </w:footnote>
  <w:footnote w:id="30">
    <w:p w:rsidR="00D23BC3" w:rsidRPr="00840869" w:rsidP="002161F4">
      <w:pPr>
        <w:pStyle w:val="FootnoteText"/>
        <w:spacing w:after="120"/>
        <w:rPr>
          <w:sz w:val="20"/>
        </w:rPr>
      </w:pPr>
      <w:r w:rsidRPr="00840869">
        <w:rPr>
          <w:rStyle w:val="FootnoteReference"/>
          <w:sz w:val="20"/>
        </w:rPr>
        <w:footnoteRef/>
      </w:r>
      <w:r w:rsidRPr="00840869">
        <w:rPr>
          <w:sz w:val="20"/>
        </w:rPr>
        <w:t xml:space="preserve"> </w:t>
      </w:r>
      <w:bookmarkStart w:id="8" w:name="_Hlk50714881"/>
      <w:r w:rsidRPr="00840869">
        <w:rPr>
          <w:sz w:val="20"/>
        </w:rPr>
        <w:t>This is the authorization for the AU-SE/SEAFAST cable</w:t>
      </w:r>
      <w:r w:rsidRPr="00840869">
        <w:rPr>
          <w:color w:val="000000"/>
          <w:sz w:val="20"/>
        </w:rPr>
        <w:t>.</w:t>
      </w:r>
      <w:bookmarkEnd w:id="8"/>
    </w:p>
  </w:footnote>
  <w:footnote w:id="31">
    <w:p w:rsidR="00D23BC3" w:rsidRPr="00840869" w:rsidP="002161F4">
      <w:pPr>
        <w:pStyle w:val="FootnoteText"/>
        <w:spacing w:after="120"/>
        <w:rPr>
          <w:sz w:val="20"/>
        </w:rPr>
      </w:pPr>
      <w:r w:rsidRPr="00840869">
        <w:rPr>
          <w:rStyle w:val="FootnoteReference"/>
          <w:sz w:val="20"/>
        </w:rPr>
        <w:footnoteRef/>
      </w:r>
      <w:r w:rsidRPr="00840869">
        <w:rPr>
          <w:sz w:val="20"/>
        </w:rPr>
        <w:t xml:space="preserve"> This is the authorization for the </w:t>
      </w:r>
      <w:r w:rsidRPr="00840869">
        <w:rPr>
          <w:color w:val="000000"/>
          <w:sz w:val="20"/>
        </w:rPr>
        <w:t>Kodiak-Kenai Fiber Link cable.</w:t>
      </w:r>
    </w:p>
  </w:footnote>
  <w:footnote w:id="32">
    <w:p w:rsidR="00D23BC3" w:rsidRPr="00840869" w:rsidP="002161F4">
      <w:pPr>
        <w:pStyle w:val="FootnoteText"/>
        <w:spacing w:after="120"/>
        <w:rPr>
          <w:sz w:val="20"/>
        </w:rPr>
      </w:pPr>
      <w:r w:rsidRPr="00840869">
        <w:rPr>
          <w:rStyle w:val="FootnoteReference"/>
          <w:sz w:val="20"/>
        </w:rPr>
        <w:footnoteRef/>
      </w:r>
      <w:r w:rsidRPr="00840869">
        <w:rPr>
          <w:sz w:val="20"/>
        </w:rPr>
        <w:t xml:space="preserve"> This is the authorization for the Alaska United West cable.</w:t>
      </w:r>
    </w:p>
  </w:footnote>
  <w:footnote w:id="33">
    <w:p w:rsidR="00D23BC3" w:rsidP="002161F4">
      <w:pPr>
        <w:pStyle w:val="FootnoteText"/>
        <w:spacing w:after="120"/>
      </w:pPr>
      <w:r w:rsidRPr="00840869">
        <w:rPr>
          <w:rStyle w:val="FootnoteReference"/>
          <w:sz w:val="20"/>
        </w:rPr>
        <w:footnoteRef/>
      </w:r>
      <w:r w:rsidRPr="00840869">
        <w:rPr>
          <w:sz w:val="20"/>
        </w:rPr>
        <w:t xml:space="preserve"> This is the authorization for the </w:t>
      </w:r>
      <w:r w:rsidRPr="00840869">
        <w:rPr>
          <w:color w:val="000000"/>
          <w:sz w:val="20"/>
        </w:rPr>
        <w:t>Cook Inlet Segment of TERRA-SW 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046" w:rsidRPr="003B5C6E">
    <w:pPr>
      <w:pStyle w:val="Header"/>
      <w:tabs>
        <w:tab w:val="clear" w:pos="4320"/>
        <w:tab w:val="clear" w:pos="8640"/>
      </w:tabs>
      <w:spacing w:before="40"/>
      <w:ind w:firstLine="108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position:absolute;visibility:visible;z-index:251661312" o:allowincell="f">
          <v:imagedata r:id="rId1" o:title="fcc_logo"/>
          <w10:wrap type="topAndBottom"/>
        </v:shape>
      </w:pict>
    </w:r>
    <w:r>
      <w:rPr>
        <w:rFonts w:ascii="News Gothic MT" w:hAnsi="News Gothic MT"/>
        <w:b/>
        <w:sz w:val="96"/>
      </w:rPr>
      <w:t xml:space="preserve">  </w:t>
    </w:r>
    <w:r w:rsidRPr="003B5C6E">
      <w:rPr>
        <w:rFonts w:ascii="Arial" w:hAnsi="Arial" w:cs="Arial"/>
        <w:b/>
        <w:sz w:val="96"/>
      </w:rPr>
      <w:t>PUB</w:t>
    </w:r>
    <w:r w:rsidR="00C75635">
      <w:rPr>
        <w:rFonts w:ascii="Arial" w:hAnsi="Arial" w:cs="Arial"/>
        <w:b/>
        <w:sz w:val="96"/>
      </w:rPr>
      <w:t>L</w:t>
    </w:r>
    <w:r w:rsidR="005E260C">
      <w:rPr>
        <w:rFonts w:ascii="Arial" w:hAnsi="Arial" w:cs="Arial"/>
        <w:b/>
        <w:sz w:val="96"/>
      </w:rPr>
      <w:t>IC</w:t>
    </w:r>
    <w:r w:rsidRPr="003B5C6E">
      <w:rPr>
        <w:rFonts w:ascii="Arial" w:hAnsi="Arial" w:cs="Arial"/>
        <w:b/>
        <w:sz w:val="96"/>
      </w:rPr>
      <w:t xml:space="preserve"> NOTICE</w:t>
    </w:r>
  </w:p>
  <w:p w:rsidR="000E2046">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position:absolute;visibility:visible;z-index:251658240" o:allowincell="f" stroked="f">
          <v:textbox>
            <w:txbxContent>
              <w:p w:rsidR="000E2046">
                <w:pPr>
                  <w:rPr>
                    <w:rFonts w:ascii="Arial" w:hAnsi="Arial"/>
                    <w:b/>
                  </w:rPr>
                </w:pPr>
                <w:r>
                  <w:rPr>
                    <w:rFonts w:ascii="Arial" w:hAnsi="Arial"/>
                    <w:b/>
                  </w:rPr>
                  <w:t>Federal Communications Commission</w:t>
                </w:r>
              </w:p>
              <w:p w:rsidR="000E20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E2046">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0E2046">
                <w:pPr>
                  <w:spacing w:before="40"/>
                  <w:jc w:val="right"/>
                  <w:rPr>
                    <w:rFonts w:ascii="Arial" w:hAnsi="Arial"/>
                    <w:b/>
                    <w:sz w:val="16"/>
                  </w:rPr>
                </w:pPr>
                <w:r>
                  <w:rPr>
                    <w:rFonts w:ascii="Arial" w:hAnsi="Arial"/>
                    <w:b/>
                    <w:sz w:val="16"/>
                  </w:rPr>
                  <w:t>News Media Information 202 / 418-0500</w:t>
                </w:r>
              </w:p>
              <w:p w:rsidR="000E204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E2046">
                <w:pPr>
                  <w:jc w:val="right"/>
                  <w:rPr>
                    <w:rFonts w:ascii="Arial" w:hAnsi="Arial"/>
                    <w:b/>
                    <w:sz w:val="16"/>
                  </w:rPr>
                </w:pPr>
                <w:r>
                  <w:rPr>
                    <w:rFonts w:ascii="Arial" w:hAnsi="Arial"/>
                    <w:b/>
                    <w:sz w:val="16"/>
                  </w:rPr>
                  <w:t>TTY: 1-888-835-5322</w:t>
                </w:r>
              </w:p>
              <w:p w:rsidR="000E2046">
                <w:pPr>
                  <w:jc w:val="right"/>
                </w:pPr>
              </w:p>
            </w:txbxContent>
          </v:textbox>
        </v:shape>
      </w:pict>
    </w:r>
  </w:p>
  <w:p w:rsidR="000E2046">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C970FC"/>
    <w:multiLevelType w:val="hybridMultilevel"/>
    <w:tmpl w:val="793426F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EBD39A2"/>
    <w:multiLevelType w:val="hybridMultilevel"/>
    <w:tmpl w:val="E6607038"/>
    <w:lvl w:ilvl="0">
      <w:start w:val="1"/>
      <w:numFmt w:val="decimal"/>
      <w:suff w:val="space"/>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C78B1"/>
    <w:multiLevelType w:val="hybridMultilevel"/>
    <w:tmpl w:val="68E821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2F"/>
    <w:rsid w:val="0000300B"/>
    <w:rsid w:val="0000308E"/>
    <w:rsid w:val="00010D83"/>
    <w:rsid w:val="00011942"/>
    <w:rsid w:val="000126BC"/>
    <w:rsid w:val="00013259"/>
    <w:rsid w:val="00016730"/>
    <w:rsid w:val="000201F6"/>
    <w:rsid w:val="00020C1B"/>
    <w:rsid w:val="0002456C"/>
    <w:rsid w:val="000250A9"/>
    <w:rsid w:val="000265AE"/>
    <w:rsid w:val="0004262E"/>
    <w:rsid w:val="0004423E"/>
    <w:rsid w:val="00047339"/>
    <w:rsid w:val="00050576"/>
    <w:rsid w:val="00060D6A"/>
    <w:rsid w:val="00064385"/>
    <w:rsid w:val="0006682A"/>
    <w:rsid w:val="00071296"/>
    <w:rsid w:val="0007295C"/>
    <w:rsid w:val="00073004"/>
    <w:rsid w:val="00074BA7"/>
    <w:rsid w:val="000767A4"/>
    <w:rsid w:val="0007755F"/>
    <w:rsid w:val="00080337"/>
    <w:rsid w:val="00080E6E"/>
    <w:rsid w:val="0009264D"/>
    <w:rsid w:val="000966D0"/>
    <w:rsid w:val="000A7404"/>
    <w:rsid w:val="000A79D3"/>
    <w:rsid w:val="000B30C4"/>
    <w:rsid w:val="000C1516"/>
    <w:rsid w:val="000C19B1"/>
    <w:rsid w:val="000D4754"/>
    <w:rsid w:val="000D6832"/>
    <w:rsid w:val="000E0269"/>
    <w:rsid w:val="000E2046"/>
    <w:rsid w:val="000E26BC"/>
    <w:rsid w:val="00101D8C"/>
    <w:rsid w:val="00102025"/>
    <w:rsid w:val="001029A1"/>
    <w:rsid w:val="00102A3B"/>
    <w:rsid w:val="0011322D"/>
    <w:rsid w:val="00121D56"/>
    <w:rsid w:val="00125CA3"/>
    <w:rsid w:val="00126B63"/>
    <w:rsid w:val="00134CA0"/>
    <w:rsid w:val="00143D62"/>
    <w:rsid w:val="00146911"/>
    <w:rsid w:val="00152BAE"/>
    <w:rsid w:val="00155E8A"/>
    <w:rsid w:val="00156653"/>
    <w:rsid w:val="00157C64"/>
    <w:rsid w:val="001648D9"/>
    <w:rsid w:val="0016703B"/>
    <w:rsid w:val="00172501"/>
    <w:rsid w:val="0017423E"/>
    <w:rsid w:val="0018237B"/>
    <w:rsid w:val="001824C4"/>
    <w:rsid w:val="00185AAE"/>
    <w:rsid w:val="00187E82"/>
    <w:rsid w:val="00190A1F"/>
    <w:rsid w:val="00193FA6"/>
    <w:rsid w:val="0019598E"/>
    <w:rsid w:val="00195F8A"/>
    <w:rsid w:val="001C0CDE"/>
    <w:rsid w:val="001C44A5"/>
    <w:rsid w:val="001C5C6B"/>
    <w:rsid w:val="001C60EE"/>
    <w:rsid w:val="001D0E0A"/>
    <w:rsid w:val="001D13A5"/>
    <w:rsid w:val="001D5A5B"/>
    <w:rsid w:val="001E033F"/>
    <w:rsid w:val="001E3E05"/>
    <w:rsid w:val="001E43AC"/>
    <w:rsid w:val="001E7722"/>
    <w:rsid w:val="001F021B"/>
    <w:rsid w:val="001F10A5"/>
    <w:rsid w:val="001F1A98"/>
    <w:rsid w:val="001F2D30"/>
    <w:rsid w:val="001F5E63"/>
    <w:rsid w:val="001F713F"/>
    <w:rsid w:val="0021417E"/>
    <w:rsid w:val="002142AD"/>
    <w:rsid w:val="002161F4"/>
    <w:rsid w:val="00221AE4"/>
    <w:rsid w:val="00221B9C"/>
    <w:rsid w:val="00221FF6"/>
    <w:rsid w:val="0022761A"/>
    <w:rsid w:val="0022791A"/>
    <w:rsid w:val="00234175"/>
    <w:rsid w:val="00244214"/>
    <w:rsid w:val="00245C18"/>
    <w:rsid w:val="00247577"/>
    <w:rsid w:val="00253AEB"/>
    <w:rsid w:val="002559C9"/>
    <w:rsid w:val="002644C1"/>
    <w:rsid w:val="00265761"/>
    <w:rsid w:val="00272BCA"/>
    <w:rsid w:val="00273CF9"/>
    <w:rsid w:val="002803E9"/>
    <w:rsid w:val="002832B9"/>
    <w:rsid w:val="002927B9"/>
    <w:rsid w:val="00293585"/>
    <w:rsid w:val="00295C90"/>
    <w:rsid w:val="002962CA"/>
    <w:rsid w:val="00297EF5"/>
    <w:rsid w:val="002B3BAD"/>
    <w:rsid w:val="002C3D94"/>
    <w:rsid w:val="002C4E9F"/>
    <w:rsid w:val="002C7B25"/>
    <w:rsid w:val="002D4FFB"/>
    <w:rsid w:val="002D511E"/>
    <w:rsid w:val="002D67FD"/>
    <w:rsid w:val="002E159D"/>
    <w:rsid w:val="002E359F"/>
    <w:rsid w:val="002E611B"/>
    <w:rsid w:val="002F0DCA"/>
    <w:rsid w:val="002F1EFA"/>
    <w:rsid w:val="002F7967"/>
    <w:rsid w:val="003056CB"/>
    <w:rsid w:val="00305D88"/>
    <w:rsid w:val="003113B2"/>
    <w:rsid w:val="003242E7"/>
    <w:rsid w:val="00337A42"/>
    <w:rsid w:val="00341EB1"/>
    <w:rsid w:val="00346289"/>
    <w:rsid w:val="00355F1E"/>
    <w:rsid w:val="003567C1"/>
    <w:rsid w:val="003567F8"/>
    <w:rsid w:val="00356A77"/>
    <w:rsid w:val="003610A7"/>
    <w:rsid w:val="00366647"/>
    <w:rsid w:val="003675AB"/>
    <w:rsid w:val="0038105B"/>
    <w:rsid w:val="00381977"/>
    <w:rsid w:val="003838B4"/>
    <w:rsid w:val="00384971"/>
    <w:rsid w:val="00395B92"/>
    <w:rsid w:val="003A05BD"/>
    <w:rsid w:val="003A73D0"/>
    <w:rsid w:val="003B0492"/>
    <w:rsid w:val="003B0906"/>
    <w:rsid w:val="003B1038"/>
    <w:rsid w:val="003B21EA"/>
    <w:rsid w:val="003B47B6"/>
    <w:rsid w:val="003B5C6E"/>
    <w:rsid w:val="003D3C79"/>
    <w:rsid w:val="003D3E74"/>
    <w:rsid w:val="003E00BD"/>
    <w:rsid w:val="003E42EF"/>
    <w:rsid w:val="003E7CF6"/>
    <w:rsid w:val="003F0923"/>
    <w:rsid w:val="003F0E20"/>
    <w:rsid w:val="003F3AA3"/>
    <w:rsid w:val="003F4A61"/>
    <w:rsid w:val="003F5328"/>
    <w:rsid w:val="003F70EF"/>
    <w:rsid w:val="00403C23"/>
    <w:rsid w:val="00407F65"/>
    <w:rsid w:val="004141AA"/>
    <w:rsid w:val="004141D8"/>
    <w:rsid w:val="00415E55"/>
    <w:rsid w:val="00416E00"/>
    <w:rsid w:val="004202F1"/>
    <w:rsid w:val="0042369C"/>
    <w:rsid w:val="00434C61"/>
    <w:rsid w:val="00440FC1"/>
    <w:rsid w:val="00442D7D"/>
    <w:rsid w:val="004446B5"/>
    <w:rsid w:val="004500DC"/>
    <w:rsid w:val="00451F91"/>
    <w:rsid w:val="00452FA2"/>
    <w:rsid w:val="00454A09"/>
    <w:rsid w:val="004577FC"/>
    <w:rsid w:val="00464598"/>
    <w:rsid w:val="00467036"/>
    <w:rsid w:val="00481FBF"/>
    <w:rsid w:val="00494252"/>
    <w:rsid w:val="0049696C"/>
    <w:rsid w:val="00496BEA"/>
    <w:rsid w:val="004A6A72"/>
    <w:rsid w:val="004A6FF0"/>
    <w:rsid w:val="004C0194"/>
    <w:rsid w:val="004C088A"/>
    <w:rsid w:val="004C3D24"/>
    <w:rsid w:val="004C7E20"/>
    <w:rsid w:val="004D779C"/>
    <w:rsid w:val="004E0CAB"/>
    <w:rsid w:val="004E4A53"/>
    <w:rsid w:val="004E4BCD"/>
    <w:rsid w:val="004E7DFF"/>
    <w:rsid w:val="004F101C"/>
    <w:rsid w:val="004F1225"/>
    <w:rsid w:val="004F24FE"/>
    <w:rsid w:val="004F3629"/>
    <w:rsid w:val="004F5DD6"/>
    <w:rsid w:val="004F63BD"/>
    <w:rsid w:val="004F76C1"/>
    <w:rsid w:val="005024E3"/>
    <w:rsid w:val="00503C35"/>
    <w:rsid w:val="00503F4C"/>
    <w:rsid w:val="005077D7"/>
    <w:rsid w:val="00510C6F"/>
    <w:rsid w:val="0051753B"/>
    <w:rsid w:val="005179EC"/>
    <w:rsid w:val="00520AB7"/>
    <w:rsid w:val="0052207E"/>
    <w:rsid w:val="005227B3"/>
    <w:rsid w:val="00532272"/>
    <w:rsid w:val="0054244D"/>
    <w:rsid w:val="00555BD1"/>
    <w:rsid w:val="00556971"/>
    <w:rsid w:val="0055739C"/>
    <w:rsid w:val="00560380"/>
    <w:rsid w:val="005634B6"/>
    <w:rsid w:val="00563775"/>
    <w:rsid w:val="005678F9"/>
    <w:rsid w:val="00570EE1"/>
    <w:rsid w:val="00576470"/>
    <w:rsid w:val="00590617"/>
    <w:rsid w:val="00593225"/>
    <w:rsid w:val="005A0B59"/>
    <w:rsid w:val="005A2D61"/>
    <w:rsid w:val="005A646E"/>
    <w:rsid w:val="005B029C"/>
    <w:rsid w:val="005C0D78"/>
    <w:rsid w:val="005C4B5D"/>
    <w:rsid w:val="005D37E1"/>
    <w:rsid w:val="005D44A2"/>
    <w:rsid w:val="005D52C0"/>
    <w:rsid w:val="005D6112"/>
    <w:rsid w:val="005E260C"/>
    <w:rsid w:val="005F3028"/>
    <w:rsid w:val="00602577"/>
    <w:rsid w:val="0060453F"/>
    <w:rsid w:val="00605433"/>
    <w:rsid w:val="00611399"/>
    <w:rsid w:val="006128D8"/>
    <w:rsid w:val="00620CF6"/>
    <w:rsid w:val="00626D08"/>
    <w:rsid w:val="00636110"/>
    <w:rsid w:val="00642697"/>
    <w:rsid w:val="00652C0A"/>
    <w:rsid w:val="00655F77"/>
    <w:rsid w:val="00660B69"/>
    <w:rsid w:val="0066135E"/>
    <w:rsid w:val="00661CD5"/>
    <w:rsid w:val="00662480"/>
    <w:rsid w:val="00663718"/>
    <w:rsid w:val="0067755A"/>
    <w:rsid w:val="00681B6F"/>
    <w:rsid w:val="00682CAC"/>
    <w:rsid w:val="0068684B"/>
    <w:rsid w:val="006967CA"/>
    <w:rsid w:val="006B22AB"/>
    <w:rsid w:val="006C6BC9"/>
    <w:rsid w:val="006D4571"/>
    <w:rsid w:val="006D4C99"/>
    <w:rsid w:val="006D5228"/>
    <w:rsid w:val="006D5900"/>
    <w:rsid w:val="006E6E7D"/>
    <w:rsid w:val="006F0132"/>
    <w:rsid w:val="006F2BD2"/>
    <w:rsid w:val="00703F1B"/>
    <w:rsid w:val="00705674"/>
    <w:rsid w:val="00707BC1"/>
    <w:rsid w:val="0071061C"/>
    <w:rsid w:val="00710973"/>
    <w:rsid w:val="007112DC"/>
    <w:rsid w:val="00711E4C"/>
    <w:rsid w:val="00713300"/>
    <w:rsid w:val="00715F63"/>
    <w:rsid w:val="00721F00"/>
    <w:rsid w:val="00731653"/>
    <w:rsid w:val="00732611"/>
    <w:rsid w:val="00750FB2"/>
    <w:rsid w:val="00752A56"/>
    <w:rsid w:val="00753F32"/>
    <w:rsid w:val="007625FA"/>
    <w:rsid w:val="00763E18"/>
    <w:rsid w:val="007665D8"/>
    <w:rsid w:val="0076676F"/>
    <w:rsid w:val="00772A08"/>
    <w:rsid w:val="00774382"/>
    <w:rsid w:val="00781275"/>
    <w:rsid w:val="00781297"/>
    <w:rsid w:val="0078173F"/>
    <w:rsid w:val="00782368"/>
    <w:rsid w:val="00785FCF"/>
    <w:rsid w:val="00795DAF"/>
    <w:rsid w:val="007A1DEB"/>
    <w:rsid w:val="007A6C62"/>
    <w:rsid w:val="007B1224"/>
    <w:rsid w:val="007B57AF"/>
    <w:rsid w:val="007C2AFC"/>
    <w:rsid w:val="007C2E28"/>
    <w:rsid w:val="007D112F"/>
    <w:rsid w:val="007D15D4"/>
    <w:rsid w:val="007D63C4"/>
    <w:rsid w:val="007E3C5F"/>
    <w:rsid w:val="007E6DB9"/>
    <w:rsid w:val="00802680"/>
    <w:rsid w:val="0081321F"/>
    <w:rsid w:val="00821F29"/>
    <w:rsid w:val="00824B81"/>
    <w:rsid w:val="00827770"/>
    <w:rsid w:val="0083304B"/>
    <w:rsid w:val="00834A3E"/>
    <w:rsid w:val="00835159"/>
    <w:rsid w:val="00837699"/>
    <w:rsid w:val="00840869"/>
    <w:rsid w:val="00843CA2"/>
    <w:rsid w:val="00843CF3"/>
    <w:rsid w:val="00846287"/>
    <w:rsid w:val="00852DB7"/>
    <w:rsid w:val="00860824"/>
    <w:rsid w:val="00872E17"/>
    <w:rsid w:val="00885F77"/>
    <w:rsid w:val="00886CEF"/>
    <w:rsid w:val="00887DEE"/>
    <w:rsid w:val="008A78A1"/>
    <w:rsid w:val="008B3356"/>
    <w:rsid w:val="008B555B"/>
    <w:rsid w:val="008C10AC"/>
    <w:rsid w:val="008C264B"/>
    <w:rsid w:val="008C409D"/>
    <w:rsid w:val="008D5F23"/>
    <w:rsid w:val="008D6023"/>
    <w:rsid w:val="008E01B8"/>
    <w:rsid w:val="008E43B5"/>
    <w:rsid w:val="008E61F7"/>
    <w:rsid w:val="008F22E9"/>
    <w:rsid w:val="008F3B2D"/>
    <w:rsid w:val="009050FF"/>
    <w:rsid w:val="009219D2"/>
    <w:rsid w:val="00921CCC"/>
    <w:rsid w:val="00924995"/>
    <w:rsid w:val="00924B6E"/>
    <w:rsid w:val="00927F1F"/>
    <w:rsid w:val="00934AF0"/>
    <w:rsid w:val="00937797"/>
    <w:rsid w:val="00940D7F"/>
    <w:rsid w:val="0094143C"/>
    <w:rsid w:val="009461EE"/>
    <w:rsid w:val="00952217"/>
    <w:rsid w:val="00956AE7"/>
    <w:rsid w:val="00971D40"/>
    <w:rsid w:val="00980C44"/>
    <w:rsid w:val="00981284"/>
    <w:rsid w:val="00991EFE"/>
    <w:rsid w:val="00992CD3"/>
    <w:rsid w:val="00995D28"/>
    <w:rsid w:val="009969CB"/>
    <w:rsid w:val="00996EB0"/>
    <w:rsid w:val="009B3CF6"/>
    <w:rsid w:val="009B69A0"/>
    <w:rsid w:val="009B6D64"/>
    <w:rsid w:val="009B6F0C"/>
    <w:rsid w:val="009C3668"/>
    <w:rsid w:val="009C5F1F"/>
    <w:rsid w:val="009C6DC2"/>
    <w:rsid w:val="009D1E22"/>
    <w:rsid w:val="009D2C85"/>
    <w:rsid w:val="009E0BDD"/>
    <w:rsid w:val="009E11CF"/>
    <w:rsid w:val="009E4CFC"/>
    <w:rsid w:val="009E5AC5"/>
    <w:rsid w:val="009F74EA"/>
    <w:rsid w:val="00A05CBB"/>
    <w:rsid w:val="00A11184"/>
    <w:rsid w:val="00A25446"/>
    <w:rsid w:val="00A27BA5"/>
    <w:rsid w:val="00A309BF"/>
    <w:rsid w:val="00A443D7"/>
    <w:rsid w:val="00A44F20"/>
    <w:rsid w:val="00A46F89"/>
    <w:rsid w:val="00A5655D"/>
    <w:rsid w:val="00A61FF6"/>
    <w:rsid w:val="00A634FB"/>
    <w:rsid w:val="00A74ABE"/>
    <w:rsid w:val="00A85A2F"/>
    <w:rsid w:val="00A91BB5"/>
    <w:rsid w:val="00A94CF6"/>
    <w:rsid w:val="00A97988"/>
    <w:rsid w:val="00AA2147"/>
    <w:rsid w:val="00AB07A6"/>
    <w:rsid w:val="00AB1996"/>
    <w:rsid w:val="00AB1AEF"/>
    <w:rsid w:val="00AB260C"/>
    <w:rsid w:val="00AB3BE7"/>
    <w:rsid w:val="00AB7B1C"/>
    <w:rsid w:val="00AC7BDF"/>
    <w:rsid w:val="00AE74B9"/>
    <w:rsid w:val="00AE7C5F"/>
    <w:rsid w:val="00AF1035"/>
    <w:rsid w:val="00AF186A"/>
    <w:rsid w:val="00AF3488"/>
    <w:rsid w:val="00AF3EE2"/>
    <w:rsid w:val="00B00D97"/>
    <w:rsid w:val="00B016BD"/>
    <w:rsid w:val="00B023BB"/>
    <w:rsid w:val="00B05386"/>
    <w:rsid w:val="00B05B5C"/>
    <w:rsid w:val="00B13DE6"/>
    <w:rsid w:val="00B31B49"/>
    <w:rsid w:val="00B334B2"/>
    <w:rsid w:val="00B35A85"/>
    <w:rsid w:val="00B40B7C"/>
    <w:rsid w:val="00B4609C"/>
    <w:rsid w:val="00B46AE5"/>
    <w:rsid w:val="00B5162E"/>
    <w:rsid w:val="00B64278"/>
    <w:rsid w:val="00B643A5"/>
    <w:rsid w:val="00B64881"/>
    <w:rsid w:val="00B67391"/>
    <w:rsid w:val="00B70DFA"/>
    <w:rsid w:val="00B849E1"/>
    <w:rsid w:val="00B84A70"/>
    <w:rsid w:val="00B854D1"/>
    <w:rsid w:val="00B902EA"/>
    <w:rsid w:val="00B915C7"/>
    <w:rsid w:val="00B91959"/>
    <w:rsid w:val="00BA3C38"/>
    <w:rsid w:val="00BA4A04"/>
    <w:rsid w:val="00BA4DC8"/>
    <w:rsid w:val="00BA7592"/>
    <w:rsid w:val="00BC30CA"/>
    <w:rsid w:val="00BD2A05"/>
    <w:rsid w:val="00BE2BF6"/>
    <w:rsid w:val="00BF6C74"/>
    <w:rsid w:val="00BF743F"/>
    <w:rsid w:val="00C02958"/>
    <w:rsid w:val="00C14351"/>
    <w:rsid w:val="00C1509A"/>
    <w:rsid w:val="00C20FAC"/>
    <w:rsid w:val="00C2189D"/>
    <w:rsid w:val="00C21E58"/>
    <w:rsid w:val="00C226A1"/>
    <w:rsid w:val="00C32F77"/>
    <w:rsid w:val="00C53296"/>
    <w:rsid w:val="00C61264"/>
    <w:rsid w:val="00C6453E"/>
    <w:rsid w:val="00C669F9"/>
    <w:rsid w:val="00C71D81"/>
    <w:rsid w:val="00C75635"/>
    <w:rsid w:val="00C7569E"/>
    <w:rsid w:val="00C83B73"/>
    <w:rsid w:val="00C877FE"/>
    <w:rsid w:val="00C93347"/>
    <w:rsid w:val="00C976D9"/>
    <w:rsid w:val="00CA234C"/>
    <w:rsid w:val="00CA5542"/>
    <w:rsid w:val="00CB3956"/>
    <w:rsid w:val="00CB43A8"/>
    <w:rsid w:val="00CC083E"/>
    <w:rsid w:val="00CC3397"/>
    <w:rsid w:val="00CD1327"/>
    <w:rsid w:val="00CE0A2E"/>
    <w:rsid w:val="00CE4209"/>
    <w:rsid w:val="00CE6622"/>
    <w:rsid w:val="00CF6B50"/>
    <w:rsid w:val="00D010CE"/>
    <w:rsid w:val="00D023D1"/>
    <w:rsid w:val="00D031B7"/>
    <w:rsid w:val="00D0790F"/>
    <w:rsid w:val="00D17DC0"/>
    <w:rsid w:val="00D2009E"/>
    <w:rsid w:val="00D23BC3"/>
    <w:rsid w:val="00D251DA"/>
    <w:rsid w:val="00D26989"/>
    <w:rsid w:val="00D2772C"/>
    <w:rsid w:val="00D31047"/>
    <w:rsid w:val="00D326DC"/>
    <w:rsid w:val="00D32821"/>
    <w:rsid w:val="00D42926"/>
    <w:rsid w:val="00D439F4"/>
    <w:rsid w:val="00D452C1"/>
    <w:rsid w:val="00D47DBA"/>
    <w:rsid w:val="00D56769"/>
    <w:rsid w:val="00D60EFF"/>
    <w:rsid w:val="00D63D87"/>
    <w:rsid w:val="00D6512E"/>
    <w:rsid w:val="00D77A78"/>
    <w:rsid w:val="00D901A1"/>
    <w:rsid w:val="00DA0070"/>
    <w:rsid w:val="00DA0753"/>
    <w:rsid w:val="00DA55FF"/>
    <w:rsid w:val="00DB2645"/>
    <w:rsid w:val="00DB4971"/>
    <w:rsid w:val="00DB6C5A"/>
    <w:rsid w:val="00DC4A70"/>
    <w:rsid w:val="00DC6553"/>
    <w:rsid w:val="00DD4D1C"/>
    <w:rsid w:val="00DD4DEB"/>
    <w:rsid w:val="00DE0B25"/>
    <w:rsid w:val="00DE0D3D"/>
    <w:rsid w:val="00DE2EAB"/>
    <w:rsid w:val="00DE6CDE"/>
    <w:rsid w:val="00DF0F0B"/>
    <w:rsid w:val="00DF1358"/>
    <w:rsid w:val="00DF3F78"/>
    <w:rsid w:val="00E06287"/>
    <w:rsid w:val="00E068BB"/>
    <w:rsid w:val="00E11327"/>
    <w:rsid w:val="00E121EC"/>
    <w:rsid w:val="00E23685"/>
    <w:rsid w:val="00E245CB"/>
    <w:rsid w:val="00E33AB4"/>
    <w:rsid w:val="00E41E10"/>
    <w:rsid w:val="00E43A5A"/>
    <w:rsid w:val="00E541EE"/>
    <w:rsid w:val="00E5778A"/>
    <w:rsid w:val="00E57969"/>
    <w:rsid w:val="00E60E0F"/>
    <w:rsid w:val="00E66863"/>
    <w:rsid w:val="00E71A60"/>
    <w:rsid w:val="00E738AF"/>
    <w:rsid w:val="00E802A9"/>
    <w:rsid w:val="00E81296"/>
    <w:rsid w:val="00E84763"/>
    <w:rsid w:val="00E850E9"/>
    <w:rsid w:val="00E963C8"/>
    <w:rsid w:val="00E9794F"/>
    <w:rsid w:val="00E97C19"/>
    <w:rsid w:val="00EA478B"/>
    <w:rsid w:val="00EB2770"/>
    <w:rsid w:val="00EB29C6"/>
    <w:rsid w:val="00EB68B0"/>
    <w:rsid w:val="00EC05AA"/>
    <w:rsid w:val="00EC28C6"/>
    <w:rsid w:val="00ED3EAE"/>
    <w:rsid w:val="00EE278C"/>
    <w:rsid w:val="00EF3B99"/>
    <w:rsid w:val="00EF51A5"/>
    <w:rsid w:val="00EF62BB"/>
    <w:rsid w:val="00EF7375"/>
    <w:rsid w:val="00EF7953"/>
    <w:rsid w:val="00F0352E"/>
    <w:rsid w:val="00F13832"/>
    <w:rsid w:val="00F17BFA"/>
    <w:rsid w:val="00F17FF0"/>
    <w:rsid w:val="00F22882"/>
    <w:rsid w:val="00F2658B"/>
    <w:rsid w:val="00F32867"/>
    <w:rsid w:val="00F33DE6"/>
    <w:rsid w:val="00F36E15"/>
    <w:rsid w:val="00F409E2"/>
    <w:rsid w:val="00F4585F"/>
    <w:rsid w:val="00F54FE5"/>
    <w:rsid w:val="00F62319"/>
    <w:rsid w:val="00F62628"/>
    <w:rsid w:val="00F66799"/>
    <w:rsid w:val="00F66C0C"/>
    <w:rsid w:val="00F7148C"/>
    <w:rsid w:val="00F72D87"/>
    <w:rsid w:val="00F7511C"/>
    <w:rsid w:val="00F827CF"/>
    <w:rsid w:val="00F82FD6"/>
    <w:rsid w:val="00F86248"/>
    <w:rsid w:val="00F93689"/>
    <w:rsid w:val="00F979DF"/>
    <w:rsid w:val="00FB0A9B"/>
    <w:rsid w:val="00FB126F"/>
    <w:rsid w:val="00FB25A0"/>
    <w:rsid w:val="00FB5444"/>
    <w:rsid w:val="00FB5F89"/>
    <w:rsid w:val="00FB704E"/>
    <w:rsid w:val="00FB758A"/>
    <w:rsid w:val="00FB7E18"/>
    <w:rsid w:val="00FD376F"/>
    <w:rsid w:val="00FE11C2"/>
    <w:rsid w:val="00FE2783"/>
    <w:rsid w:val="00FE52DC"/>
    <w:rsid w:val="00FE6745"/>
    <w:rsid w:val="00FF6F4E"/>
    <w:rsid w:val="00FF71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A818B5F-9816-47F7-A461-0C988D4D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2F"/>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
    <w:link w:val="FootnoteText"/>
    <w:rsid w:val="007D112F"/>
    <w:rPr>
      <w:sz w:val="22"/>
    </w:rPr>
  </w:style>
  <w:style w:type="paragraph" w:styleId="BalloonText">
    <w:name w:val="Balloon Text"/>
    <w:basedOn w:val="Normal"/>
    <w:link w:val="BalloonTextChar"/>
    <w:uiPriority w:val="99"/>
    <w:semiHidden/>
    <w:unhideWhenUsed/>
    <w:rsid w:val="00064385"/>
    <w:rPr>
      <w:rFonts w:ascii="Segoe UI" w:hAnsi="Segoe UI" w:cs="Segoe UI"/>
      <w:sz w:val="18"/>
      <w:szCs w:val="18"/>
    </w:rPr>
  </w:style>
  <w:style w:type="character" w:customStyle="1" w:styleId="BalloonTextChar">
    <w:name w:val="Balloon Text Char"/>
    <w:link w:val="BalloonText"/>
    <w:uiPriority w:val="99"/>
    <w:semiHidden/>
    <w:rsid w:val="00064385"/>
    <w:rPr>
      <w:rFonts w:ascii="Segoe UI" w:hAnsi="Segoe UI" w:cs="Segoe UI"/>
      <w:snapToGrid w:val="0"/>
      <w:kern w:val="28"/>
      <w:sz w:val="18"/>
      <w:szCs w:val="18"/>
    </w:rPr>
  </w:style>
  <w:style w:type="character" w:styleId="CommentReference">
    <w:name w:val="annotation reference"/>
    <w:uiPriority w:val="99"/>
    <w:semiHidden/>
    <w:unhideWhenUsed/>
    <w:rsid w:val="003A05BD"/>
    <w:rPr>
      <w:sz w:val="16"/>
      <w:szCs w:val="16"/>
    </w:rPr>
  </w:style>
  <w:style w:type="paragraph" w:styleId="CommentText">
    <w:name w:val="annotation text"/>
    <w:basedOn w:val="Normal"/>
    <w:link w:val="CommentTextChar"/>
    <w:uiPriority w:val="99"/>
    <w:semiHidden/>
    <w:unhideWhenUsed/>
    <w:rsid w:val="003A05BD"/>
    <w:rPr>
      <w:sz w:val="20"/>
    </w:rPr>
  </w:style>
  <w:style w:type="character" w:customStyle="1" w:styleId="CommentTextChar">
    <w:name w:val="Comment Text Char"/>
    <w:link w:val="CommentText"/>
    <w:uiPriority w:val="99"/>
    <w:semiHidden/>
    <w:rsid w:val="003A05BD"/>
    <w:rPr>
      <w:snapToGrid w:val="0"/>
      <w:kern w:val="28"/>
    </w:rPr>
  </w:style>
  <w:style w:type="paragraph" w:styleId="CommentSubject">
    <w:name w:val="annotation subject"/>
    <w:basedOn w:val="CommentText"/>
    <w:next w:val="CommentText"/>
    <w:link w:val="CommentSubjectChar"/>
    <w:uiPriority w:val="99"/>
    <w:semiHidden/>
    <w:unhideWhenUsed/>
    <w:rsid w:val="003A05BD"/>
    <w:rPr>
      <w:b/>
      <w:bCs/>
    </w:rPr>
  </w:style>
  <w:style w:type="character" w:customStyle="1" w:styleId="CommentSubjectChar">
    <w:name w:val="Comment Subject Char"/>
    <w:link w:val="CommentSubject"/>
    <w:uiPriority w:val="99"/>
    <w:semiHidden/>
    <w:rsid w:val="003A05BD"/>
    <w:rPr>
      <w:b/>
      <w:bCs/>
      <w:snapToGrid w:val="0"/>
      <w:kern w:val="28"/>
    </w:rPr>
  </w:style>
  <w:style w:type="character" w:customStyle="1" w:styleId="FooterChar">
    <w:name w:val="Footer Char"/>
    <w:link w:val="Footer"/>
    <w:uiPriority w:val="99"/>
    <w:rsid w:val="00520AB7"/>
    <w:rPr>
      <w:snapToGrid w:val="0"/>
      <w:kern w:val="28"/>
      <w:sz w:val="22"/>
    </w:rPr>
  </w:style>
  <w:style w:type="paragraph" w:styleId="ListParagraph">
    <w:name w:val="List Paragraph"/>
    <w:basedOn w:val="Normal"/>
    <w:uiPriority w:val="34"/>
    <w:qFormat/>
    <w:rsid w:val="00C71D81"/>
    <w:pPr>
      <w:ind w:left="720"/>
    </w:pPr>
  </w:style>
  <w:style w:type="character" w:customStyle="1" w:styleId="UnresolvedMention">
    <w:name w:val="Unresolved Mention"/>
    <w:uiPriority w:val="99"/>
    <w:semiHidden/>
    <w:unhideWhenUsed/>
    <w:rsid w:val="003B21EA"/>
    <w:rPr>
      <w:color w:val="605E5C"/>
      <w:shd w:val="clear" w:color="auto" w:fill="E1DFDD"/>
    </w:rPr>
  </w:style>
  <w:style w:type="paragraph" w:styleId="Revision">
    <w:name w:val="Revision"/>
    <w:hidden/>
    <w:uiPriority w:val="99"/>
    <w:semiHidden/>
    <w:rsid w:val="00D2009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arthur.lechtman@fcc.gov" TargetMode="External" /><Relationship Id="rId12" Type="http://schemas.openxmlformats.org/officeDocument/2006/relationships/hyperlink" Target="mailto:sumita.mukhoty@fcc.gov" TargetMode="External" /><Relationship Id="rId13" Type="http://schemas.openxmlformats.org/officeDocument/2006/relationships/hyperlink" Target="mailto:linda.ray@fcc.gov" TargetMode="External" /><Relationship Id="rId14" Type="http://schemas.openxmlformats.org/officeDocument/2006/relationships/hyperlink" Target="kathy.harris@fcc.gov" TargetMode="External" /><Relationship Id="rId15" Type="http://schemas.openxmlformats.org/officeDocument/2006/relationships/hyperlink" Target="jeff.tobias@fcc.gov" TargetMode="External" /><Relationship Id="rId16" Type="http://schemas.openxmlformats.org/officeDocument/2006/relationships/hyperlink" Target="mailto:david.brown@fcc.gov" TargetMode="External" /><Relationship Id="rId17" Type="http://schemas.openxmlformats.org/officeDocument/2006/relationships/hyperlink" Target="mailto:ty.bream@fcc.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apps.fcc.gov/ecfs/" TargetMode="External" /><Relationship Id="rId8" Type="http://schemas.openxmlformats.org/officeDocument/2006/relationships/hyperlink" Target="mailto:jim.bird@fcc.gov" TargetMode="External" /><Relationship Id="rId9" Type="http://schemas.openxmlformats.org/officeDocument/2006/relationships/hyperlink" Target="mailto:mathew.collin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