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5E2570" w:rsidRPr="00A86993" w14:paraId="311AF52F" w14:textId="77777777">
      <w:pPr>
        <w:spacing w:after="120"/>
        <w:rPr>
          <w:szCs w:val="22"/>
        </w:rPr>
        <w:sectPr>
          <w:footerReference w:type="default" r:id="rId5"/>
          <w:headerReference w:type="first" r:id="rId6"/>
          <w:pgSz w:w="12240" w:h="15840" w:code="1"/>
          <w:pgMar w:top="720" w:right="1440" w:bottom="1440" w:left="1440" w:header="720" w:footer="1440" w:gutter="0"/>
          <w:cols w:space="720"/>
          <w:titlePg/>
        </w:sectPr>
      </w:pPr>
    </w:p>
    <w:p w:rsidR="005E2570" w:rsidRPr="00A86993" w14:paraId="723CE709" w14:textId="29F5F517">
      <w:pPr>
        <w:spacing w:after="120"/>
        <w:jc w:val="right"/>
        <w:rPr>
          <w:b/>
          <w:szCs w:val="22"/>
        </w:rPr>
      </w:pPr>
      <w:r w:rsidRPr="00A86993">
        <w:rPr>
          <w:b/>
          <w:szCs w:val="22"/>
        </w:rPr>
        <w:t xml:space="preserve">DA </w:t>
      </w:r>
      <w:r w:rsidRPr="00A86993" w:rsidR="001B051C">
        <w:rPr>
          <w:b/>
          <w:szCs w:val="22"/>
        </w:rPr>
        <w:t>20</w:t>
      </w:r>
      <w:r w:rsidRPr="00A86993">
        <w:rPr>
          <w:b/>
          <w:szCs w:val="22"/>
        </w:rPr>
        <w:t>-</w:t>
      </w:r>
      <w:r w:rsidR="009A08F2">
        <w:rPr>
          <w:b/>
          <w:szCs w:val="22"/>
        </w:rPr>
        <w:t>1107</w:t>
      </w:r>
    </w:p>
    <w:p w:rsidR="005E2570" w:rsidRPr="00A86993" w14:paraId="257831BE" w14:textId="2FB15AE1">
      <w:pPr>
        <w:spacing w:before="60" w:after="120"/>
        <w:jc w:val="right"/>
        <w:rPr>
          <w:szCs w:val="22"/>
        </w:rPr>
      </w:pPr>
      <w:r w:rsidRPr="00A86993">
        <w:rPr>
          <w:b/>
          <w:szCs w:val="22"/>
        </w:rPr>
        <w:t>Released:</w:t>
      </w:r>
      <w:r w:rsidRPr="00A86993" w:rsidR="00BD1FA1">
        <w:rPr>
          <w:b/>
          <w:szCs w:val="22"/>
        </w:rPr>
        <w:t xml:space="preserve"> </w:t>
      </w:r>
      <w:r w:rsidR="009A08F2">
        <w:rPr>
          <w:b/>
          <w:szCs w:val="22"/>
        </w:rPr>
        <w:t>September 18</w:t>
      </w:r>
      <w:r w:rsidRPr="00A86993" w:rsidR="00BD1FA1">
        <w:rPr>
          <w:b/>
          <w:szCs w:val="22"/>
        </w:rPr>
        <w:t>, 2020</w:t>
      </w:r>
    </w:p>
    <w:p w:rsidR="005E2570" w:rsidRPr="00A86993" w:rsidP="00473A6F" w14:paraId="0F19080A" w14:textId="4EB71E9B">
      <w:pPr>
        <w:spacing w:after="120"/>
        <w:jc w:val="center"/>
        <w:rPr>
          <w:b/>
          <w:szCs w:val="22"/>
        </w:rPr>
      </w:pPr>
      <w:r w:rsidRPr="00A86993">
        <w:rPr>
          <w:b/>
          <w:szCs w:val="22"/>
        </w:rPr>
        <w:t xml:space="preserve">PUBLIC SAFETY AND HOMELAND SECURITY BUREAU SEEKS COMMENT ON </w:t>
      </w:r>
      <w:r w:rsidRPr="00A86993" w:rsidR="007C48AF">
        <w:rPr>
          <w:b/>
          <w:szCs w:val="22"/>
        </w:rPr>
        <w:t>GTA TELEGUAM HOLDINGS, INC.</w:t>
      </w:r>
      <w:r w:rsidRPr="00A86993">
        <w:rPr>
          <w:b/>
          <w:szCs w:val="22"/>
        </w:rPr>
        <w:t xml:space="preserve"> PETITION FOR WAIVER </w:t>
      </w:r>
      <w:r w:rsidRPr="00A86993" w:rsidR="006B45D6">
        <w:rPr>
          <w:b/>
          <w:szCs w:val="22"/>
        </w:rPr>
        <w:t xml:space="preserve">OF </w:t>
      </w:r>
      <w:r w:rsidRPr="00A86993" w:rsidR="007C48AF">
        <w:rPr>
          <w:b/>
          <w:szCs w:val="22"/>
        </w:rPr>
        <w:t xml:space="preserve">DISPATCHABLE LOCATION </w:t>
      </w:r>
      <w:r w:rsidRPr="00A86993" w:rsidR="006B45D6">
        <w:rPr>
          <w:b/>
          <w:szCs w:val="22"/>
        </w:rPr>
        <w:t>REQUIREMENTS</w:t>
      </w:r>
      <w:r w:rsidR="00E46288">
        <w:rPr>
          <w:b/>
          <w:szCs w:val="22"/>
        </w:rPr>
        <w:t xml:space="preserve"> FOR CALLS TO 911</w:t>
      </w:r>
      <w:r w:rsidRPr="00A86993" w:rsidR="007C48AF">
        <w:rPr>
          <w:b/>
          <w:szCs w:val="22"/>
        </w:rPr>
        <w:t xml:space="preserve"> </w:t>
      </w:r>
    </w:p>
    <w:p w:rsidR="005E2570" w:rsidRPr="00A86993" w:rsidP="004E3A2D" w14:paraId="58803129" w14:textId="773324EA">
      <w:pPr>
        <w:spacing w:after="120"/>
        <w:jc w:val="center"/>
        <w:rPr>
          <w:b/>
          <w:szCs w:val="22"/>
        </w:rPr>
      </w:pPr>
      <w:r w:rsidRPr="00A86993">
        <w:rPr>
          <w:b/>
          <w:szCs w:val="22"/>
        </w:rPr>
        <w:t>PS Docket No</w:t>
      </w:r>
      <w:r w:rsidRPr="00A86993" w:rsidR="007C48AF">
        <w:rPr>
          <w:b/>
          <w:szCs w:val="22"/>
        </w:rPr>
        <w:t>s</w:t>
      </w:r>
      <w:r w:rsidRPr="00A86993">
        <w:rPr>
          <w:b/>
          <w:szCs w:val="22"/>
        </w:rPr>
        <w:t xml:space="preserve">. </w:t>
      </w:r>
      <w:r w:rsidRPr="00A86993" w:rsidR="007C48AF">
        <w:rPr>
          <w:b/>
          <w:szCs w:val="22"/>
        </w:rPr>
        <w:t xml:space="preserve">18-261 </w:t>
      </w:r>
      <w:r w:rsidRPr="00A86993" w:rsidR="00FF6577">
        <w:rPr>
          <w:b/>
          <w:szCs w:val="22"/>
        </w:rPr>
        <w:t>and</w:t>
      </w:r>
      <w:r w:rsidRPr="00A86993" w:rsidR="007C48AF">
        <w:rPr>
          <w:b/>
          <w:szCs w:val="22"/>
        </w:rPr>
        <w:t xml:space="preserve"> 17-239; GN Docket No. 11-117</w:t>
      </w:r>
    </w:p>
    <w:p w:rsidR="005E2570" w:rsidRPr="00A86993" w14:paraId="48EAE270" w14:textId="5BAB70DB">
      <w:pPr>
        <w:rPr>
          <w:b/>
          <w:szCs w:val="22"/>
        </w:rPr>
      </w:pPr>
      <w:r w:rsidRPr="00A86993">
        <w:rPr>
          <w:b/>
          <w:szCs w:val="22"/>
        </w:rPr>
        <w:t xml:space="preserve">Comment Date:  </w:t>
      </w:r>
      <w:r w:rsidR="009A08F2">
        <w:rPr>
          <w:b/>
          <w:szCs w:val="22"/>
        </w:rPr>
        <w:t>October 1</w:t>
      </w:r>
      <w:r w:rsidR="00DB3D34">
        <w:rPr>
          <w:b/>
          <w:szCs w:val="22"/>
        </w:rPr>
        <w:t>9</w:t>
      </w:r>
      <w:r w:rsidR="009A08F2">
        <w:rPr>
          <w:b/>
          <w:szCs w:val="22"/>
        </w:rPr>
        <w:t>, 2020</w:t>
      </w:r>
      <w:bookmarkStart w:id="1" w:name="_GoBack"/>
      <w:bookmarkEnd w:id="1"/>
    </w:p>
    <w:p w:rsidR="005E2570" w:rsidRPr="00A86993" w14:paraId="75FDB5C8" w14:textId="33C946A2">
      <w:pPr>
        <w:rPr>
          <w:b/>
          <w:szCs w:val="22"/>
        </w:rPr>
      </w:pPr>
      <w:r w:rsidRPr="00A86993">
        <w:rPr>
          <w:b/>
          <w:szCs w:val="22"/>
        </w:rPr>
        <w:t xml:space="preserve">Reply Comment Date: </w:t>
      </w:r>
      <w:r w:rsidR="009A08F2">
        <w:rPr>
          <w:b/>
          <w:szCs w:val="22"/>
        </w:rPr>
        <w:t xml:space="preserve">November </w:t>
      </w:r>
      <w:r w:rsidR="00ED28EE">
        <w:rPr>
          <w:b/>
          <w:szCs w:val="22"/>
        </w:rPr>
        <w:t>2</w:t>
      </w:r>
      <w:r w:rsidR="009A08F2">
        <w:rPr>
          <w:b/>
          <w:szCs w:val="22"/>
        </w:rPr>
        <w:t>, 2020</w:t>
      </w:r>
      <w:r w:rsidRPr="00A86993">
        <w:rPr>
          <w:b/>
          <w:szCs w:val="22"/>
        </w:rPr>
        <w:br/>
      </w:r>
    </w:p>
    <w:p w:rsidR="005E2570" w:rsidRPr="00A86993" w:rsidP="004B6A85" w14:paraId="2133A45B" w14:textId="12FE38FE">
      <w:pPr>
        <w:spacing w:after="120"/>
        <w:ind w:firstLine="634"/>
        <w:rPr>
          <w:szCs w:val="22"/>
        </w:rPr>
      </w:pPr>
      <w:r w:rsidRPr="00A86993">
        <w:rPr>
          <w:szCs w:val="22"/>
        </w:rPr>
        <w:t>The</w:t>
      </w:r>
      <w:r w:rsidRPr="00A86993" w:rsidR="00700D7B">
        <w:rPr>
          <w:szCs w:val="22"/>
        </w:rPr>
        <w:t xml:space="preserve"> Public Safety and Homeland Security Bureau (Bureau) seeks comment from interested parties on the </w:t>
      </w:r>
      <w:r w:rsidRPr="00A86993" w:rsidR="00F97459">
        <w:rPr>
          <w:szCs w:val="22"/>
        </w:rPr>
        <w:t>P</w:t>
      </w:r>
      <w:r w:rsidRPr="00A86993" w:rsidR="00700D7B">
        <w:rPr>
          <w:szCs w:val="22"/>
        </w:rPr>
        <w:t>etition</w:t>
      </w:r>
      <w:r w:rsidRPr="00A86993" w:rsidR="001C2391">
        <w:rPr>
          <w:szCs w:val="22"/>
        </w:rPr>
        <w:t xml:space="preserve"> </w:t>
      </w:r>
      <w:r w:rsidR="002E5F63">
        <w:rPr>
          <w:szCs w:val="22"/>
        </w:rPr>
        <w:t xml:space="preserve">for Waiver </w:t>
      </w:r>
      <w:r w:rsidRPr="00A86993" w:rsidR="001C2391">
        <w:rPr>
          <w:szCs w:val="22"/>
        </w:rPr>
        <w:t>filed by</w:t>
      </w:r>
      <w:r w:rsidRPr="00A86993" w:rsidR="00700D7B">
        <w:rPr>
          <w:szCs w:val="22"/>
        </w:rPr>
        <w:t xml:space="preserve"> </w:t>
      </w:r>
      <w:r w:rsidRPr="00A86993" w:rsidR="00FF6577">
        <w:rPr>
          <w:szCs w:val="22"/>
        </w:rPr>
        <w:t xml:space="preserve">GTA </w:t>
      </w:r>
      <w:r w:rsidRPr="00A86993" w:rsidR="00FF6577">
        <w:rPr>
          <w:szCs w:val="22"/>
        </w:rPr>
        <w:t>TeleGuam</w:t>
      </w:r>
      <w:r w:rsidRPr="00A86993" w:rsidR="00FF6577">
        <w:rPr>
          <w:szCs w:val="22"/>
        </w:rPr>
        <w:t xml:space="preserve"> Holdings, Inc.</w:t>
      </w:r>
      <w:r w:rsidRPr="00A86993" w:rsidR="00700D7B">
        <w:rPr>
          <w:szCs w:val="22"/>
        </w:rPr>
        <w:t xml:space="preserve"> (</w:t>
      </w:r>
      <w:r w:rsidRPr="00A86993" w:rsidR="00FF6577">
        <w:rPr>
          <w:szCs w:val="22"/>
        </w:rPr>
        <w:t>GTA</w:t>
      </w:r>
      <w:r w:rsidRPr="00A86993" w:rsidR="00700D7B">
        <w:rPr>
          <w:szCs w:val="22"/>
        </w:rPr>
        <w:t>)</w:t>
      </w:r>
      <w:r w:rsidR="002E5F63">
        <w:rPr>
          <w:szCs w:val="22"/>
        </w:rPr>
        <w:t>.</w:t>
      </w:r>
      <w:r>
        <w:rPr>
          <w:rStyle w:val="FootnoteReference"/>
          <w:szCs w:val="22"/>
        </w:rPr>
        <w:footnoteReference w:id="3"/>
      </w:r>
      <w:r w:rsidR="002E5F63">
        <w:rPr>
          <w:szCs w:val="22"/>
        </w:rPr>
        <w:t xml:space="preserve">  GTA seeks</w:t>
      </w:r>
      <w:r w:rsidRPr="00A86993" w:rsidR="00894382">
        <w:rPr>
          <w:szCs w:val="22"/>
        </w:rPr>
        <w:t xml:space="preserve"> </w:t>
      </w:r>
      <w:r w:rsidR="004049FF">
        <w:rPr>
          <w:szCs w:val="22"/>
        </w:rPr>
        <w:t xml:space="preserve">a </w:t>
      </w:r>
      <w:r w:rsidRPr="00A86993" w:rsidR="00894382">
        <w:rPr>
          <w:szCs w:val="22"/>
        </w:rPr>
        <w:t xml:space="preserve">limited waiver of the requirement </w:t>
      </w:r>
      <w:r w:rsidR="002E5F63">
        <w:rPr>
          <w:szCs w:val="22"/>
        </w:rPr>
        <w:t xml:space="preserve">to furnish automated dispatchable location information with 911 calls from </w:t>
      </w:r>
      <w:r w:rsidRPr="00A86993" w:rsidR="00FB1C55">
        <w:rPr>
          <w:szCs w:val="22"/>
        </w:rPr>
        <w:t xml:space="preserve">(1) </w:t>
      </w:r>
      <w:r w:rsidR="004049FF">
        <w:rPr>
          <w:szCs w:val="22"/>
        </w:rPr>
        <w:t>m</w:t>
      </w:r>
      <w:r w:rsidRPr="00A86993" w:rsidR="00FB1C55">
        <w:rPr>
          <w:szCs w:val="22"/>
        </w:rPr>
        <w:t>ulti-</w:t>
      </w:r>
      <w:r w:rsidR="004049FF">
        <w:rPr>
          <w:szCs w:val="22"/>
        </w:rPr>
        <w:t>l</w:t>
      </w:r>
      <w:r w:rsidRPr="00A86993" w:rsidR="00FB1C55">
        <w:rPr>
          <w:szCs w:val="22"/>
        </w:rPr>
        <w:t xml:space="preserve">ine </w:t>
      </w:r>
      <w:r w:rsidR="004049FF">
        <w:rPr>
          <w:szCs w:val="22"/>
        </w:rPr>
        <w:t>t</w:t>
      </w:r>
      <w:r w:rsidRPr="00A86993" w:rsidR="00FB1C55">
        <w:rPr>
          <w:szCs w:val="22"/>
        </w:rPr>
        <w:t xml:space="preserve">elephone </w:t>
      </w:r>
      <w:r w:rsidR="004049FF">
        <w:rPr>
          <w:szCs w:val="22"/>
        </w:rPr>
        <w:t>s</w:t>
      </w:r>
      <w:r w:rsidRPr="00A86993" w:rsidR="00FB1C55">
        <w:rPr>
          <w:szCs w:val="22"/>
        </w:rPr>
        <w:t>ystems</w:t>
      </w:r>
      <w:r w:rsidR="002E5F63">
        <w:rPr>
          <w:szCs w:val="22"/>
        </w:rPr>
        <w:t xml:space="preserve"> (MLTS)</w:t>
      </w:r>
      <w:r w:rsidRPr="00A86993" w:rsidR="00FB1C55">
        <w:rPr>
          <w:szCs w:val="22"/>
        </w:rPr>
        <w:t>;</w:t>
      </w:r>
      <w:r w:rsidRPr="00A86993" w:rsidR="00894382">
        <w:rPr>
          <w:szCs w:val="22"/>
        </w:rPr>
        <w:t xml:space="preserve"> </w:t>
      </w:r>
      <w:r w:rsidRPr="00A86993" w:rsidR="00FB1C55">
        <w:rPr>
          <w:szCs w:val="22"/>
        </w:rPr>
        <w:t xml:space="preserve">(2) </w:t>
      </w:r>
      <w:r w:rsidRPr="00A86993" w:rsidR="00894382">
        <w:rPr>
          <w:szCs w:val="22"/>
        </w:rPr>
        <w:t>fixed telephony</w:t>
      </w:r>
      <w:r w:rsidR="002E5F63">
        <w:rPr>
          <w:szCs w:val="22"/>
        </w:rPr>
        <w:t>;</w:t>
      </w:r>
      <w:r w:rsidRPr="00A86993" w:rsidR="00894382">
        <w:rPr>
          <w:szCs w:val="22"/>
        </w:rPr>
        <w:t xml:space="preserve"> </w:t>
      </w:r>
      <w:r w:rsidRPr="00A86993" w:rsidR="00FB1C55">
        <w:rPr>
          <w:szCs w:val="22"/>
        </w:rPr>
        <w:t>(3) V</w:t>
      </w:r>
      <w:r w:rsidRPr="00A86993" w:rsidR="00894382">
        <w:rPr>
          <w:szCs w:val="22"/>
        </w:rPr>
        <w:t>oice over Internet Protocol (VoIP)</w:t>
      </w:r>
      <w:r w:rsidRPr="00A86993" w:rsidR="00FB1C55">
        <w:rPr>
          <w:szCs w:val="22"/>
        </w:rPr>
        <w:t>; (4)</w:t>
      </w:r>
      <w:r w:rsidRPr="00A86993" w:rsidR="00894382">
        <w:rPr>
          <w:szCs w:val="22"/>
        </w:rPr>
        <w:t xml:space="preserve"> Telecommunications Relay Services (TRS)</w:t>
      </w:r>
      <w:r w:rsidRPr="00A86993" w:rsidR="00FB1C55">
        <w:rPr>
          <w:szCs w:val="22"/>
        </w:rPr>
        <w:t>;</w:t>
      </w:r>
      <w:r w:rsidRPr="00A86993" w:rsidR="00894382">
        <w:rPr>
          <w:szCs w:val="22"/>
        </w:rPr>
        <w:t xml:space="preserve"> and </w:t>
      </w:r>
      <w:r w:rsidRPr="00A86993" w:rsidR="00FB1C55">
        <w:rPr>
          <w:szCs w:val="22"/>
        </w:rPr>
        <w:t xml:space="preserve">(5) </w:t>
      </w:r>
      <w:r w:rsidRPr="00A86993" w:rsidR="00894382">
        <w:rPr>
          <w:szCs w:val="22"/>
        </w:rPr>
        <w:t>mobile text.</w:t>
      </w:r>
      <w:r>
        <w:rPr>
          <w:rStyle w:val="FootnoteReference"/>
          <w:szCs w:val="22"/>
        </w:rPr>
        <w:footnoteReference w:id="4"/>
      </w:r>
      <w:r w:rsidRPr="00A86993" w:rsidR="00700D7B">
        <w:rPr>
          <w:szCs w:val="22"/>
        </w:rPr>
        <w:t xml:space="preserve">  </w:t>
      </w:r>
      <w:r w:rsidR="00E46288">
        <w:rPr>
          <w:szCs w:val="22"/>
        </w:rPr>
        <w:t xml:space="preserve">Specifically, </w:t>
      </w:r>
      <w:r w:rsidRPr="00A86993" w:rsidR="00BF16FD">
        <w:rPr>
          <w:szCs w:val="22"/>
        </w:rPr>
        <w:t xml:space="preserve">GTA seeks </w:t>
      </w:r>
      <w:r w:rsidR="002E5F63">
        <w:rPr>
          <w:szCs w:val="22"/>
        </w:rPr>
        <w:t xml:space="preserve">a </w:t>
      </w:r>
      <w:r w:rsidRPr="00A86993" w:rsidR="00BF16FD">
        <w:rPr>
          <w:szCs w:val="22"/>
        </w:rPr>
        <w:t xml:space="preserve">waiver to the extent that 911 automated </w:t>
      </w:r>
      <w:r w:rsidRPr="00A86993" w:rsidR="00EF1245">
        <w:rPr>
          <w:szCs w:val="22"/>
        </w:rPr>
        <w:t xml:space="preserve">dispatchable </w:t>
      </w:r>
      <w:r w:rsidRPr="00A86993" w:rsidR="00BF16FD">
        <w:rPr>
          <w:szCs w:val="22"/>
        </w:rPr>
        <w:t xml:space="preserve">location requirements apply </w:t>
      </w:r>
      <w:r w:rsidRPr="00A86993" w:rsidR="00DA2DC1">
        <w:rPr>
          <w:szCs w:val="22"/>
        </w:rPr>
        <w:t>to MLTS and the above-referenced service</w:t>
      </w:r>
      <w:r w:rsidR="002E5F63">
        <w:rPr>
          <w:szCs w:val="22"/>
        </w:rPr>
        <w:t xml:space="preserve">s </w:t>
      </w:r>
      <w:r w:rsidRPr="00A86993" w:rsidR="00EA0092">
        <w:rPr>
          <w:szCs w:val="22"/>
        </w:rPr>
        <w:t xml:space="preserve">in </w:t>
      </w:r>
      <w:r w:rsidR="002E5F63">
        <w:rPr>
          <w:szCs w:val="22"/>
        </w:rPr>
        <w:t>“</w:t>
      </w:r>
      <w:r w:rsidRPr="00A86993" w:rsidR="00EA0092">
        <w:rPr>
          <w:szCs w:val="22"/>
        </w:rPr>
        <w:t>insular U.S. territories</w:t>
      </w:r>
      <w:r w:rsidR="002E5F63">
        <w:rPr>
          <w:szCs w:val="22"/>
        </w:rPr>
        <w:t>”</w:t>
      </w:r>
      <w:r w:rsidRPr="00A86993" w:rsidR="00EA0092">
        <w:rPr>
          <w:szCs w:val="22"/>
        </w:rPr>
        <w:t xml:space="preserve"> where </w:t>
      </w:r>
      <w:r w:rsidR="002E5F63">
        <w:rPr>
          <w:szCs w:val="22"/>
        </w:rPr>
        <w:t>“single, official addresses do not exist</w:t>
      </w:r>
      <w:r w:rsidR="004049FF">
        <w:rPr>
          <w:szCs w:val="22"/>
        </w:rPr>
        <w:t>.</w:t>
      </w:r>
      <w:r w:rsidR="002E5F63">
        <w:rPr>
          <w:szCs w:val="22"/>
        </w:rPr>
        <w:t>”</w:t>
      </w:r>
      <w:r>
        <w:rPr>
          <w:rStyle w:val="FootnoteReference"/>
          <w:szCs w:val="22"/>
        </w:rPr>
        <w:footnoteReference w:id="5"/>
      </w:r>
      <w:r w:rsidRPr="00A86993" w:rsidR="004B6A85">
        <w:rPr>
          <w:szCs w:val="22"/>
        </w:rPr>
        <w:t xml:space="preserve">  </w:t>
      </w:r>
      <w:r w:rsidR="002E5F63">
        <w:rPr>
          <w:szCs w:val="22"/>
        </w:rPr>
        <w:t>GTA states that in certain municipal villages in Guam, there is no single, official address for some locations, and there is “general disagreement over street address information.”</w:t>
      </w:r>
      <w:r>
        <w:rPr>
          <w:rStyle w:val="FootnoteReference"/>
          <w:szCs w:val="22"/>
        </w:rPr>
        <w:footnoteReference w:id="6"/>
      </w:r>
      <w:r w:rsidR="002E5F63">
        <w:rPr>
          <w:szCs w:val="22"/>
        </w:rPr>
        <w:t xml:space="preserve">  </w:t>
      </w:r>
      <w:r w:rsidR="008E1CF3">
        <w:rPr>
          <w:szCs w:val="22"/>
        </w:rPr>
        <w:t>Consequently</w:t>
      </w:r>
      <w:r w:rsidR="002E5F63">
        <w:rPr>
          <w:szCs w:val="22"/>
        </w:rPr>
        <w:t>, GTA states, there is no single, official</w:t>
      </w:r>
      <w:r w:rsidR="0050595F">
        <w:rPr>
          <w:szCs w:val="22"/>
        </w:rPr>
        <w:t>,</w:t>
      </w:r>
      <w:r w:rsidR="002E5F63">
        <w:rPr>
          <w:szCs w:val="22"/>
        </w:rPr>
        <w:t xml:space="preserve"> and consistently recognized street </w:t>
      </w:r>
      <w:r w:rsidRPr="00CA7934" w:rsidR="002E5F63">
        <w:rPr>
          <w:szCs w:val="22"/>
        </w:rPr>
        <w:t xml:space="preserve">address database that can be used to validate </w:t>
      </w:r>
      <w:r w:rsidRPr="00CA7934" w:rsidR="0050595F">
        <w:rPr>
          <w:szCs w:val="22"/>
        </w:rPr>
        <w:t xml:space="preserve">an individual street address </w:t>
      </w:r>
      <w:r w:rsidRPr="00CA7934" w:rsidR="002E5F63">
        <w:rPr>
          <w:szCs w:val="22"/>
        </w:rPr>
        <w:t>in Guam.</w:t>
      </w:r>
      <w:r>
        <w:rPr>
          <w:rStyle w:val="FootnoteReference"/>
          <w:szCs w:val="22"/>
        </w:rPr>
        <w:footnoteReference w:id="7"/>
      </w:r>
      <w:r w:rsidRPr="00CA7934" w:rsidR="003461D6">
        <w:rPr>
          <w:szCs w:val="22"/>
        </w:rPr>
        <w:t xml:space="preserve"> </w:t>
      </w:r>
      <w:r w:rsidRPr="00CA7934" w:rsidR="002B644F">
        <w:rPr>
          <w:szCs w:val="22"/>
        </w:rPr>
        <w:t xml:space="preserve"> </w:t>
      </w:r>
      <w:r w:rsidRPr="00CA7934" w:rsidR="008A2ADD">
        <w:rPr>
          <w:szCs w:val="22"/>
        </w:rPr>
        <w:t>GTA a</w:t>
      </w:r>
      <w:r w:rsidRPr="00CA7934" w:rsidR="004049FF">
        <w:rPr>
          <w:szCs w:val="22"/>
        </w:rPr>
        <w:t>sserts</w:t>
      </w:r>
      <w:r w:rsidRPr="00CA7934" w:rsidR="008A2ADD">
        <w:rPr>
          <w:szCs w:val="22"/>
        </w:rPr>
        <w:t xml:space="preserve"> that granting</w:t>
      </w:r>
      <w:r w:rsidRPr="00CA7934" w:rsidR="009C61A5">
        <w:rPr>
          <w:szCs w:val="22"/>
        </w:rPr>
        <w:t xml:space="preserve"> a limited waiver would not undermine the</w:t>
      </w:r>
      <w:r w:rsidRPr="00CA7934" w:rsidR="00356943">
        <w:rPr>
          <w:szCs w:val="22"/>
        </w:rPr>
        <w:t xml:space="preserve"> Commission’s</w:t>
      </w:r>
      <w:r w:rsidRPr="00CA7934" w:rsidR="009C61A5">
        <w:rPr>
          <w:szCs w:val="22"/>
        </w:rPr>
        <w:t xml:space="preserve"> policy objective</w:t>
      </w:r>
      <w:r w:rsidRPr="00CA7934" w:rsidR="00356943">
        <w:rPr>
          <w:szCs w:val="22"/>
        </w:rPr>
        <w:t>s</w:t>
      </w:r>
      <w:r w:rsidRPr="00CA7934" w:rsidR="009C61A5">
        <w:rPr>
          <w:szCs w:val="22"/>
        </w:rPr>
        <w:t xml:space="preserve"> </w:t>
      </w:r>
      <w:r w:rsidRPr="00CA7934" w:rsidR="004049FF">
        <w:rPr>
          <w:szCs w:val="22"/>
        </w:rPr>
        <w:t>because</w:t>
      </w:r>
      <w:r w:rsidRPr="00CA7934" w:rsidR="009C61A5">
        <w:rPr>
          <w:szCs w:val="22"/>
        </w:rPr>
        <w:t xml:space="preserve"> GTA will </w:t>
      </w:r>
      <w:r w:rsidRPr="00CA7934" w:rsidR="001C1109">
        <w:rPr>
          <w:szCs w:val="22"/>
        </w:rPr>
        <w:t>continue to</w:t>
      </w:r>
      <w:r w:rsidRPr="00CA7934" w:rsidR="009C61A5">
        <w:rPr>
          <w:szCs w:val="22"/>
        </w:rPr>
        <w:t xml:space="preserve"> provid</w:t>
      </w:r>
      <w:r w:rsidRPr="00CA7934" w:rsidR="001C1109">
        <w:rPr>
          <w:szCs w:val="22"/>
        </w:rPr>
        <w:t>e</w:t>
      </w:r>
      <w:r w:rsidRPr="00CA7934" w:rsidR="009C61A5">
        <w:rPr>
          <w:szCs w:val="22"/>
        </w:rPr>
        <w:t xml:space="preserve"> the Guam P</w:t>
      </w:r>
      <w:r w:rsidRPr="00CA7934" w:rsidR="002A28D1">
        <w:rPr>
          <w:szCs w:val="22"/>
        </w:rPr>
        <w:t>ublic Safety Answering Point</w:t>
      </w:r>
      <w:r w:rsidRPr="00CA7934" w:rsidR="009C61A5">
        <w:rPr>
          <w:szCs w:val="22"/>
        </w:rPr>
        <w:t xml:space="preserve"> with an address with </w:t>
      </w:r>
      <w:r w:rsidRPr="00CA7934" w:rsidR="004049FF">
        <w:rPr>
          <w:szCs w:val="22"/>
        </w:rPr>
        <w:t>911 calls</w:t>
      </w:r>
      <w:r w:rsidRPr="00CA7934" w:rsidR="0050595F">
        <w:rPr>
          <w:szCs w:val="22"/>
        </w:rPr>
        <w:t>,</w:t>
      </w:r>
      <w:r w:rsidRPr="00CA7934" w:rsidR="009C61A5">
        <w:rPr>
          <w:szCs w:val="22"/>
        </w:rPr>
        <w:t xml:space="preserve"> thereby allowing first responders to locate and access whoever is in need as quickly as possible</w:t>
      </w:r>
      <w:r w:rsidRPr="00CA7934" w:rsidR="001F7355">
        <w:rPr>
          <w:szCs w:val="22"/>
        </w:rPr>
        <w:t>.</w:t>
      </w:r>
      <w:r>
        <w:rPr>
          <w:rStyle w:val="FootnoteReference"/>
          <w:szCs w:val="22"/>
        </w:rPr>
        <w:footnoteReference w:id="8"/>
      </w:r>
      <w:r w:rsidRPr="00CA7934" w:rsidR="0009682B">
        <w:rPr>
          <w:szCs w:val="22"/>
        </w:rPr>
        <w:t xml:space="preserve"> </w:t>
      </w:r>
      <w:r w:rsidRPr="00CA7934" w:rsidR="00EC4D7F">
        <w:rPr>
          <w:szCs w:val="22"/>
        </w:rPr>
        <w:t xml:space="preserve"> </w:t>
      </w:r>
      <w:r w:rsidRPr="006E267E" w:rsidR="00CA7934">
        <w:rPr>
          <w:szCs w:val="22"/>
        </w:rPr>
        <w:t>GTA states that it collects its address information from the resident customer and GTA “consistently updates its own street address database and provides the Guam PSAP with the updated street address information bi-weekly”</w:t>
      </w:r>
      <w:r>
        <w:rPr>
          <w:rStyle w:val="FootnoteReference"/>
          <w:szCs w:val="22"/>
        </w:rPr>
        <w:footnoteReference w:id="9"/>
      </w:r>
    </w:p>
    <w:p w:rsidR="005E2570" w:rsidRPr="00A86993" w14:paraId="553503B6" w14:textId="7B343BC8">
      <w:pPr>
        <w:spacing w:after="120"/>
        <w:ind w:firstLine="634"/>
        <w:rPr>
          <w:szCs w:val="22"/>
        </w:rPr>
      </w:pPr>
      <w:r w:rsidRPr="00A86993">
        <w:rPr>
          <w:szCs w:val="22"/>
        </w:rPr>
        <w:t xml:space="preserve">Pursuant to sections 1.415 and 1.419 of the Commission’s rules, 47 CFR §§ 1.415, 1.419, interested parties may file comments and reply comments on or before the dates indicated above.  </w:t>
      </w:r>
      <w:r w:rsidRPr="00A86993">
        <w:rPr>
          <w:szCs w:val="22"/>
        </w:rPr>
        <w:t>Comments may be filed using the Commission’s Electronic Comment Filing System (ECFS).  All comments must reference PS Docket No</w:t>
      </w:r>
      <w:r w:rsidRPr="00A86993" w:rsidR="00F66CA4">
        <w:rPr>
          <w:szCs w:val="22"/>
        </w:rPr>
        <w:t>s</w:t>
      </w:r>
      <w:r w:rsidRPr="00A86993">
        <w:rPr>
          <w:szCs w:val="22"/>
        </w:rPr>
        <w:t xml:space="preserve">. </w:t>
      </w:r>
      <w:r w:rsidRPr="00A86993" w:rsidR="00F66CA4">
        <w:rPr>
          <w:szCs w:val="22"/>
        </w:rPr>
        <w:t>18</w:t>
      </w:r>
      <w:r w:rsidRPr="00A86993">
        <w:rPr>
          <w:szCs w:val="22"/>
        </w:rPr>
        <w:t>-</w:t>
      </w:r>
      <w:r w:rsidRPr="00A86993" w:rsidR="00F66CA4">
        <w:rPr>
          <w:szCs w:val="22"/>
        </w:rPr>
        <w:t>261</w:t>
      </w:r>
      <w:r w:rsidRPr="00A86993" w:rsidR="00EF09B3">
        <w:rPr>
          <w:szCs w:val="22"/>
        </w:rPr>
        <w:t xml:space="preserve"> and 17-239 and GN Docket No. 11-117</w:t>
      </w:r>
      <w:r w:rsidRPr="00A86993">
        <w:rPr>
          <w:szCs w:val="22"/>
        </w:rPr>
        <w:t>.</w:t>
      </w:r>
      <w:r>
        <w:rPr>
          <w:rStyle w:val="FootnoteReference"/>
          <w:szCs w:val="22"/>
        </w:rPr>
        <w:footnoteReference w:id="10"/>
      </w:r>
      <w:r w:rsidRPr="00A86993">
        <w:rPr>
          <w:szCs w:val="22"/>
        </w:rPr>
        <w:t xml:space="preserve">  </w:t>
      </w:r>
    </w:p>
    <w:p w:rsidR="004C72D4" w:rsidRPr="00A86993" w:rsidP="00C53E71" w14:paraId="071A8F81" w14:textId="277826D8">
      <w:pPr>
        <w:numPr>
          <w:ilvl w:val="0"/>
          <w:numId w:val="33"/>
        </w:numPr>
        <w:spacing w:after="120"/>
        <w:rPr>
          <w:szCs w:val="22"/>
        </w:rPr>
      </w:pPr>
      <w:r w:rsidRPr="00A86993">
        <w:rPr>
          <w:szCs w:val="22"/>
        </w:rPr>
        <w:t xml:space="preserve">Electronic Filers: Comments may be filed electronically using the Internet by accessing the ECFS: </w:t>
      </w:r>
      <w:hyperlink r:id="rId7" w:history="1">
        <w:r w:rsidRPr="00A86993" w:rsidR="00545409">
          <w:rPr>
            <w:rStyle w:val="Hyperlink"/>
            <w:szCs w:val="22"/>
          </w:rPr>
          <w:t>http://apps.fcc.gov/ecfs/</w:t>
        </w:r>
      </w:hyperlink>
      <w:r w:rsidRPr="00A86993">
        <w:rPr>
          <w:szCs w:val="22"/>
        </w:rPr>
        <w:t>.</w:t>
      </w:r>
      <w:r w:rsidRPr="00A86993" w:rsidR="00545409">
        <w:rPr>
          <w:szCs w:val="22"/>
        </w:rPr>
        <w:t xml:space="preserve"> </w:t>
      </w:r>
      <w:r w:rsidRPr="00A86993">
        <w:rPr>
          <w:szCs w:val="22"/>
        </w:rPr>
        <w:t xml:space="preserve"> </w:t>
      </w:r>
    </w:p>
    <w:p w:rsidR="004C72D4" w:rsidRPr="00A86993" w:rsidP="00C53E71" w14:paraId="661F16FC" w14:textId="77777777">
      <w:pPr>
        <w:numPr>
          <w:ilvl w:val="0"/>
          <w:numId w:val="33"/>
        </w:numPr>
        <w:spacing w:after="120"/>
        <w:rPr>
          <w:szCs w:val="22"/>
        </w:rPr>
      </w:pPr>
      <w:r w:rsidRPr="00A86993">
        <w:rPr>
          <w:szCs w:val="22"/>
        </w:rPr>
        <w:t>Paper Filers: Parties who choose to file by paper must file an original and one copy of each filing.</w:t>
      </w:r>
    </w:p>
    <w:p w:rsidR="004C72D4" w:rsidRPr="00A86993" w:rsidP="00064191" w14:paraId="3C24968E" w14:textId="22E0B379">
      <w:pPr>
        <w:numPr>
          <w:ilvl w:val="0"/>
          <w:numId w:val="33"/>
        </w:numPr>
        <w:spacing w:after="120"/>
        <w:rPr>
          <w:szCs w:val="22"/>
        </w:rPr>
      </w:pPr>
      <w:r w:rsidRPr="00A86993">
        <w:rPr>
          <w:szCs w:val="22"/>
        </w:rPr>
        <w:t xml:space="preserve">Filings can be sent by commercial overnight courier, or by first-class or overnight U.S. Postal Service mail. </w:t>
      </w:r>
      <w:r w:rsidR="004049FF">
        <w:rPr>
          <w:szCs w:val="22"/>
        </w:rPr>
        <w:t xml:space="preserve"> </w:t>
      </w:r>
      <w:r w:rsidRPr="00A86993">
        <w:rPr>
          <w:szCs w:val="22"/>
        </w:rPr>
        <w:t>All filings must be addressed to the Commission’s Secretary, Office of the Secretary, Federal Communications Commission.</w:t>
      </w:r>
    </w:p>
    <w:p w:rsidR="004C72D4" w:rsidRPr="00A86993" w:rsidP="00064191" w14:paraId="67027719" w14:textId="79C3ACCA">
      <w:pPr>
        <w:numPr>
          <w:ilvl w:val="0"/>
          <w:numId w:val="33"/>
        </w:numPr>
        <w:spacing w:after="120"/>
        <w:rPr>
          <w:szCs w:val="22"/>
        </w:rPr>
      </w:pPr>
      <w:r w:rsidRPr="00A86993">
        <w:rPr>
          <w:szCs w:val="22"/>
        </w:rPr>
        <w:t>Commercial overnight mail (other than U.S. Postal Service Express Mail and Priority Mail) must be sent to 9050 Junction Drive, Annapolis Junction, MD 20701.</w:t>
      </w:r>
    </w:p>
    <w:p w:rsidR="00C53E71" w:rsidRPr="00A86993" w:rsidP="00064191" w14:paraId="77F0CB5B" w14:textId="750F813F">
      <w:pPr>
        <w:numPr>
          <w:ilvl w:val="0"/>
          <w:numId w:val="33"/>
        </w:numPr>
        <w:spacing w:after="120"/>
        <w:rPr>
          <w:szCs w:val="22"/>
        </w:rPr>
      </w:pPr>
      <w:r w:rsidRPr="00A86993">
        <w:rPr>
          <w:szCs w:val="22"/>
        </w:rPr>
        <w:t>U.S.</w:t>
      </w:r>
      <w:r>
        <w:rPr>
          <w:szCs w:val="22"/>
        </w:rPr>
        <w:t xml:space="preserve"> </w:t>
      </w:r>
      <w:r w:rsidRPr="00A86993">
        <w:rPr>
          <w:szCs w:val="22"/>
        </w:rPr>
        <w:t>Postal Service first-class, Express, and Priority mail must be addressed to 445 12th Street, SW, Washington DC 20554.</w:t>
      </w:r>
    </w:p>
    <w:p w:rsidR="00082252" w:rsidRPr="00A86993" w:rsidP="00064191" w14:paraId="1B29DB0A" w14:textId="49EB5259">
      <w:pPr>
        <w:numPr>
          <w:ilvl w:val="0"/>
          <w:numId w:val="33"/>
        </w:numPr>
        <w:spacing w:after="120"/>
        <w:rPr>
          <w:szCs w:val="22"/>
        </w:rPr>
      </w:pPr>
      <w:r w:rsidRPr="00A86993">
        <w:rPr>
          <w:szCs w:val="22"/>
        </w:rPr>
        <w:t xml:space="preserve">Effective March 19, 2020, and until further notice, the Commission no longer accepts any hand or messenger delivered filings. </w:t>
      </w:r>
      <w:r w:rsidR="004049FF">
        <w:rPr>
          <w:szCs w:val="22"/>
        </w:rPr>
        <w:t xml:space="preserve"> </w:t>
      </w:r>
      <w:r w:rsidRPr="00A86993">
        <w:rPr>
          <w:szCs w:val="22"/>
        </w:rPr>
        <w:t>This is a temporary measure taken to help protect the health and safety of individuals, and to mitigate the transmission of COVID-19.</w:t>
      </w:r>
      <w:r>
        <w:rPr>
          <w:rStyle w:val="FootnoteReference"/>
          <w:szCs w:val="22"/>
        </w:rPr>
        <w:footnoteReference w:id="11"/>
      </w:r>
      <w:r w:rsidR="006C5CB7">
        <w:rPr>
          <w:szCs w:val="22"/>
        </w:rPr>
        <w:t xml:space="preserve">  </w:t>
      </w:r>
    </w:p>
    <w:p w:rsidR="00FF6A89" w:rsidRPr="00A86993" w:rsidP="00064191" w14:paraId="231184C6" w14:textId="77777777">
      <w:pPr>
        <w:numPr>
          <w:ilvl w:val="0"/>
          <w:numId w:val="33"/>
        </w:numPr>
        <w:spacing w:after="120"/>
        <w:rPr>
          <w:szCs w:val="22"/>
        </w:rPr>
      </w:pPr>
      <w:r w:rsidRPr="00A86993">
        <w:rPr>
          <w:szCs w:val="22"/>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082252" w:rsidRPr="00A86993" w:rsidP="00C53E71" w14:paraId="302E7044" w14:textId="721F69F5">
      <w:pPr>
        <w:numPr>
          <w:ilvl w:val="0"/>
          <w:numId w:val="33"/>
        </w:numPr>
        <w:spacing w:after="120"/>
        <w:rPr>
          <w:szCs w:val="22"/>
        </w:rPr>
      </w:pPr>
      <w:r w:rsidRPr="00A86993">
        <w:rPr>
          <w:szCs w:val="22"/>
        </w:rPr>
        <w:t>People with Disabilities: To request materials in accessible formats for people with disabilities (Braille, large print, electronic files, audio format), send an e-mail to fcc504@fcc.gov or call the Consumer and Governmental Affairs Bureau at (202) 418-0530 (voice), (202) 418-0432 (</w:t>
      </w:r>
      <w:r w:rsidRPr="00A86993">
        <w:rPr>
          <w:szCs w:val="22"/>
        </w:rPr>
        <w:t>tty</w:t>
      </w:r>
      <w:r w:rsidRPr="00A86993">
        <w:rPr>
          <w:szCs w:val="22"/>
        </w:rPr>
        <w:t>)</w:t>
      </w:r>
      <w:r w:rsidRPr="00A86993" w:rsidR="00FF6A89">
        <w:rPr>
          <w:szCs w:val="22"/>
        </w:rPr>
        <w:t>.</w:t>
      </w:r>
    </w:p>
    <w:p w:rsidR="005E2570" w:rsidRPr="00A86993" w14:paraId="0D2ABB91" w14:textId="46F199C2">
      <w:pPr>
        <w:tabs>
          <w:tab w:val="left" w:pos="720"/>
        </w:tabs>
        <w:spacing w:after="120"/>
        <w:rPr>
          <w:szCs w:val="22"/>
        </w:rPr>
      </w:pPr>
      <w:r w:rsidRPr="00A86993">
        <w:rPr>
          <w:szCs w:val="22"/>
        </w:rPr>
        <w:tab/>
      </w:r>
      <w:r w:rsidRPr="00A86993" w:rsidR="00AE72C3">
        <w:rPr>
          <w:i/>
          <w:iCs/>
          <w:szCs w:val="22"/>
        </w:rPr>
        <w:t>Ex Parte Rules</w:t>
      </w:r>
      <w:r w:rsidRPr="00A86993" w:rsidR="00AE72C3">
        <w:rPr>
          <w:szCs w:val="22"/>
        </w:rPr>
        <w:t xml:space="preserve">.  </w:t>
      </w:r>
      <w:r w:rsidRPr="00A86993">
        <w:rPr>
          <w:szCs w:val="22"/>
        </w:rPr>
        <w:t xml:space="preserve">The proceeding this petition initiates shall be treated as a “permit-but-disclose” proceeding in accordance with the Commission’s </w:t>
      </w:r>
      <w:r w:rsidRPr="00A86993">
        <w:rPr>
          <w:i/>
          <w:iCs/>
          <w:szCs w:val="22"/>
        </w:rPr>
        <w:t xml:space="preserve">ex parte </w:t>
      </w:r>
      <w:r w:rsidRPr="00A86993">
        <w:rPr>
          <w:szCs w:val="22"/>
        </w:rPr>
        <w:t>rules.</w:t>
      </w:r>
      <w:r>
        <w:rPr>
          <w:rStyle w:val="FootnoteReference"/>
          <w:szCs w:val="22"/>
        </w:rPr>
        <w:footnoteReference w:id="12"/>
      </w:r>
      <w:r w:rsidRPr="00A86993">
        <w:rPr>
          <w:szCs w:val="22"/>
        </w:rPr>
        <w:t xml:space="preserve">  Persons making </w:t>
      </w:r>
      <w:r w:rsidRPr="00A86993">
        <w:rPr>
          <w:i/>
          <w:szCs w:val="22"/>
        </w:rPr>
        <w:t xml:space="preserve">ex parte </w:t>
      </w:r>
      <w:r w:rsidRPr="00A86993">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A86993">
        <w:rPr>
          <w:i/>
          <w:iCs/>
          <w:szCs w:val="22"/>
        </w:rPr>
        <w:t xml:space="preserve">ex parte </w:t>
      </w:r>
      <w:r w:rsidRPr="00A86993">
        <w:rPr>
          <w:szCs w:val="22"/>
        </w:rPr>
        <w:t xml:space="preserve">presentations are reminded that memoranda summarizing the presentation must (1) list all persons attending or otherwise participating in the meeting at which the </w:t>
      </w:r>
      <w:r w:rsidRPr="00A86993">
        <w:rPr>
          <w:i/>
          <w:iCs/>
          <w:szCs w:val="22"/>
        </w:rPr>
        <w:t xml:space="preserve">ex parte </w:t>
      </w:r>
      <w:r w:rsidRPr="00A86993">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86993">
        <w:rPr>
          <w:i/>
          <w:iCs/>
          <w:szCs w:val="22"/>
        </w:rPr>
        <w:t xml:space="preserve">ex parte </w:t>
      </w:r>
      <w:r w:rsidRPr="00A86993">
        <w:rPr>
          <w:szCs w:val="22"/>
        </w:rPr>
        <w:t xml:space="preserve">meetings are deemed to be written </w:t>
      </w:r>
      <w:r w:rsidRPr="00A86993">
        <w:rPr>
          <w:i/>
          <w:iCs/>
          <w:szCs w:val="22"/>
        </w:rPr>
        <w:t>ex parte</w:t>
      </w:r>
      <w:r w:rsidRPr="00A86993">
        <w:rPr>
          <w:szCs w:val="22"/>
        </w:rPr>
        <w:t xml:space="preserve"> presentations and must be filed consistent with rule 1.1206(b).  In proceedings governed by rule 1.49(f) or for which the Commission has made available a method of electronic filing, written </w:t>
      </w:r>
      <w:r w:rsidRPr="00A86993">
        <w:rPr>
          <w:i/>
          <w:iCs/>
          <w:szCs w:val="22"/>
        </w:rPr>
        <w:t xml:space="preserve">ex parte </w:t>
      </w:r>
      <w:r w:rsidRPr="00A86993">
        <w:rPr>
          <w:szCs w:val="22"/>
        </w:rPr>
        <w:t xml:space="preserve">presentations and memoranda summarizing </w:t>
      </w:r>
      <w:r w:rsidRPr="00A86993">
        <w:rPr>
          <w:szCs w:val="22"/>
        </w:rPr>
        <w:t xml:space="preserve">oral </w:t>
      </w:r>
      <w:r w:rsidRPr="00A86993">
        <w:rPr>
          <w:i/>
          <w:iCs/>
          <w:szCs w:val="22"/>
        </w:rPr>
        <w:t xml:space="preserve">ex parte </w:t>
      </w:r>
      <w:r w:rsidRPr="00A86993">
        <w:rPr>
          <w:szCs w:val="22"/>
        </w:rPr>
        <w:t>presentations, and all attachments thereto, must be filed through the electronic comment filing system available for that proceeding, and must be filed in their native format (</w:t>
      </w:r>
      <w:r w:rsidRPr="00A86993">
        <w:rPr>
          <w:i/>
          <w:iCs/>
          <w:szCs w:val="22"/>
        </w:rPr>
        <w:t>e.g.</w:t>
      </w:r>
      <w:r w:rsidRPr="00A86993">
        <w:rPr>
          <w:szCs w:val="22"/>
        </w:rPr>
        <w:t xml:space="preserve">, .doc, .xml, .ppt, searchable .pdf).  Participants in this proceeding should familiarize themselves with the Commission’s </w:t>
      </w:r>
      <w:r w:rsidRPr="00A86993">
        <w:rPr>
          <w:i/>
          <w:iCs/>
          <w:szCs w:val="22"/>
        </w:rPr>
        <w:t xml:space="preserve">ex parte </w:t>
      </w:r>
      <w:r w:rsidRPr="00A86993">
        <w:rPr>
          <w:szCs w:val="22"/>
        </w:rPr>
        <w:t>rules</w:t>
      </w:r>
      <w:r w:rsidRPr="00A86993" w:rsidR="00AF3D4A">
        <w:rPr>
          <w:szCs w:val="22"/>
        </w:rPr>
        <w:t>.</w:t>
      </w:r>
    </w:p>
    <w:p w:rsidR="00017DC7" w:rsidRPr="00A86993" w:rsidP="00AF3D4A" w14:paraId="1DD91FA1" w14:textId="51E9B0DB">
      <w:pPr>
        <w:spacing w:after="120"/>
        <w:ind w:firstLine="720"/>
        <w:rPr>
          <w:szCs w:val="22"/>
        </w:rPr>
      </w:pPr>
      <w:r w:rsidRPr="00A86993">
        <w:rPr>
          <w:i/>
          <w:iCs/>
          <w:szCs w:val="22"/>
        </w:rPr>
        <w:t>Additional Information</w:t>
      </w:r>
      <w:r w:rsidRPr="00A86993">
        <w:rPr>
          <w:szCs w:val="22"/>
        </w:rPr>
        <w:t xml:space="preserve">.  </w:t>
      </w:r>
      <w:r w:rsidRPr="00A86993" w:rsidR="00AF3D4A">
        <w:rPr>
          <w:szCs w:val="22"/>
        </w:rPr>
        <w:t xml:space="preserve">For further information regarding this Notice, please contact </w:t>
      </w:r>
      <w:r w:rsidRPr="00A86993">
        <w:rPr>
          <w:szCs w:val="22"/>
        </w:rPr>
        <w:t>John A. Evanoff</w:t>
      </w:r>
      <w:r w:rsidRPr="00A86993" w:rsidR="00AF3D4A">
        <w:rPr>
          <w:szCs w:val="22"/>
        </w:rPr>
        <w:t xml:space="preserve">, </w:t>
      </w:r>
      <w:r w:rsidRPr="00A86993">
        <w:rPr>
          <w:szCs w:val="22"/>
        </w:rPr>
        <w:t>Deputy Chief, Policy and Licensing Division</w:t>
      </w:r>
      <w:r w:rsidRPr="00A86993" w:rsidR="00AF3D4A">
        <w:rPr>
          <w:szCs w:val="22"/>
        </w:rPr>
        <w:t xml:space="preserve">, </w:t>
      </w:r>
      <w:r w:rsidRPr="00A86993">
        <w:rPr>
          <w:szCs w:val="22"/>
        </w:rPr>
        <w:t>Public Safety and Homeland Security</w:t>
      </w:r>
      <w:r w:rsidRPr="00A86993" w:rsidR="00AF3D4A">
        <w:rPr>
          <w:szCs w:val="22"/>
        </w:rPr>
        <w:t xml:space="preserve"> Bureau, </w:t>
      </w:r>
      <w:r w:rsidR="00CA7934">
        <w:rPr>
          <w:szCs w:val="22"/>
        </w:rPr>
        <w:t xml:space="preserve">202-391-9017 </w:t>
      </w:r>
      <w:r w:rsidRPr="00A86993" w:rsidR="00AF3D4A">
        <w:rPr>
          <w:szCs w:val="22"/>
        </w:rPr>
        <w:t xml:space="preserve">or by email to </w:t>
      </w:r>
      <w:hyperlink r:id="rId8" w:history="1">
        <w:r w:rsidRPr="00A86993">
          <w:rPr>
            <w:rStyle w:val="Hyperlink"/>
            <w:szCs w:val="22"/>
          </w:rPr>
          <w:t>John.Evanoff@fcc.gov</w:t>
        </w:r>
      </w:hyperlink>
      <w:r w:rsidRPr="00A86993" w:rsidR="00AF3D4A">
        <w:rPr>
          <w:szCs w:val="22"/>
        </w:rPr>
        <w:t>.</w:t>
      </w:r>
      <w:r w:rsidRPr="00A86993">
        <w:rPr>
          <w:szCs w:val="22"/>
        </w:rPr>
        <w:t xml:space="preserve"> </w:t>
      </w:r>
      <w:r w:rsidRPr="00A86993" w:rsidR="00AF3D4A">
        <w:rPr>
          <w:szCs w:val="22"/>
        </w:rPr>
        <w:t xml:space="preserve"> </w:t>
      </w:r>
      <w:r w:rsidRPr="00A86993">
        <w:rPr>
          <w:szCs w:val="22"/>
        </w:rPr>
        <w:t xml:space="preserve"> </w:t>
      </w:r>
    </w:p>
    <w:p w:rsidR="00AE72C3" w:rsidRPr="00A86993" w:rsidP="00AE72C3" w14:paraId="068294BC" w14:textId="7D2059CB">
      <w:pPr>
        <w:spacing w:after="120"/>
        <w:jc w:val="center"/>
        <w:rPr>
          <w:b/>
          <w:bCs/>
          <w:szCs w:val="22"/>
        </w:rPr>
      </w:pPr>
      <w:r w:rsidRPr="00A86993">
        <w:rPr>
          <w:b/>
          <w:bCs/>
          <w:szCs w:val="22"/>
        </w:rPr>
        <w:t>– FCC–</w:t>
      </w:r>
    </w:p>
    <w:sectPr>
      <w:type w:val="continuous"/>
      <w:pgSz w:w="12240" w:h="15840" w:code="1"/>
      <w:pgMar w:top="1440" w:right="1440" w:bottom="1440" w:left="1440" w:header="1440" w:footer="144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altName w:val="Tahoma Bold"/>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570" w14:paraId="440D86A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903CC" w14:paraId="56137C7E" w14:textId="77777777">
      <w:r>
        <w:separator/>
      </w:r>
    </w:p>
  </w:footnote>
  <w:footnote w:type="continuationSeparator" w:id="1">
    <w:p w:rsidR="005903CC" w14:paraId="2A50A0A9" w14:textId="77777777">
      <w:r>
        <w:continuationSeparator/>
      </w:r>
    </w:p>
  </w:footnote>
  <w:footnote w:type="continuationNotice" w:id="2">
    <w:p w:rsidR="005903CC" w14:paraId="415AB09E" w14:textId="77777777"/>
  </w:footnote>
  <w:footnote w:id="3">
    <w:p w:rsidR="00FC7D75" w:rsidRPr="00674051" w:rsidP="00FC7D75" w14:paraId="412B9FF8" w14:textId="5DC6098D">
      <w:pPr>
        <w:spacing w:after="120"/>
        <w:rPr>
          <w:sz w:val="20"/>
        </w:rPr>
      </w:pPr>
      <w:r w:rsidRPr="00674051">
        <w:rPr>
          <w:rStyle w:val="FootnoteReference"/>
          <w:sz w:val="20"/>
        </w:rPr>
        <w:footnoteRef/>
      </w:r>
      <w:r w:rsidRPr="00674051">
        <w:rPr>
          <w:sz w:val="20"/>
        </w:rPr>
        <w:t xml:space="preserve"> </w:t>
      </w:r>
      <w:r>
        <w:rPr>
          <w:sz w:val="20"/>
        </w:rPr>
        <w:t xml:space="preserve">Petition of GTA for Waiver, </w:t>
      </w:r>
      <w:r w:rsidRPr="00674051">
        <w:rPr>
          <w:sz w:val="20"/>
        </w:rPr>
        <w:t>PS Docket Nos. 18-261 and 17-239; GN Docket No. 11-117 (filed June 12, 2020)</w:t>
      </w:r>
      <w:r>
        <w:rPr>
          <w:sz w:val="20"/>
        </w:rPr>
        <w:t xml:space="preserve">, </w:t>
      </w:r>
      <w:hyperlink r:id="rId1" w:history="1">
        <w:r w:rsidRPr="002E5F63">
          <w:rPr>
            <w:rStyle w:val="Hyperlink"/>
            <w:sz w:val="20"/>
          </w:rPr>
          <w:t>https://ecfsapi.fcc.gov/file/1061297232821/Final%20GTA%20Kari's%20Law%20Waiver.pdf</w:t>
        </w:r>
      </w:hyperlink>
      <w:r w:rsidRPr="002E5F63">
        <w:rPr>
          <w:sz w:val="20"/>
        </w:rPr>
        <w:t xml:space="preserve"> (Petition).</w:t>
      </w:r>
      <w:r w:rsidRPr="00674051">
        <w:rPr>
          <w:b/>
          <w:sz w:val="20"/>
        </w:rPr>
        <w:t xml:space="preserve"> </w:t>
      </w:r>
    </w:p>
  </w:footnote>
  <w:footnote w:id="4">
    <w:p w:rsidR="00FC7D75" w:rsidRPr="009F2C61" w14:paraId="1409F778" w14:textId="5CCC45F9">
      <w:pPr>
        <w:pStyle w:val="FootnoteText"/>
        <w:rPr>
          <w:sz w:val="20"/>
        </w:rPr>
      </w:pPr>
      <w:r w:rsidRPr="009F2C61">
        <w:rPr>
          <w:rStyle w:val="FootnoteReference"/>
          <w:sz w:val="20"/>
        </w:rPr>
        <w:footnoteRef/>
      </w:r>
      <w:r w:rsidRPr="009F2C61">
        <w:rPr>
          <w:sz w:val="20"/>
        </w:rPr>
        <w:t xml:space="preserve"> </w:t>
      </w:r>
      <w:r w:rsidRPr="009F2C61">
        <w:rPr>
          <w:i/>
          <w:iCs/>
          <w:sz w:val="20"/>
        </w:rPr>
        <w:t>Id.</w:t>
      </w:r>
      <w:r w:rsidRPr="009F2C61">
        <w:rPr>
          <w:sz w:val="20"/>
        </w:rPr>
        <w:t xml:space="preserve"> at 1.</w:t>
      </w:r>
    </w:p>
  </w:footnote>
  <w:footnote w:id="5">
    <w:p w:rsidR="004B6A85" w:rsidRPr="002E5F63" w14:paraId="67703D53" w14:textId="542E784C">
      <w:pPr>
        <w:pStyle w:val="FootnoteText"/>
        <w:rPr>
          <w:sz w:val="20"/>
        </w:rPr>
      </w:pPr>
      <w:r w:rsidRPr="002E5F63">
        <w:rPr>
          <w:rStyle w:val="FootnoteReference"/>
          <w:sz w:val="20"/>
        </w:rPr>
        <w:footnoteRef/>
      </w:r>
      <w:r w:rsidRPr="002E5F63">
        <w:rPr>
          <w:sz w:val="20"/>
        </w:rPr>
        <w:t xml:space="preserve"> </w:t>
      </w:r>
      <w:r w:rsidRPr="002E5F63" w:rsidR="00DA2DC1">
        <w:rPr>
          <w:i/>
          <w:iCs/>
          <w:sz w:val="20"/>
        </w:rPr>
        <w:t>Id</w:t>
      </w:r>
      <w:r w:rsidRPr="002E5F63" w:rsidR="00DA2DC1">
        <w:rPr>
          <w:sz w:val="20"/>
        </w:rPr>
        <w:t>. at 2.</w:t>
      </w:r>
    </w:p>
  </w:footnote>
  <w:footnote w:id="6">
    <w:p w:rsidR="002E5F63" w:rsidRPr="002E5F63" w14:paraId="71EF0B99" w14:textId="70868C9F">
      <w:pPr>
        <w:pStyle w:val="FootnoteText"/>
        <w:rPr>
          <w:sz w:val="20"/>
        </w:rPr>
      </w:pPr>
      <w:r w:rsidRPr="002E5F63">
        <w:rPr>
          <w:rStyle w:val="FootnoteReference"/>
          <w:sz w:val="20"/>
        </w:rPr>
        <w:footnoteRef/>
      </w:r>
      <w:r w:rsidRPr="002E5F63">
        <w:rPr>
          <w:sz w:val="20"/>
        </w:rPr>
        <w:t xml:space="preserve"> </w:t>
      </w:r>
      <w:r w:rsidRPr="002E5F63">
        <w:rPr>
          <w:i/>
          <w:iCs/>
          <w:sz w:val="20"/>
        </w:rPr>
        <w:t>Id.</w:t>
      </w:r>
      <w:r w:rsidRPr="002E5F63">
        <w:rPr>
          <w:sz w:val="20"/>
        </w:rPr>
        <w:t xml:space="preserve"> at 3.</w:t>
      </w:r>
    </w:p>
  </w:footnote>
  <w:footnote w:id="7">
    <w:p w:rsidR="00EC4D7F" w:rsidRPr="00674051" w:rsidP="00EC4D7F" w14:paraId="7C6C68D2" w14:textId="157DB573">
      <w:pPr>
        <w:pStyle w:val="FootnoteText"/>
        <w:rPr>
          <w:sz w:val="20"/>
        </w:rPr>
      </w:pPr>
      <w:r w:rsidRPr="00674051">
        <w:rPr>
          <w:rStyle w:val="FootnoteReference"/>
          <w:sz w:val="20"/>
        </w:rPr>
        <w:footnoteRef/>
      </w:r>
      <w:r w:rsidRPr="00674051">
        <w:rPr>
          <w:sz w:val="20"/>
        </w:rPr>
        <w:t xml:space="preserve"> </w:t>
      </w:r>
      <w:r w:rsidRPr="00674051">
        <w:rPr>
          <w:i/>
          <w:sz w:val="20"/>
        </w:rPr>
        <w:t>Id</w:t>
      </w:r>
      <w:r w:rsidRPr="00674051">
        <w:rPr>
          <w:sz w:val="20"/>
        </w:rPr>
        <w:t xml:space="preserve">. </w:t>
      </w:r>
    </w:p>
  </w:footnote>
  <w:footnote w:id="8">
    <w:p w:rsidR="001F7355" w:rsidRPr="00CA7934" w14:paraId="51776376" w14:textId="05B1641D">
      <w:pPr>
        <w:pStyle w:val="FootnoteText"/>
        <w:rPr>
          <w:sz w:val="20"/>
        </w:rPr>
      </w:pPr>
      <w:r w:rsidRPr="00CA7934">
        <w:rPr>
          <w:rStyle w:val="FootnoteReference"/>
          <w:sz w:val="20"/>
        </w:rPr>
        <w:footnoteRef/>
      </w:r>
      <w:r w:rsidRPr="00CA7934">
        <w:rPr>
          <w:sz w:val="20"/>
        </w:rPr>
        <w:t xml:space="preserve"> </w:t>
      </w:r>
      <w:r w:rsidRPr="00CA7934">
        <w:rPr>
          <w:i/>
          <w:iCs/>
          <w:sz w:val="20"/>
        </w:rPr>
        <w:t xml:space="preserve">Id. </w:t>
      </w:r>
      <w:r w:rsidRPr="00CA7934">
        <w:rPr>
          <w:sz w:val="20"/>
        </w:rPr>
        <w:t>at</w:t>
      </w:r>
      <w:r w:rsidRPr="00CA7934" w:rsidR="008E7DF4">
        <w:rPr>
          <w:sz w:val="20"/>
        </w:rPr>
        <w:t xml:space="preserve"> </w:t>
      </w:r>
      <w:r w:rsidRPr="00CA7934" w:rsidR="008A2ADD">
        <w:rPr>
          <w:sz w:val="20"/>
        </w:rPr>
        <w:t>6.</w:t>
      </w:r>
      <w:r w:rsidRPr="00CA7934" w:rsidR="00CA7934">
        <w:rPr>
          <w:sz w:val="20"/>
        </w:rPr>
        <w:t xml:space="preserve">  </w:t>
      </w:r>
    </w:p>
  </w:footnote>
  <w:footnote w:id="9">
    <w:p w:rsidR="00CA7934" w14:paraId="3DDD1921" w14:textId="24448833">
      <w:pPr>
        <w:pStyle w:val="FootnoteText"/>
      </w:pPr>
      <w:r w:rsidRPr="00CA7934">
        <w:rPr>
          <w:rStyle w:val="FootnoteReference"/>
          <w:sz w:val="20"/>
        </w:rPr>
        <w:footnoteRef/>
      </w:r>
      <w:r w:rsidRPr="00CA7934">
        <w:rPr>
          <w:sz w:val="20"/>
        </w:rPr>
        <w:t xml:space="preserve"> </w:t>
      </w:r>
      <w:r w:rsidRPr="00CA7934">
        <w:rPr>
          <w:i/>
          <w:iCs/>
          <w:sz w:val="20"/>
        </w:rPr>
        <w:t>Id</w:t>
      </w:r>
      <w:r w:rsidRPr="00CA7934">
        <w:rPr>
          <w:sz w:val="20"/>
        </w:rPr>
        <w:t>. at 7.</w:t>
      </w:r>
    </w:p>
  </w:footnote>
  <w:footnote w:id="10">
    <w:p w:rsidR="001B051C" w:rsidRPr="00B52082" w14:paraId="36AF45DD" w14:textId="049A0815">
      <w:pPr>
        <w:pStyle w:val="FootnoteText"/>
        <w:rPr>
          <w:sz w:val="20"/>
        </w:rPr>
      </w:pPr>
      <w:r w:rsidRPr="00B52082">
        <w:rPr>
          <w:rStyle w:val="FootnoteReference"/>
          <w:sz w:val="20"/>
        </w:rPr>
        <w:footnoteRef/>
      </w:r>
      <w:r w:rsidRPr="00B52082">
        <w:rPr>
          <w:sz w:val="20"/>
        </w:rPr>
        <w:t xml:space="preserve"> </w:t>
      </w:r>
      <w:r w:rsidRPr="00B52082">
        <w:rPr>
          <w:i/>
          <w:sz w:val="20"/>
        </w:rPr>
        <w:t>See Electronic Filing of Documents in Rulemaking Proceedings</w:t>
      </w:r>
      <w:r w:rsidRPr="00B52082">
        <w:rPr>
          <w:sz w:val="20"/>
        </w:rPr>
        <w:t>, 63 FR 24121 (1998).</w:t>
      </w:r>
    </w:p>
  </w:footnote>
  <w:footnote w:id="11">
    <w:p w:rsidR="006C14CA" w:rsidRPr="00B52082" w14:paraId="067987F7" w14:textId="6E22A968">
      <w:pPr>
        <w:pStyle w:val="FootnoteText"/>
        <w:rPr>
          <w:sz w:val="20"/>
        </w:rPr>
      </w:pPr>
      <w:r w:rsidRPr="00B52082">
        <w:rPr>
          <w:rStyle w:val="FootnoteReference"/>
          <w:sz w:val="20"/>
        </w:rPr>
        <w:footnoteRef/>
      </w:r>
      <w:r w:rsidRPr="00B52082">
        <w:rPr>
          <w:sz w:val="20"/>
        </w:rPr>
        <w:t xml:space="preserve"> </w:t>
      </w:r>
      <w:r w:rsidRPr="00B52082">
        <w:rPr>
          <w:i/>
          <w:iCs/>
          <w:sz w:val="20"/>
        </w:rPr>
        <w:t>See FCC Announces Closure of FCC Headquarters Open Window and Change in Hand-Delivery Policy</w:t>
      </w:r>
      <w:r w:rsidRPr="00B52082">
        <w:rPr>
          <w:sz w:val="20"/>
        </w:rPr>
        <w:t xml:space="preserve">, Public Notice, DA 20-304 (March 19, 2020).  </w:t>
      </w:r>
      <w:hyperlink r:id="rId2" w:history="1">
        <w:r w:rsidRPr="00B52082">
          <w:rPr>
            <w:rStyle w:val="Hyperlink"/>
            <w:sz w:val="20"/>
          </w:rPr>
          <w:t>https://www.fcc.gov/document/fcc-closes-headquarters-open-window-and-changes-hand-delivery-policy</w:t>
        </w:r>
      </w:hyperlink>
    </w:p>
  </w:footnote>
  <w:footnote w:id="12">
    <w:p w:rsidR="005E2570" w:rsidRPr="00B52082" w14:paraId="4AFA1DE3" w14:textId="77777777">
      <w:pPr>
        <w:pStyle w:val="FootnoteText"/>
        <w:spacing w:after="120"/>
        <w:rPr>
          <w:i/>
          <w:iCs/>
          <w:sz w:val="20"/>
        </w:rPr>
      </w:pPr>
      <w:r w:rsidRPr="00B52082">
        <w:rPr>
          <w:rStyle w:val="FootnoteReference"/>
          <w:sz w:val="20"/>
        </w:rPr>
        <w:footnoteRef/>
      </w:r>
      <w:r w:rsidRPr="00B52082">
        <w:rPr>
          <w:sz w:val="20"/>
        </w:rPr>
        <w:t xml:space="preserve"> 47 CFR §§ 1.1200 </w:t>
      </w:r>
      <w:r w:rsidRPr="00B52082">
        <w:rPr>
          <w:i/>
          <w:iCs/>
          <w:sz w:val="20"/>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570" w14:paraId="63205DBB" w14:textId="7E7FB3D1">
    <w:pPr>
      <w:pStyle w:val="Header"/>
      <w:tabs>
        <w:tab w:val="clear" w:pos="4320"/>
        <w:tab w:val="clear" w:pos="8640"/>
      </w:tabs>
      <w:spacing w:before="40"/>
      <w:rPr>
        <w:rFonts w:ascii="News Gothic MT" w:hAnsi="News Gothic MT"/>
        <w:b/>
        <w:kern w:val="28"/>
        <w:sz w:val="96"/>
      </w:rPr>
    </w:pPr>
    <w:r>
      <w:rPr>
        <w:noProof/>
      </w:rPr>
      <mc:AlternateContent>
        <mc:Choice Requires="wps">
          <w:drawing>
            <wp:anchor distT="0" distB="0" distL="114300" distR="114300" simplePos="0" relativeHeight="251658240" behindDoc="0" locked="0" layoutInCell="0" allowOverlap="1">
              <wp:simplePos x="0" y="0"/>
              <wp:positionH relativeFrom="column">
                <wp:posOffset>-99060</wp:posOffset>
              </wp:positionH>
              <wp:positionV relativeFrom="paragraph">
                <wp:posOffset>731520</wp:posOffset>
              </wp:positionV>
              <wp:extent cx="3108960" cy="640080"/>
              <wp:effectExtent l="0" t="0" r="0" b="0"/>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E2570" w14:textId="77777777">
                          <w:pPr>
                            <w:rPr>
                              <w:rFonts w:ascii="Arial" w:hAnsi="Arial"/>
                              <w:b/>
                            </w:rPr>
                          </w:pPr>
                          <w:r>
                            <w:rPr>
                              <w:rFonts w:ascii="Arial" w:hAnsi="Arial"/>
                              <w:b/>
                            </w:rPr>
                            <w:t>Federal Communications Commission</w:t>
                          </w:r>
                        </w:p>
                        <w:p w:rsidR="005E257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E2570"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4pt;margin-top:57.6pt;margin-left:-7.8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5E2570" w14:paraId="1A8EF97B" w14:textId="77777777">
                    <w:pPr>
                      <w:rPr>
                        <w:rFonts w:ascii="Arial" w:hAnsi="Arial"/>
                        <w:b/>
                      </w:rPr>
                    </w:pPr>
                    <w:r>
                      <w:rPr>
                        <w:rFonts w:ascii="Arial" w:hAnsi="Arial"/>
                        <w:b/>
                      </w:rPr>
                      <w:t>Federal Communications Commission</w:t>
                    </w:r>
                  </w:p>
                  <w:p w:rsidR="005E2570" w14:paraId="7A05B4A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E2570" w14:paraId="47F15E9D"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inline distT="0" distB="0" distL="0" distR="0">
          <wp:extent cx="533400" cy="533400"/>
          <wp:effectExtent l="0" t="0" r="0" b="0"/>
          <wp:docPr id="1"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275313"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3400" cy="533400"/>
                  </a:xfrm>
                  <a:prstGeom prst="rect">
                    <a:avLst/>
                  </a:prstGeom>
                  <a:noFill/>
                  <a:ln>
                    <a:noFill/>
                  </a:ln>
                </pic:spPr>
              </pic:pic>
            </a:graphicData>
          </a:graphic>
        </wp:inline>
      </w:drawing>
    </w:r>
    <w:r w:rsidR="00700D7B">
      <w:rPr>
        <w:rFonts w:ascii="News Gothic MT" w:hAnsi="News Gothic MT"/>
        <w:b/>
        <w:kern w:val="28"/>
        <w:sz w:val="96"/>
      </w:rPr>
      <w:t xml:space="preserve"> PUBLIC NOTICE</w:t>
    </w:r>
  </w:p>
  <w:p w:rsidR="005E2570" w14:paraId="6BB8CC10" w14:textId="5E0B10E4">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0288" behindDoc="0" locked="0" layoutInCell="0" allowOverlap="1">
              <wp:simplePos x="0" y="0"/>
              <wp:positionH relativeFrom="column">
                <wp:posOffset>-46990</wp:posOffset>
              </wp:positionH>
              <wp:positionV relativeFrom="paragraph">
                <wp:posOffset>695959</wp:posOffset>
              </wp:positionV>
              <wp:extent cx="6210300" cy="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103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pt;mso-wrap-distance-left:9pt;mso-wrap-distance-right:9pt;mso-wrap-distance-top:0pt;mso-wrap-style:square;position:absolute;visibility:visible;z-index:251661312" from="-3.7pt,54.8pt" to="485.3pt,54.8pt" o:allowincell="f"/>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130175</wp:posOffset>
              </wp:positionV>
              <wp:extent cx="2640965" cy="548640"/>
              <wp:effectExtent l="0" t="0" r="0" b="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E2570" w14:textId="77777777">
                          <w:pPr>
                            <w:spacing w:before="40"/>
                            <w:jc w:val="right"/>
                            <w:rPr>
                              <w:rFonts w:ascii="Arial" w:hAnsi="Arial"/>
                              <w:b/>
                              <w:sz w:val="16"/>
                            </w:rPr>
                          </w:pPr>
                          <w:r>
                            <w:rPr>
                              <w:rFonts w:ascii="Arial" w:hAnsi="Arial"/>
                              <w:b/>
                              <w:sz w:val="16"/>
                            </w:rPr>
                            <w:t>News Media Information 202 / 418-0500</w:t>
                          </w:r>
                        </w:p>
                        <w:p w:rsidR="005E2570"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E2570" w14:textId="77777777">
                          <w:pPr>
                            <w:jc w:val="right"/>
                            <w:rPr>
                              <w:rFonts w:ascii="Arial" w:hAnsi="Arial"/>
                              <w:b/>
                              <w:sz w:val="16"/>
                            </w:rPr>
                          </w:pPr>
                          <w:r>
                            <w:rPr>
                              <w:rFonts w:ascii="Arial" w:hAnsi="Arial"/>
                              <w:b/>
                              <w:sz w:val="16"/>
                            </w:rPr>
                            <w:t>TTY: 1-888-835-5322</w:t>
                          </w:r>
                        </w:p>
                        <w:p w:rsidR="005E2570"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E2570" w14:paraId="2C9FA74B" w14:textId="77777777">
                    <w:pPr>
                      <w:spacing w:before="40"/>
                      <w:jc w:val="right"/>
                      <w:rPr>
                        <w:rFonts w:ascii="Arial" w:hAnsi="Arial"/>
                        <w:b/>
                        <w:sz w:val="16"/>
                      </w:rPr>
                    </w:pPr>
                    <w:r>
                      <w:rPr>
                        <w:rFonts w:ascii="Arial" w:hAnsi="Arial"/>
                        <w:b/>
                        <w:sz w:val="16"/>
                      </w:rPr>
                      <w:t>News Media Information 202 / 418-0500</w:t>
                    </w:r>
                  </w:p>
                  <w:p w:rsidR="005E2570" w14:paraId="03E1AD8F"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E2570" w14:paraId="03CBFB1A" w14:textId="77777777">
                    <w:pPr>
                      <w:jc w:val="right"/>
                      <w:rPr>
                        <w:rFonts w:ascii="Arial" w:hAnsi="Arial"/>
                        <w:b/>
                        <w:sz w:val="16"/>
                      </w:rPr>
                    </w:pPr>
                    <w:r>
                      <w:rPr>
                        <w:rFonts w:ascii="Arial" w:hAnsi="Arial"/>
                        <w:b/>
                        <w:sz w:val="16"/>
                      </w:rPr>
                      <w:t>TTY: 1-888-835-5322</w:t>
                    </w:r>
                  </w:p>
                  <w:p w:rsidR="005E2570" w14:paraId="436CD81B" w14:textId="77777777">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0EA2C8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573377B"/>
    <w:multiLevelType w:val="hybridMultilevel"/>
    <w:tmpl w:val="F386EA7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505614"/>
    <w:multiLevelType w:val="hybridMultilevel"/>
    <w:tmpl w:val="0612534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A6F75D3"/>
    <w:multiLevelType w:val="hybridMultilevel"/>
    <w:tmpl w:val="F91AEE54"/>
    <w:lvl w:ilvl="0">
      <w:start w:val="1"/>
      <w:numFmt w:val="upp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AC30CBF"/>
    <w:multiLevelType w:val="hybridMultilevel"/>
    <w:tmpl w:val="062889D6"/>
    <w:lvl w:ilvl="0">
      <w:start w:val="0"/>
      <w:numFmt w:val="bullet"/>
      <w:lvlText w:val="-"/>
      <w:lvlJc w:val="left"/>
      <w:pPr>
        <w:ind w:left="4320" w:hanging="360"/>
      </w:pPr>
      <w:rPr>
        <w:rFonts w:ascii="Times New Roman" w:eastAsia="Times New Roman" w:hAnsi="Times New Roman" w:cs="Times New Roman" w:hint="default"/>
      </w:rPr>
    </w:lvl>
    <w:lvl w:ilvl="1" w:tentative="1">
      <w:start w:val="1"/>
      <w:numFmt w:val="bullet"/>
      <w:lvlText w:val="o"/>
      <w:lvlJc w:val="left"/>
      <w:pPr>
        <w:ind w:left="5040" w:hanging="360"/>
      </w:pPr>
      <w:rPr>
        <w:rFonts w:ascii="Courier New" w:hAnsi="Courier New" w:cs="Courier New" w:hint="default"/>
      </w:rPr>
    </w:lvl>
    <w:lvl w:ilvl="2" w:tentative="1">
      <w:start w:val="1"/>
      <w:numFmt w:val="bullet"/>
      <w:lvlText w:val=""/>
      <w:lvlJc w:val="left"/>
      <w:pPr>
        <w:ind w:left="5760" w:hanging="360"/>
      </w:pPr>
      <w:rPr>
        <w:rFonts w:ascii="Wingdings" w:hAnsi="Wingdings" w:hint="default"/>
      </w:rPr>
    </w:lvl>
    <w:lvl w:ilvl="3" w:tentative="1">
      <w:start w:val="1"/>
      <w:numFmt w:val="bullet"/>
      <w:lvlText w:val=""/>
      <w:lvlJc w:val="left"/>
      <w:pPr>
        <w:ind w:left="6480" w:hanging="360"/>
      </w:pPr>
      <w:rPr>
        <w:rFonts w:ascii="Symbol" w:hAnsi="Symbol" w:hint="default"/>
      </w:rPr>
    </w:lvl>
    <w:lvl w:ilvl="4" w:tentative="1">
      <w:start w:val="1"/>
      <w:numFmt w:val="bullet"/>
      <w:lvlText w:val="o"/>
      <w:lvlJc w:val="left"/>
      <w:pPr>
        <w:ind w:left="7200" w:hanging="360"/>
      </w:pPr>
      <w:rPr>
        <w:rFonts w:ascii="Courier New" w:hAnsi="Courier New" w:cs="Courier New" w:hint="default"/>
      </w:rPr>
    </w:lvl>
    <w:lvl w:ilvl="5" w:tentative="1">
      <w:start w:val="1"/>
      <w:numFmt w:val="bullet"/>
      <w:lvlText w:val=""/>
      <w:lvlJc w:val="left"/>
      <w:pPr>
        <w:ind w:left="7920" w:hanging="360"/>
      </w:pPr>
      <w:rPr>
        <w:rFonts w:ascii="Wingdings" w:hAnsi="Wingdings" w:hint="default"/>
      </w:rPr>
    </w:lvl>
    <w:lvl w:ilvl="6" w:tentative="1">
      <w:start w:val="1"/>
      <w:numFmt w:val="bullet"/>
      <w:lvlText w:val=""/>
      <w:lvlJc w:val="left"/>
      <w:pPr>
        <w:ind w:left="8640" w:hanging="360"/>
      </w:pPr>
      <w:rPr>
        <w:rFonts w:ascii="Symbol" w:hAnsi="Symbol" w:hint="default"/>
      </w:rPr>
    </w:lvl>
    <w:lvl w:ilvl="7" w:tentative="1">
      <w:start w:val="1"/>
      <w:numFmt w:val="bullet"/>
      <w:lvlText w:val="o"/>
      <w:lvlJc w:val="left"/>
      <w:pPr>
        <w:ind w:left="9360" w:hanging="360"/>
      </w:pPr>
      <w:rPr>
        <w:rFonts w:ascii="Courier New" w:hAnsi="Courier New" w:cs="Courier New" w:hint="default"/>
      </w:rPr>
    </w:lvl>
    <w:lvl w:ilvl="8" w:tentative="1">
      <w:start w:val="1"/>
      <w:numFmt w:val="bullet"/>
      <w:lvlText w:val=""/>
      <w:lvlJc w:val="left"/>
      <w:pPr>
        <w:ind w:left="10080" w:hanging="360"/>
      </w:pPr>
      <w:rPr>
        <w:rFonts w:ascii="Wingdings" w:hAnsi="Wingdings" w:hint="default"/>
      </w:rPr>
    </w:lvl>
  </w:abstractNum>
  <w:abstractNum w:abstractNumId="5">
    <w:nsid w:val="0B4C2588"/>
    <w:multiLevelType w:val="hybridMultilevel"/>
    <w:tmpl w:val="B8AC4CB2"/>
    <w:lvl w:ilvl="0">
      <w:start w:val="1"/>
      <w:numFmt w:val="bullet"/>
      <w:lvlText w:val=""/>
      <w:lvlJc w:val="left"/>
      <w:pPr>
        <w:ind w:left="4320" w:hanging="360"/>
      </w:pPr>
      <w:rPr>
        <w:rFonts w:ascii="Symbol" w:hAnsi="Symbol" w:hint="default"/>
        <w:b w:val="0"/>
      </w:rPr>
    </w:lvl>
    <w:lvl w:ilvl="1" w:tentative="1">
      <w:start w:val="1"/>
      <w:numFmt w:val="bullet"/>
      <w:lvlText w:val="o"/>
      <w:lvlJc w:val="left"/>
      <w:pPr>
        <w:ind w:left="5040" w:hanging="360"/>
      </w:pPr>
      <w:rPr>
        <w:rFonts w:ascii="Courier New" w:hAnsi="Courier New" w:cs="Courier New" w:hint="default"/>
      </w:rPr>
    </w:lvl>
    <w:lvl w:ilvl="2" w:tentative="1">
      <w:start w:val="1"/>
      <w:numFmt w:val="bullet"/>
      <w:lvlText w:val=""/>
      <w:lvlJc w:val="left"/>
      <w:pPr>
        <w:ind w:left="5760" w:hanging="360"/>
      </w:pPr>
      <w:rPr>
        <w:rFonts w:ascii="Wingdings" w:hAnsi="Wingdings" w:hint="default"/>
      </w:rPr>
    </w:lvl>
    <w:lvl w:ilvl="3">
      <w:start w:val="1"/>
      <w:numFmt w:val="bullet"/>
      <w:lvlText w:val=""/>
      <w:lvlJc w:val="left"/>
      <w:pPr>
        <w:ind w:left="6480" w:hanging="360"/>
      </w:pPr>
      <w:rPr>
        <w:rFonts w:ascii="Symbol" w:hAnsi="Symbol" w:hint="default"/>
      </w:rPr>
    </w:lvl>
    <w:lvl w:ilvl="4" w:tentative="1">
      <w:start w:val="1"/>
      <w:numFmt w:val="bullet"/>
      <w:lvlText w:val="o"/>
      <w:lvlJc w:val="left"/>
      <w:pPr>
        <w:ind w:left="7200" w:hanging="360"/>
      </w:pPr>
      <w:rPr>
        <w:rFonts w:ascii="Courier New" w:hAnsi="Courier New" w:cs="Courier New" w:hint="default"/>
      </w:rPr>
    </w:lvl>
    <w:lvl w:ilvl="5" w:tentative="1">
      <w:start w:val="1"/>
      <w:numFmt w:val="bullet"/>
      <w:lvlText w:val=""/>
      <w:lvlJc w:val="left"/>
      <w:pPr>
        <w:ind w:left="7920" w:hanging="360"/>
      </w:pPr>
      <w:rPr>
        <w:rFonts w:ascii="Wingdings" w:hAnsi="Wingdings" w:hint="default"/>
      </w:rPr>
    </w:lvl>
    <w:lvl w:ilvl="6" w:tentative="1">
      <w:start w:val="1"/>
      <w:numFmt w:val="bullet"/>
      <w:lvlText w:val=""/>
      <w:lvlJc w:val="left"/>
      <w:pPr>
        <w:ind w:left="8640" w:hanging="360"/>
      </w:pPr>
      <w:rPr>
        <w:rFonts w:ascii="Symbol" w:hAnsi="Symbol" w:hint="default"/>
      </w:rPr>
    </w:lvl>
    <w:lvl w:ilvl="7" w:tentative="1">
      <w:start w:val="1"/>
      <w:numFmt w:val="bullet"/>
      <w:lvlText w:val="o"/>
      <w:lvlJc w:val="left"/>
      <w:pPr>
        <w:ind w:left="9360" w:hanging="360"/>
      </w:pPr>
      <w:rPr>
        <w:rFonts w:ascii="Courier New" w:hAnsi="Courier New" w:cs="Courier New" w:hint="default"/>
      </w:rPr>
    </w:lvl>
    <w:lvl w:ilvl="8" w:tentative="1">
      <w:start w:val="1"/>
      <w:numFmt w:val="bullet"/>
      <w:lvlText w:val=""/>
      <w:lvlJc w:val="left"/>
      <w:pPr>
        <w:ind w:left="10080" w:hanging="360"/>
      </w:pPr>
      <w:rPr>
        <w:rFonts w:ascii="Wingdings" w:hAnsi="Wingdings" w:hint="default"/>
      </w:rPr>
    </w:lvl>
  </w:abstractNum>
  <w:abstractNum w:abstractNumId="6">
    <w:nsid w:val="0BAD2858"/>
    <w:multiLevelType w:val="hybridMultilevel"/>
    <w:tmpl w:val="E60AC63C"/>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0E44096D"/>
    <w:multiLevelType w:val="hybridMultilevel"/>
    <w:tmpl w:val="7AC0A260"/>
    <w:lvl w:ilvl="0">
      <w:start w:val="0"/>
      <w:numFmt w:val="bullet"/>
      <w:lvlText w:val=""/>
      <w:lvlJc w:val="left"/>
      <w:pPr>
        <w:ind w:left="720" w:hanging="360"/>
      </w:pPr>
      <w:rPr>
        <w:rFonts w:ascii="Times New Roman" w:eastAsia="TimesNew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CD53C21"/>
    <w:multiLevelType w:val="hybridMultilevel"/>
    <w:tmpl w:val="334EA65E"/>
    <w:lvl w:ilvl="0">
      <w:start w:val="0"/>
      <w:numFmt w:val="bullet"/>
      <w:lvlText w:val="-"/>
      <w:lvlJc w:val="left"/>
      <w:pPr>
        <w:ind w:left="3960" w:hanging="360"/>
      </w:pPr>
      <w:rPr>
        <w:rFonts w:ascii="Times New Roman" w:eastAsia="Times New Roman" w:hAnsi="Times New Roman" w:cs="Times New Roman" w:hint="default"/>
      </w:rPr>
    </w:lvl>
    <w:lvl w:ilvl="1" w:tentative="1">
      <w:start w:val="1"/>
      <w:numFmt w:val="bullet"/>
      <w:lvlText w:val="o"/>
      <w:lvlJc w:val="left"/>
      <w:pPr>
        <w:ind w:left="4680" w:hanging="360"/>
      </w:pPr>
      <w:rPr>
        <w:rFonts w:ascii="Courier New" w:hAnsi="Courier New" w:cs="Courier New" w:hint="default"/>
      </w:rPr>
    </w:lvl>
    <w:lvl w:ilvl="2" w:tentative="1">
      <w:start w:val="1"/>
      <w:numFmt w:val="bullet"/>
      <w:lvlText w:val=""/>
      <w:lvlJc w:val="left"/>
      <w:pPr>
        <w:ind w:left="5400" w:hanging="360"/>
      </w:pPr>
      <w:rPr>
        <w:rFonts w:ascii="Wingdings" w:hAnsi="Wingdings" w:hint="default"/>
      </w:rPr>
    </w:lvl>
    <w:lvl w:ilvl="3" w:tentative="1">
      <w:start w:val="1"/>
      <w:numFmt w:val="bullet"/>
      <w:lvlText w:val=""/>
      <w:lvlJc w:val="left"/>
      <w:pPr>
        <w:ind w:left="6120" w:hanging="360"/>
      </w:pPr>
      <w:rPr>
        <w:rFonts w:ascii="Symbol" w:hAnsi="Symbol" w:hint="default"/>
      </w:rPr>
    </w:lvl>
    <w:lvl w:ilvl="4" w:tentative="1">
      <w:start w:val="1"/>
      <w:numFmt w:val="bullet"/>
      <w:lvlText w:val="o"/>
      <w:lvlJc w:val="left"/>
      <w:pPr>
        <w:ind w:left="6840" w:hanging="360"/>
      </w:pPr>
      <w:rPr>
        <w:rFonts w:ascii="Courier New" w:hAnsi="Courier New" w:cs="Courier New" w:hint="default"/>
      </w:rPr>
    </w:lvl>
    <w:lvl w:ilvl="5" w:tentative="1">
      <w:start w:val="1"/>
      <w:numFmt w:val="bullet"/>
      <w:lvlText w:val=""/>
      <w:lvlJc w:val="left"/>
      <w:pPr>
        <w:ind w:left="7560" w:hanging="360"/>
      </w:pPr>
      <w:rPr>
        <w:rFonts w:ascii="Wingdings" w:hAnsi="Wingdings" w:hint="default"/>
      </w:rPr>
    </w:lvl>
    <w:lvl w:ilvl="6" w:tentative="1">
      <w:start w:val="1"/>
      <w:numFmt w:val="bullet"/>
      <w:lvlText w:val=""/>
      <w:lvlJc w:val="left"/>
      <w:pPr>
        <w:ind w:left="8280" w:hanging="360"/>
      </w:pPr>
      <w:rPr>
        <w:rFonts w:ascii="Symbol" w:hAnsi="Symbol" w:hint="default"/>
      </w:rPr>
    </w:lvl>
    <w:lvl w:ilvl="7" w:tentative="1">
      <w:start w:val="1"/>
      <w:numFmt w:val="bullet"/>
      <w:lvlText w:val="o"/>
      <w:lvlJc w:val="left"/>
      <w:pPr>
        <w:ind w:left="9000" w:hanging="360"/>
      </w:pPr>
      <w:rPr>
        <w:rFonts w:ascii="Courier New" w:hAnsi="Courier New" w:cs="Courier New" w:hint="default"/>
      </w:rPr>
    </w:lvl>
    <w:lvl w:ilvl="8" w:tentative="1">
      <w:start w:val="1"/>
      <w:numFmt w:val="bullet"/>
      <w:lvlText w:val=""/>
      <w:lvlJc w:val="left"/>
      <w:pPr>
        <w:ind w:left="9720" w:hanging="360"/>
      </w:pPr>
      <w:rPr>
        <w:rFonts w:ascii="Wingdings" w:hAnsi="Wingdings" w:hint="default"/>
      </w:rPr>
    </w:lvl>
  </w:abstractNum>
  <w:abstractNum w:abstractNumId="9">
    <w:nsid w:val="280A3971"/>
    <w:multiLevelType w:val="hybridMultilevel"/>
    <w:tmpl w:val="887467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2AB4724D"/>
    <w:multiLevelType w:val="hybridMultilevel"/>
    <w:tmpl w:val="3B021D0C"/>
    <w:lvl w:ilvl="0">
      <w:start w:val="1"/>
      <w:numFmt w:val="bullet"/>
      <w:lvlText w:val=""/>
      <w:lvlJc w:val="left"/>
      <w:pPr>
        <w:ind w:left="3600" w:hanging="360"/>
      </w:pPr>
      <w:rPr>
        <w:rFonts w:ascii="Symbol" w:hAnsi="Symbol" w:hint="default"/>
        <w:b w:val="0"/>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12">
    <w:nsid w:val="3A2554E8"/>
    <w:multiLevelType w:val="hybridMultilevel"/>
    <w:tmpl w:val="61D0E0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BC36DD5"/>
    <w:multiLevelType w:val="hybridMultilevel"/>
    <w:tmpl w:val="71A66B4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CEF52F5"/>
    <w:multiLevelType w:val="hybridMultilevel"/>
    <w:tmpl w:val="9ACE3DF0"/>
    <w:lvl w:ilvl="0">
      <w:start w:val="0"/>
      <w:numFmt w:val="bullet"/>
      <w:lvlText w:val="-"/>
      <w:lvlJc w:val="left"/>
      <w:pPr>
        <w:ind w:left="3960" w:hanging="360"/>
      </w:pPr>
      <w:rPr>
        <w:rFonts w:ascii="Times New Roman" w:eastAsia="Times New Roman" w:hAnsi="Times New Roman" w:cs="Times New Roman" w:hint="default"/>
      </w:rPr>
    </w:lvl>
    <w:lvl w:ilvl="1" w:tentative="1">
      <w:start w:val="1"/>
      <w:numFmt w:val="bullet"/>
      <w:lvlText w:val="o"/>
      <w:lvlJc w:val="left"/>
      <w:pPr>
        <w:ind w:left="4680" w:hanging="360"/>
      </w:pPr>
      <w:rPr>
        <w:rFonts w:ascii="Courier New" w:hAnsi="Courier New" w:cs="Courier New" w:hint="default"/>
      </w:rPr>
    </w:lvl>
    <w:lvl w:ilvl="2" w:tentative="1">
      <w:start w:val="1"/>
      <w:numFmt w:val="bullet"/>
      <w:lvlText w:val=""/>
      <w:lvlJc w:val="left"/>
      <w:pPr>
        <w:ind w:left="5400" w:hanging="360"/>
      </w:pPr>
      <w:rPr>
        <w:rFonts w:ascii="Wingdings" w:hAnsi="Wingdings" w:hint="default"/>
      </w:rPr>
    </w:lvl>
    <w:lvl w:ilvl="3" w:tentative="1">
      <w:start w:val="1"/>
      <w:numFmt w:val="bullet"/>
      <w:lvlText w:val=""/>
      <w:lvlJc w:val="left"/>
      <w:pPr>
        <w:ind w:left="6120" w:hanging="360"/>
      </w:pPr>
      <w:rPr>
        <w:rFonts w:ascii="Symbol" w:hAnsi="Symbol" w:hint="default"/>
      </w:rPr>
    </w:lvl>
    <w:lvl w:ilvl="4" w:tentative="1">
      <w:start w:val="1"/>
      <w:numFmt w:val="bullet"/>
      <w:lvlText w:val="o"/>
      <w:lvlJc w:val="left"/>
      <w:pPr>
        <w:ind w:left="6840" w:hanging="360"/>
      </w:pPr>
      <w:rPr>
        <w:rFonts w:ascii="Courier New" w:hAnsi="Courier New" w:cs="Courier New" w:hint="default"/>
      </w:rPr>
    </w:lvl>
    <w:lvl w:ilvl="5" w:tentative="1">
      <w:start w:val="1"/>
      <w:numFmt w:val="bullet"/>
      <w:lvlText w:val=""/>
      <w:lvlJc w:val="left"/>
      <w:pPr>
        <w:ind w:left="7560" w:hanging="360"/>
      </w:pPr>
      <w:rPr>
        <w:rFonts w:ascii="Wingdings" w:hAnsi="Wingdings" w:hint="default"/>
      </w:rPr>
    </w:lvl>
    <w:lvl w:ilvl="6" w:tentative="1">
      <w:start w:val="1"/>
      <w:numFmt w:val="bullet"/>
      <w:lvlText w:val=""/>
      <w:lvlJc w:val="left"/>
      <w:pPr>
        <w:ind w:left="8280" w:hanging="360"/>
      </w:pPr>
      <w:rPr>
        <w:rFonts w:ascii="Symbol" w:hAnsi="Symbol" w:hint="default"/>
      </w:rPr>
    </w:lvl>
    <w:lvl w:ilvl="7" w:tentative="1">
      <w:start w:val="1"/>
      <w:numFmt w:val="bullet"/>
      <w:lvlText w:val="o"/>
      <w:lvlJc w:val="left"/>
      <w:pPr>
        <w:ind w:left="9000" w:hanging="360"/>
      </w:pPr>
      <w:rPr>
        <w:rFonts w:ascii="Courier New" w:hAnsi="Courier New" w:cs="Courier New" w:hint="default"/>
      </w:rPr>
    </w:lvl>
    <w:lvl w:ilvl="8" w:tentative="1">
      <w:start w:val="1"/>
      <w:numFmt w:val="bullet"/>
      <w:lvlText w:val=""/>
      <w:lvlJc w:val="left"/>
      <w:pPr>
        <w:ind w:left="9720" w:hanging="360"/>
      </w:pPr>
      <w:rPr>
        <w:rFonts w:ascii="Wingdings" w:hAnsi="Wingdings" w:hint="default"/>
      </w:rPr>
    </w:lvl>
  </w:abstractNum>
  <w:abstractNum w:abstractNumId="1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6">
    <w:nsid w:val="40A71986"/>
    <w:multiLevelType w:val="hybridMultilevel"/>
    <w:tmpl w:val="E320D112"/>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49DC32D9"/>
    <w:multiLevelType w:val="hybridMultilevel"/>
    <w:tmpl w:val="BBE83AF2"/>
    <w:lvl w:ilvl="0">
      <w:start w:val="1"/>
      <w:numFmt w:val="decimal"/>
      <w:lvlText w:val="%1."/>
      <w:lvlJc w:val="left"/>
      <w:pPr>
        <w:ind w:left="1890" w:hanging="360"/>
      </w:pPr>
      <w:rPr>
        <w:rFonts w:hint="default"/>
        <w:i w:val="0"/>
        <w:u w:val="none"/>
      </w:rPr>
    </w:lvl>
    <w:lvl w:ilvl="1" w:tentative="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18">
    <w:nsid w:val="4D7B2C3F"/>
    <w:multiLevelType w:val="hybridMultilevel"/>
    <w:tmpl w:val="1FC8813E"/>
    <w:lvl w:ilvl="0">
      <w:start w:val="0"/>
      <w:numFmt w:val="bullet"/>
      <w:lvlText w:val="-"/>
      <w:lvlJc w:val="left"/>
      <w:pPr>
        <w:ind w:left="3960" w:hanging="360"/>
      </w:pPr>
      <w:rPr>
        <w:rFonts w:ascii="Times New Roman" w:eastAsia="Times New Roman" w:hAnsi="Times New Roman" w:cs="Times New Roman" w:hint="default"/>
        <w:b/>
      </w:rPr>
    </w:lvl>
    <w:lvl w:ilvl="1" w:tentative="1">
      <w:start w:val="1"/>
      <w:numFmt w:val="bullet"/>
      <w:lvlText w:val="o"/>
      <w:lvlJc w:val="left"/>
      <w:pPr>
        <w:ind w:left="4680" w:hanging="360"/>
      </w:pPr>
      <w:rPr>
        <w:rFonts w:ascii="Courier New" w:hAnsi="Courier New" w:cs="Courier New" w:hint="default"/>
      </w:rPr>
    </w:lvl>
    <w:lvl w:ilvl="2" w:tentative="1">
      <w:start w:val="1"/>
      <w:numFmt w:val="bullet"/>
      <w:lvlText w:val=""/>
      <w:lvlJc w:val="left"/>
      <w:pPr>
        <w:ind w:left="5400" w:hanging="360"/>
      </w:pPr>
      <w:rPr>
        <w:rFonts w:ascii="Wingdings" w:hAnsi="Wingdings" w:hint="default"/>
      </w:rPr>
    </w:lvl>
    <w:lvl w:ilvl="3" w:tentative="1">
      <w:start w:val="1"/>
      <w:numFmt w:val="bullet"/>
      <w:lvlText w:val=""/>
      <w:lvlJc w:val="left"/>
      <w:pPr>
        <w:ind w:left="6120" w:hanging="360"/>
      </w:pPr>
      <w:rPr>
        <w:rFonts w:ascii="Symbol" w:hAnsi="Symbol" w:hint="default"/>
      </w:rPr>
    </w:lvl>
    <w:lvl w:ilvl="4" w:tentative="1">
      <w:start w:val="1"/>
      <w:numFmt w:val="bullet"/>
      <w:lvlText w:val="o"/>
      <w:lvlJc w:val="left"/>
      <w:pPr>
        <w:ind w:left="6840" w:hanging="360"/>
      </w:pPr>
      <w:rPr>
        <w:rFonts w:ascii="Courier New" w:hAnsi="Courier New" w:cs="Courier New" w:hint="default"/>
      </w:rPr>
    </w:lvl>
    <w:lvl w:ilvl="5" w:tentative="1">
      <w:start w:val="1"/>
      <w:numFmt w:val="bullet"/>
      <w:lvlText w:val=""/>
      <w:lvlJc w:val="left"/>
      <w:pPr>
        <w:ind w:left="7560" w:hanging="360"/>
      </w:pPr>
      <w:rPr>
        <w:rFonts w:ascii="Wingdings" w:hAnsi="Wingdings" w:hint="default"/>
      </w:rPr>
    </w:lvl>
    <w:lvl w:ilvl="6" w:tentative="1">
      <w:start w:val="1"/>
      <w:numFmt w:val="bullet"/>
      <w:lvlText w:val=""/>
      <w:lvlJc w:val="left"/>
      <w:pPr>
        <w:ind w:left="8280" w:hanging="360"/>
      </w:pPr>
      <w:rPr>
        <w:rFonts w:ascii="Symbol" w:hAnsi="Symbol" w:hint="default"/>
      </w:rPr>
    </w:lvl>
    <w:lvl w:ilvl="7" w:tentative="1">
      <w:start w:val="1"/>
      <w:numFmt w:val="bullet"/>
      <w:lvlText w:val="o"/>
      <w:lvlJc w:val="left"/>
      <w:pPr>
        <w:ind w:left="9000" w:hanging="360"/>
      </w:pPr>
      <w:rPr>
        <w:rFonts w:ascii="Courier New" w:hAnsi="Courier New" w:cs="Courier New" w:hint="default"/>
      </w:rPr>
    </w:lvl>
    <w:lvl w:ilvl="8" w:tentative="1">
      <w:start w:val="1"/>
      <w:numFmt w:val="bullet"/>
      <w:lvlText w:val=""/>
      <w:lvlJc w:val="left"/>
      <w:pPr>
        <w:ind w:left="9720" w:hanging="360"/>
      </w:pPr>
      <w:rPr>
        <w:rFonts w:ascii="Wingdings" w:hAnsi="Wingdings" w:hint="default"/>
      </w:rPr>
    </w:lvl>
  </w:abstractNum>
  <w:abstractNum w:abstractNumId="1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E56E5C4A"/>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rPr>
        <w:b w:val="0"/>
      </w:rPr>
    </w:lvl>
    <w:lvl w:ilvl="4">
      <w:start w:val="1"/>
      <w:numFmt w:val="lowerRoman"/>
      <w:pStyle w:val="Heading5"/>
      <w:lvlText w:val="(%5)"/>
      <w:lvlJc w:val="left"/>
      <w:pPr>
        <w:tabs>
          <w:tab w:val="num" w:pos="3960"/>
        </w:tabs>
        <w:ind w:left="3600" w:hanging="720"/>
      </w:pPr>
      <w:rPr>
        <w:rFonts w:ascii="Times New Roman" w:hAnsi="Times New Roman" w:cs="Times New Roman" w:hint="default"/>
        <w:b w:val="0"/>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1">
    <w:nsid w:val="58E6466D"/>
    <w:multiLevelType w:val="hybridMultilevel"/>
    <w:tmpl w:val="08CAA85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3">
    <w:nsid w:val="5A1D56CF"/>
    <w:multiLevelType w:val="hybridMultilevel"/>
    <w:tmpl w:val="7BAC1562"/>
    <w:lvl w:ilvl="0">
      <w:start w:val="1"/>
      <w:numFmt w:val="decimal"/>
      <w:lvlText w:val="%1."/>
      <w:lvlJc w:val="left"/>
      <w:pPr>
        <w:ind w:left="153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5ACE4917"/>
    <w:multiLevelType w:val="hybridMultilevel"/>
    <w:tmpl w:val="A83EE65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6">
    <w:nsid w:val="6D301B83"/>
    <w:multiLevelType w:val="hybridMultilevel"/>
    <w:tmpl w:val="2DD234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A5D06AB"/>
    <w:multiLevelType w:val="hybridMultilevel"/>
    <w:tmpl w:val="561CE3F8"/>
    <w:lvl w:ilvl="0">
      <w:start w:val="0"/>
      <w:numFmt w:val="bullet"/>
      <w:lvlText w:val="-"/>
      <w:lvlJc w:val="left"/>
      <w:pPr>
        <w:ind w:left="4320" w:hanging="360"/>
      </w:pPr>
      <w:rPr>
        <w:rFonts w:ascii="Times New Roman" w:eastAsia="Times New Roman" w:hAnsi="Times New Roman" w:cs="Times New Roman" w:hint="default"/>
      </w:rPr>
    </w:lvl>
    <w:lvl w:ilvl="1" w:tentative="1">
      <w:start w:val="1"/>
      <w:numFmt w:val="bullet"/>
      <w:lvlText w:val="o"/>
      <w:lvlJc w:val="left"/>
      <w:pPr>
        <w:ind w:left="5040" w:hanging="360"/>
      </w:pPr>
      <w:rPr>
        <w:rFonts w:ascii="Courier New" w:hAnsi="Courier New" w:cs="Courier New" w:hint="default"/>
      </w:rPr>
    </w:lvl>
    <w:lvl w:ilvl="2" w:tentative="1">
      <w:start w:val="1"/>
      <w:numFmt w:val="bullet"/>
      <w:lvlText w:val=""/>
      <w:lvlJc w:val="left"/>
      <w:pPr>
        <w:ind w:left="5760" w:hanging="360"/>
      </w:pPr>
      <w:rPr>
        <w:rFonts w:ascii="Wingdings" w:hAnsi="Wingdings" w:hint="default"/>
      </w:rPr>
    </w:lvl>
    <w:lvl w:ilvl="3" w:tentative="1">
      <w:start w:val="1"/>
      <w:numFmt w:val="bullet"/>
      <w:lvlText w:val=""/>
      <w:lvlJc w:val="left"/>
      <w:pPr>
        <w:ind w:left="6480" w:hanging="360"/>
      </w:pPr>
      <w:rPr>
        <w:rFonts w:ascii="Symbol" w:hAnsi="Symbol" w:hint="default"/>
      </w:rPr>
    </w:lvl>
    <w:lvl w:ilvl="4" w:tentative="1">
      <w:start w:val="1"/>
      <w:numFmt w:val="bullet"/>
      <w:lvlText w:val="o"/>
      <w:lvlJc w:val="left"/>
      <w:pPr>
        <w:ind w:left="7200" w:hanging="360"/>
      </w:pPr>
      <w:rPr>
        <w:rFonts w:ascii="Courier New" w:hAnsi="Courier New" w:cs="Courier New" w:hint="default"/>
      </w:rPr>
    </w:lvl>
    <w:lvl w:ilvl="5" w:tentative="1">
      <w:start w:val="1"/>
      <w:numFmt w:val="bullet"/>
      <w:lvlText w:val=""/>
      <w:lvlJc w:val="left"/>
      <w:pPr>
        <w:ind w:left="7920" w:hanging="360"/>
      </w:pPr>
      <w:rPr>
        <w:rFonts w:ascii="Wingdings" w:hAnsi="Wingdings" w:hint="default"/>
      </w:rPr>
    </w:lvl>
    <w:lvl w:ilvl="6" w:tentative="1">
      <w:start w:val="1"/>
      <w:numFmt w:val="bullet"/>
      <w:lvlText w:val=""/>
      <w:lvlJc w:val="left"/>
      <w:pPr>
        <w:ind w:left="8640" w:hanging="360"/>
      </w:pPr>
      <w:rPr>
        <w:rFonts w:ascii="Symbol" w:hAnsi="Symbol" w:hint="default"/>
      </w:rPr>
    </w:lvl>
    <w:lvl w:ilvl="7" w:tentative="1">
      <w:start w:val="1"/>
      <w:numFmt w:val="bullet"/>
      <w:lvlText w:val="o"/>
      <w:lvlJc w:val="left"/>
      <w:pPr>
        <w:ind w:left="9360" w:hanging="360"/>
      </w:pPr>
      <w:rPr>
        <w:rFonts w:ascii="Courier New" w:hAnsi="Courier New" w:cs="Courier New" w:hint="default"/>
      </w:rPr>
    </w:lvl>
    <w:lvl w:ilvl="8" w:tentative="1">
      <w:start w:val="1"/>
      <w:numFmt w:val="bullet"/>
      <w:lvlText w:val=""/>
      <w:lvlJc w:val="left"/>
      <w:pPr>
        <w:ind w:left="10080" w:hanging="360"/>
      </w:pPr>
      <w:rPr>
        <w:rFonts w:ascii="Wingdings" w:hAnsi="Wingdings" w:hint="default"/>
      </w:rPr>
    </w:lvl>
  </w:abstractNum>
  <w:num w:numId="1">
    <w:abstractNumId w:val="22"/>
  </w:num>
  <w:num w:numId="2">
    <w:abstractNumId w:val="20"/>
  </w:num>
  <w:num w:numId="3">
    <w:abstractNumId w:val="25"/>
  </w:num>
  <w:num w:numId="4">
    <w:abstractNumId w:val="10"/>
  </w:num>
  <w:num w:numId="5">
    <w:abstractNumId w:val="25"/>
  </w:num>
  <w:num w:numId="6">
    <w:abstractNumId w:val="25"/>
  </w:num>
  <w:num w:numId="7">
    <w:abstractNumId w:val="25"/>
  </w:num>
  <w:num w:numId="8">
    <w:abstractNumId w:val="25"/>
  </w:num>
  <w:num w:numId="9">
    <w:abstractNumId w:val="25"/>
  </w:num>
  <w:num w:numId="10">
    <w:abstractNumId w:val="25"/>
  </w:num>
  <w:num w:numId="11">
    <w:abstractNumId w:val="19"/>
  </w:num>
  <w:num w:numId="12">
    <w:abstractNumId w:val="15"/>
  </w:num>
  <w:num w:numId="13">
    <w:abstractNumId w:val="23"/>
  </w:num>
  <w:num w:numId="14">
    <w:abstractNumId w:val="6"/>
  </w:num>
  <w:num w:numId="15">
    <w:abstractNumId w:val="3"/>
  </w:num>
  <w:num w:numId="16">
    <w:abstractNumId w:val="11"/>
  </w:num>
  <w:num w:numId="17">
    <w:abstractNumId w:val="9"/>
  </w:num>
  <w:num w:numId="18">
    <w:abstractNumId w:val="21"/>
  </w:num>
  <w:num w:numId="19">
    <w:abstractNumId w:val="17"/>
  </w:num>
  <w:num w:numId="20">
    <w:abstractNumId w:val="5"/>
  </w:num>
  <w:num w:numId="21">
    <w:abstractNumId w:val="16"/>
  </w:num>
  <w:num w:numId="22">
    <w:abstractNumId w:val="18"/>
  </w:num>
  <w:num w:numId="23">
    <w:abstractNumId w:val="4"/>
  </w:num>
  <w:num w:numId="24">
    <w:abstractNumId w:val="14"/>
  </w:num>
  <w:num w:numId="25">
    <w:abstractNumId w:val="1"/>
  </w:num>
  <w:num w:numId="26">
    <w:abstractNumId w:val="24"/>
  </w:num>
  <w:num w:numId="27">
    <w:abstractNumId w:val="13"/>
  </w:num>
  <w:num w:numId="28">
    <w:abstractNumId w:val="8"/>
  </w:num>
  <w:num w:numId="29">
    <w:abstractNumId w:val="27"/>
  </w:num>
  <w:num w:numId="30">
    <w:abstractNumId w:val="12"/>
  </w:num>
  <w:num w:numId="31">
    <w:abstractNumId w:val="7"/>
  </w:num>
  <w:num w:numId="32">
    <w:abstractNumId w:val="0"/>
  </w:num>
  <w:num w:numId="33">
    <w:abstractNumId w:val="2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8AF"/>
    <w:rsid w:val="000059FC"/>
    <w:rsid w:val="00017DC7"/>
    <w:rsid w:val="0002090A"/>
    <w:rsid w:val="00025170"/>
    <w:rsid w:val="00062A92"/>
    <w:rsid w:val="00064191"/>
    <w:rsid w:val="00082252"/>
    <w:rsid w:val="0009682B"/>
    <w:rsid w:val="000B5F2C"/>
    <w:rsid w:val="000D1650"/>
    <w:rsid w:val="000D42E5"/>
    <w:rsid w:val="000D49EF"/>
    <w:rsid w:val="000E3A63"/>
    <w:rsid w:val="000E49C9"/>
    <w:rsid w:val="000E6CBF"/>
    <w:rsid w:val="0010094A"/>
    <w:rsid w:val="001015EC"/>
    <w:rsid w:val="00106AD3"/>
    <w:rsid w:val="00137996"/>
    <w:rsid w:val="00171698"/>
    <w:rsid w:val="001A7C7A"/>
    <w:rsid w:val="001B0303"/>
    <w:rsid w:val="001B051C"/>
    <w:rsid w:val="001C1109"/>
    <w:rsid w:val="001C2391"/>
    <w:rsid w:val="001F4AC4"/>
    <w:rsid w:val="001F7355"/>
    <w:rsid w:val="00222A68"/>
    <w:rsid w:val="002259D1"/>
    <w:rsid w:val="002A28D1"/>
    <w:rsid w:val="002B644F"/>
    <w:rsid w:val="002B6C3F"/>
    <w:rsid w:val="002B7C16"/>
    <w:rsid w:val="002C23B1"/>
    <w:rsid w:val="002E5F63"/>
    <w:rsid w:val="002F09F7"/>
    <w:rsid w:val="00303143"/>
    <w:rsid w:val="00307724"/>
    <w:rsid w:val="00313F91"/>
    <w:rsid w:val="0032488D"/>
    <w:rsid w:val="00324D63"/>
    <w:rsid w:val="00334829"/>
    <w:rsid w:val="003461D6"/>
    <w:rsid w:val="00356943"/>
    <w:rsid w:val="00390D9B"/>
    <w:rsid w:val="003D541A"/>
    <w:rsid w:val="004049FF"/>
    <w:rsid w:val="00421D12"/>
    <w:rsid w:val="00433DA9"/>
    <w:rsid w:val="00454F4D"/>
    <w:rsid w:val="00472FFB"/>
    <w:rsid w:val="00473A6F"/>
    <w:rsid w:val="004A3B85"/>
    <w:rsid w:val="004B6A85"/>
    <w:rsid w:val="004C43E8"/>
    <w:rsid w:val="004C72D4"/>
    <w:rsid w:val="004E3A2D"/>
    <w:rsid w:val="00502679"/>
    <w:rsid w:val="0050595F"/>
    <w:rsid w:val="00516CBD"/>
    <w:rsid w:val="0053259A"/>
    <w:rsid w:val="00535F72"/>
    <w:rsid w:val="00545409"/>
    <w:rsid w:val="00547644"/>
    <w:rsid w:val="005903CC"/>
    <w:rsid w:val="005B69B0"/>
    <w:rsid w:val="005E2570"/>
    <w:rsid w:val="005F6674"/>
    <w:rsid w:val="005F7153"/>
    <w:rsid w:val="006474A9"/>
    <w:rsid w:val="0065677F"/>
    <w:rsid w:val="00674051"/>
    <w:rsid w:val="006A1364"/>
    <w:rsid w:val="006B3CFA"/>
    <w:rsid w:val="006B45D6"/>
    <w:rsid w:val="006C14CA"/>
    <w:rsid w:val="006C5CB7"/>
    <w:rsid w:val="006E267E"/>
    <w:rsid w:val="006E3A11"/>
    <w:rsid w:val="00700D7B"/>
    <w:rsid w:val="0071408B"/>
    <w:rsid w:val="0074257E"/>
    <w:rsid w:val="00783184"/>
    <w:rsid w:val="00791994"/>
    <w:rsid w:val="007C48AF"/>
    <w:rsid w:val="007E3464"/>
    <w:rsid w:val="008214F6"/>
    <w:rsid w:val="00821661"/>
    <w:rsid w:val="00822BAE"/>
    <w:rsid w:val="0082495A"/>
    <w:rsid w:val="00844837"/>
    <w:rsid w:val="0087061D"/>
    <w:rsid w:val="00880EB0"/>
    <w:rsid w:val="00894382"/>
    <w:rsid w:val="00896D9D"/>
    <w:rsid w:val="008A2ADD"/>
    <w:rsid w:val="008E1CF3"/>
    <w:rsid w:val="008E5856"/>
    <w:rsid w:val="008E7DF4"/>
    <w:rsid w:val="009003CC"/>
    <w:rsid w:val="0090710E"/>
    <w:rsid w:val="00916129"/>
    <w:rsid w:val="00916D69"/>
    <w:rsid w:val="00930B88"/>
    <w:rsid w:val="009377EE"/>
    <w:rsid w:val="00977CD2"/>
    <w:rsid w:val="009A08F2"/>
    <w:rsid w:val="009C61A5"/>
    <w:rsid w:val="009D01AA"/>
    <w:rsid w:val="009F2C61"/>
    <w:rsid w:val="00A06934"/>
    <w:rsid w:val="00A14BB8"/>
    <w:rsid w:val="00A32058"/>
    <w:rsid w:val="00A86993"/>
    <w:rsid w:val="00A90A2A"/>
    <w:rsid w:val="00A947BD"/>
    <w:rsid w:val="00AA7CB1"/>
    <w:rsid w:val="00AC2EB3"/>
    <w:rsid w:val="00AE72C3"/>
    <w:rsid w:val="00AF36D9"/>
    <w:rsid w:val="00AF3D4A"/>
    <w:rsid w:val="00B35B0F"/>
    <w:rsid w:val="00B52082"/>
    <w:rsid w:val="00B60C80"/>
    <w:rsid w:val="00B61E50"/>
    <w:rsid w:val="00B82516"/>
    <w:rsid w:val="00BC176E"/>
    <w:rsid w:val="00BD1FA1"/>
    <w:rsid w:val="00BD6D40"/>
    <w:rsid w:val="00BF16FD"/>
    <w:rsid w:val="00C53E71"/>
    <w:rsid w:val="00C572B4"/>
    <w:rsid w:val="00C957B6"/>
    <w:rsid w:val="00CA7934"/>
    <w:rsid w:val="00CB47F8"/>
    <w:rsid w:val="00CD633D"/>
    <w:rsid w:val="00D22B4E"/>
    <w:rsid w:val="00D35FA2"/>
    <w:rsid w:val="00D66F55"/>
    <w:rsid w:val="00D821CC"/>
    <w:rsid w:val="00DA2DC1"/>
    <w:rsid w:val="00DB3D34"/>
    <w:rsid w:val="00DC3D57"/>
    <w:rsid w:val="00DC4B63"/>
    <w:rsid w:val="00E46288"/>
    <w:rsid w:val="00EA0092"/>
    <w:rsid w:val="00EC21CA"/>
    <w:rsid w:val="00EC4D7F"/>
    <w:rsid w:val="00EC6019"/>
    <w:rsid w:val="00ED28EE"/>
    <w:rsid w:val="00EF09B3"/>
    <w:rsid w:val="00EF1245"/>
    <w:rsid w:val="00F13EDA"/>
    <w:rsid w:val="00F14DC8"/>
    <w:rsid w:val="00F40027"/>
    <w:rsid w:val="00F50925"/>
    <w:rsid w:val="00F66CA4"/>
    <w:rsid w:val="00F97459"/>
    <w:rsid w:val="00FA3871"/>
    <w:rsid w:val="00FB1C55"/>
    <w:rsid w:val="00FC7D75"/>
    <w:rsid w:val="00FE308D"/>
    <w:rsid w:val="00FF6577"/>
    <w:rsid w:val="00FF6A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6,fr,o"/>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 Char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after="160"/>
    </w:pPr>
    <w:rPr>
      <w:rFonts w:ascii="Calibri" w:eastAsia="Calibri" w:hAnsi="Calibri"/>
      <w:sz w:val="20"/>
    </w:rPr>
  </w:style>
  <w:style w:type="character" w:customStyle="1" w:styleId="CommentTextChar">
    <w:name w:val="Comment Text Char"/>
    <w:link w:val="CommentText"/>
    <w:uiPriority w:val="99"/>
    <w:semiHidden/>
    <w:rPr>
      <w:rFonts w:ascii="Calibri" w:eastAsia="Calibri" w:hAnsi="Calibri"/>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Pr>
      <w:rFonts w:ascii="Calibri" w:eastAsia="Calibri" w:hAnsi="Calibri"/>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FootnoteTextChar">
    <w:name w:val="Footnote Text Char"/>
    <w:aliases w:val="ALTS FOOTNOTE Char Char1,ALTS FOOTNOTE Char2,Footnote Text Char Char Char Char1,Footnote Text Char1 Char Char1,Footnote Text Char1 Char1 Char Char Char Char,Footnote Text Char2 Char Char Char Char1,f Char1,fn Char Char1,fn Char2"/>
    <w:link w:val="FootnoteText"/>
    <w:rPr>
      <w:sz w:val="22"/>
    </w:rPr>
  </w:style>
  <w:style w:type="character" w:customStyle="1" w:styleId="FooterChar">
    <w:name w:val="Footer Char"/>
    <w:link w:val="Footer"/>
    <w:uiPriority w:val="99"/>
    <w:rPr>
      <w:sz w:val="22"/>
    </w:rPr>
  </w:style>
  <w:style w:type="paragraph" w:styleId="NoSpacing">
    <w:name w:val="No Spacing"/>
    <w:uiPriority w:val="1"/>
    <w:qFormat/>
    <w:rPr>
      <w:sz w:val="22"/>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ocked/>
  </w:style>
  <w:style w:type="character" w:customStyle="1" w:styleId="apple-converted-space">
    <w:name w:val="apple-converted-space"/>
    <w:basedOn w:val="DefaultParagraphFont"/>
  </w:style>
  <w:style w:type="paragraph" w:styleId="Revision">
    <w:name w:val="Revision"/>
    <w:hidden/>
    <w:uiPriority w:val="99"/>
    <w:semiHidden/>
    <w:rPr>
      <w:sz w:val="22"/>
    </w:rPr>
  </w:style>
  <w:style w:type="character" w:customStyle="1" w:styleId="UnresolvedMention">
    <w:name w:val="Unresolved Mention"/>
    <w:basedOn w:val="DefaultParagraphFont"/>
    <w:uiPriority w:val="99"/>
    <w:semiHidden/>
    <w:unhideWhenUsed/>
    <w:rsid w:val="00AE7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hyperlink" Target="http://apps.fcc.gov/ecfs/" TargetMode="External" /><Relationship Id="rId8" Type="http://schemas.openxmlformats.org/officeDocument/2006/relationships/hyperlink" Target="mailto:John.Evanoff@fcc.gov" TargetMode="External" /><Relationship Id="rId9" Type="http://schemas.openxmlformats.org/officeDocument/2006/relationships/theme" Target="theme/theme1.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61297232821/Final%20GTA%20Kari's%20Law%20Waiver.pdf" TargetMode="External" /><Relationship Id="rId2"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D:\Users\Garnet.Hanly\AppData\Local\Microsoft\Windows\Temporary%20Internet%20Files\Content.MSO\9B7590A8.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9B7590A8</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