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60604" w:rsidRPr="00160604" w:rsidP="00160604" w14:paraId="55811948" w14:textId="6DC0B2E1">
      <w:pPr>
        <w:spacing w:before="120" w:after="0"/>
        <w:contextualSpacing/>
        <w:jc w:val="right"/>
        <w:mirrorIndents/>
        <w:rPr>
          <w:rFonts w:ascii="Times New Roman" w:eastAsia="Calibri" w:hAnsi="Times New Roman" w:cs="Times New Roman"/>
          <w:b/>
        </w:rPr>
      </w:pPr>
      <w:r w:rsidRPr="00160604">
        <w:rPr>
          <w:rFonts w:ascii="Times New Roman" w:eastAsia="Calibri" w:hAnsi="Times New Roman" w:cs="Times New Roman"/>
        </w:rPr>
        <w:t xml:space="preserve">                                                                                                                    </w:t>
      </w:r>
      <w:r w:rsidRPr="00160604">
        <w:rPr>
          <w:rFonts w:ascii="Times New Roman" w:eastAsia="Calibri" w:hAnsi="Times New Roman" w:cs="Times New Roman"/>
        </w:rPr>
        <w:tab/>
        <w:t xml:space="preserve">          </w:t>
      </w:r>
      <w:r w:rsidR="003F4514">
        <w:rPr>
          <w:rFonts w:ascii="Times New Roman" w:eastAsia="Calibri" w:hAnsi="Times New Roman" w:cs="Times New Roman"/>
          <w:b/>
        </w:rPr>
        <w:t xml:space="preserve">DA </w:t>
      </w:r>
      <w:r w:rsidR="009321A5">
        <w:rPr>
          <w:rFonts w:ascii="Times New Roman" w:eastAsia="Calibri" w:hAnsi="Times New Roman" w:cs="Times New Roman"/>
          <w:b/>
        </w:rPr>
        <w:t>20</w:t>
      </w:r>
      <w:r w:rsidR="003F4514">
        <w:rPr>
          <w:rFonts w:ascii="Times New Roman" w:eastAsia="Calibri" w:hAnsi="Times New Roman" w:cs="Times New Roman"/>
          <w:b/>
        </w:rPr>
        <w:t>-</w:t>
      </w:r>
      <w:r w:rsidR="001B4262">
        <w:rPr>
          <w:rFonts w:ascii="Times New Roman" w:eastAsia="Calibri" w:hAnsi="Times New Roman" w:cs="Times New Roman"/>
          <w:b/>
        </w:rPr>
        <w:t>1119</w:t>
      </w:r>
    </w:p>
    <w:p w:rsidR="00160604" w:rsidRPr="00160604" w:rsidP="00160604" w14:paraId="54B3D29F" w14:textId="77777777">
      <w:pPr>
        <w:spacing w:before="120" w:after="0"/>
        <w:contextualSpacing/>
        <w:jc w:val="right"/>
        <w:mirrorIndents/>
        <w:rPr>
          <w:rFonts w:ascii="Times New Roman" w:eastAsia="Calibri" w:hAnsi="Times New Roman" w:cs="Times New Roman"/>
        </w:rPr>
      </w:pPr>
    </w:p>
    <w:p w:rsidR="00160604" w:rsidRPr="00A84E41" w:rsidP="00160604" w14:paraId="11A3F415" w14:textId="04332223">
      <w:pPr>
        <w:spacing w:before="120" w:after="0"/>
        <w:contextualSpacing/>
        <w:jc w:val="center"/>
        <w:mirrorIndents/>
        <w:rPr>
          <w:rFonts w:ascii="Times New Roman" w:eastAsia="Calibri" w:hAnsi="Times New Roman" w:cs="Times New Roman"/>
          <w:b/>
          <w:sz w:val="28"/>
          <w:szCs w:val="28"/>
        </w:rPr>
      </w:pPr>
      <w:r>
        <w:rPr>
          <w:rFonts w:ascii="Times New Roman" w:eastAsia="Calibri" w:hAnsi="Times New Roman" w:cs="Times New Roman"/>
          <w:b/>
          <w:sz w:val="28"/>
          <w:szCs w:val="28"/>
        </w:rPr>
        <w:t>SMALL ENTITY COMPLIANCE GUIDE</w:t>
      </w:r>
    </w:p>
    <w:p w:rsidR="00A272FE" w:rsidP="00160604" w14:paraId="37EF16D7" w14:textId="77777777">
      <w:pPr>
        <w:spacing w:before="120" w:after="0"/>
        <w:contextualSpacing/>
        <w:jc w:val="center"/>
        <w:mirrorIndents/>
        <w:rPr>
          <w:rFonts w:ascii="Times New Roman" w:eastAsia="Calibri" w:hAnsi="Times New Roman" w:cs="Times New Roman"/>
          <w:b/>
        </w:rPr>
      </w:pPr>
    </w:p>
    <w:p w:rsidR="0034543A" w:rsidP="0034543A" w14:paraId="4342F2AC" w14:textId="41DFD09B">
      <w:pPr>
        <w:spacing w:before="120" w:after="0"/>
        <w:contextualSpacing/>
        <w:jc w:val="center"/>
        <w:mirrorIndents/>
        <w:rPr>
          <w:rFonts w:ascii="Times New Roman" w:hAnsi="Times New Roman" w:cs="Times New Roman"/>
          <w:b/>
          <w:sz w:val="24"/>
          <w:szCs w:val="24"/>
        </w:rPr>
      </w:pPr>
      <w:r>
        <w:rPr>
          <w:rFonts w:ascii="Times New Roman" w:hAnsi="Times New Roman" w:cs="Times New Roman"/>
          <w:b/>
          <w:sz w:val="24"/>
          <w:szCs w:val="24"/>
        </w:rPr>
        <w:t xml:space="preserve">Auction of </w:t>
      </w:r>
      <w:r w:rsidR="003F4514">
        <w:rPr>
          <w:rFonts w:ascii="Times New Roman" w:hAnsi="Times New Roman" w:cs="Times New Roman"/>
          <w:b/>
          <w:sz w:val="24"/>
          <w:szCs w:val="24"/>
        </w:rPr>
        <w:t>Flexible-Use Service</w:t>
      </w:r>
      <w:r>
        <w:rPr>
          <w:rFonts w:ascii="Times New Roman" w:hAnsi="Times New Roman" w:cs="Times New Roman"/>
          <w:b/>
          <w:sz w:val="24"/>
          <w:szCs w:val="24"/>
        </w:rPr>
        <w:t xml:space="preserve"> Licenses in the 3</w:t>
      </w:r>
      <w:r w:rsidR="003F4514">
        <w:rPr>
          <w:rFonts w:ascii="Times New Roman" w:hAnsi="Times New Roman" w:cs="Times New Roman"/>
          <w:b/>
          <w:sz w:val="24"/>
          <w:szCs w:val="24"/>
        </w:rPr>
        <w:t>.7–</w:t>
      </w:r>
      <w:r>
        <w:rPr>
          <w:rFonts w:ascii="Times New Roman" w:hAnsi="Times New Roman" w:cs="Times New Roman"/>
          <w:b/>
          <w:sz w:val="24"/>
          <w:szCs w:val="24"/>
        </w:rPr>
        <w:t>3</w:t>
      </w:r>
      <w:r w:rsidR="003F4514">
        <w:rPr>
          <w:rFonts w:ascii="Times New Roman" w:hAnsi="Times New Roman" w:cs="Times New Roman"/>
          <w:b/>
          <w:sz w:val="24"/>
          <w:szCs w:val="24"/>
        </w:rPr>
        <w:t>.98</w:t>
      </w:r>
      <w:r>
        <w:rPr>
          <w:rFonts w:ascii="Times New Roman" w:hAnsi="Times New Roman" w:cs="Times New Roman"/>
          <w:b/>
          <w:sz w:val="24"/>
          <w:szCs w:val="24"/>
        </w:rPr>
        <w:t xml:space="preserve"> </w:t>
      </w:r>
      <w:r w:rsidR="003F4514">
        <w:rPr>
          <w:rFonts w:ascii="Times New Roman" w:hAnsi="Times New Roman" w:cs="Times New Roman"/>
          <w:b/>
          <w:sz w:val="24"/>
          <w:szCs w:val="24"/>
        </w:rPr>
        <w:t>G</w:t>
      </w:r>
      <w:r>
        <w:rPr>
          <w:rFonts w:ascii="Times New Roman" w:hAnsi="Times New Roman" w:cs="Times New Roman"/>
          <w:b/>
          <w:sz w:val="24"/>
          <w:szCs w:val="24"/>
        </w:rPr>
        <w:t>Hz Band</w:t>
      </w:r>
    </w:p>
    <w:p w:rsidR="0034543A" w:rsidP="0034543A" w14:paraId="7A647AE3" w14:textId="77F171A7">
      <w:pPr>
        <w:spacing w:before="120" w:after="0"/>
        <w:contextualSpacing/>
        <w:jc w:val="center"/>
        <w:mirrorIndents/>
        <w:rPr>
          <w:rFonts w:ascii="Times New Roman" w:hAnsi="Times New Roman" w:cs="Times New Roman"/>
          <w:b/>
          <w:sz w:val="24"/>
          <w:szCs w:val="24"/>
        </w:rPr>
      </w:pPr>
      <w:r>
        <w:rPr>
          <w:rFonts w:ascii="Times New Roman" w:hAnsi="Times New Roman" w:cs="Times New Roman"/>
          <w:b/>
          <w:sz w:val="24"/>
          <w:szCs w:val="24"/>
        </w:rPr>
        <w:t xml:space="preserve"> (Auction 10</w:t>
      </w:r>
      <w:r w:rsidR="003F4514">
        <w:rPr>
          <w:rFonts w:ascii="Times New Roman" w:hAnsi="Times New Roman" w:cs="Times New Roman"/>
          <w:b/>
          <w:sz w:val="24"/>
          <w:szCs w:val="24"/>
        </w:rPr>
        <w:t>7</w:t>
      </w:r>
      <w:r>
        <w:rPr>
          <w:rFonts w:ascii="Times New Roman" w:hAnsi="Times New Roman" w:cs="Times New Roman"/>
          <w:b/>
          <w:sz w:val="24"/>
          <w:szCs w:val="24"/>
        </w:rPr>
        <w:t xml:space="preserve"> Procedures)</w:t>
      </w:r>
    </w:p>
    <w:p w:rsidR="0034543A" w:rsidRPr="00160604" w:rsidP="0034543A" w14:paraId="7BCB3E76" w14:textId="77777777">
      <w:pPr>
        <w:spacing w:before="120" w:after="0"/>
        <w:ind w:left="1080"/>
        <w:contextualSpacing/>
        <w:jc w:val="center"/>
        <w:mirrorIndents/>
        <w:rPr>
          <w:rFonts w:ascii="Times New Roman" w:eastAsia="Calibri" w:hAnsi="Times New Roman" w:cs="Times New Roman"/>
          <w:b/>
        </w:rPr>
      </w:pPr>
    </w:p>
    <w:p w:rsidR="0034543A" w:rsidRPr="00705E46" w:rsidP="0034543A" w14:paraId="3F283991" w14:textId="57E33711">
      <w:pPr>
        <w:spacing w:before="120" w:after="0"/>
        <w:contextualSpacing/>
        <w:jc w:val="center"/>
        <w:mirrorIndents/>
        <w:rPr>
          <w:rFonts w:ascii="Times New Roman" w:eastAsia="Calibri" w:hAnsi="Times New Roman" w:cs="Times New Roman"/>
          <w:b/>
        </w:rPr>
      </w:pPr>
      <w:r>
        <w:rPr>
          <w:rFonts w:ascii="Times New Roman" w:eastAsia="Calibri" w:hAnsi="Times New Roman" w:cs="Times New Roman"/>
          <w:b/>
        </w:rPr>
        <w:t>FCC</w:t>
      </w:r>
      <w:r w:rsidRPr="00705E46">
        <w:rPr>
          <w:rFonts w:ascii="Times New Roman" w:eastAsia="Calibri" w:hAnsi="Times New Roman" w:cs="Times New Roman"/>
          <w:b/>
        </w:rPr>
        <w:t xml:space="preserve"> </w:t>
      </w:r>
      <w:r>
        <w:rPr>
          <w:rFonts w:ascii="Times New Roman" w:eastAsia="Calibri" w:hAnsi="Times New Roman" w:cs="Times New Roman"/>
          <w:b/>
        </w:rPr>
        <w:t>20</w:t>
      </w:r>
      <w:r w:rsidRPr="00705E46">
        <w:rPr>
          <w:rFonts w:ascii="Times New Roman" w:eastAsia="Calibri" w:hAnsi="Times New Roman" w:cs="Times New Roman"/>
          <w:b/>
        </w:rPr>
        <w:t>-</w:t>
      </w:r>
      <w:r>
        <w:rPr>
          <w:rFonts w:ascii="Times New Roman" w:eastAsia="Calibri" w:hAnsi="Times New Roman" w:cs="Times New Roman"/>
          <w:b/>
        </w:rPr>
        <w:t>1</w:t>
      </w:r>
      <w:r w:rsidR="003F4514">
        <w:rPr>
          <w:rFonts w:ascii="Times New Roman" w:eastAsia="Calibri" w:hAnsi="Times New Roman" w:cs="Times New Roman"/>
          <w:b/>
        </w:rPr>
        <w:t>10</w:t>
      </w:r>
    </w:p>
    <w:p w:rsidR="0017583D" w:rsidP="0017583D" w14:paraId="5B15A532" w14:textId="1D0EAF8C">
      <w:pPr>
        <w:spacing w:before="120" w:after="0"/>
        <w:contextualSpacing/>
        <w:jc w:val="center"/>
        <w:mirrorIndents/>
      </w:pPr>
      <w:r w:rsidRPr="00705E46">
        <w:rPr>
          <w:rFonts w:ascii="Times New Roman" w:eastAsia="Calibri" w:hAnsi="Times New Roman" w:cs="Times New Roman"/>
          <w:b/>
        </w:rPr>
        <w:t xml:space="preserve">AU Docket No. </w:t>
      </w:r>
      <w:r w:rsidR="003F4514">
        <w:rPr>
          <w:rFonts w:ascii="Times New Roman" w:eastAsia="Calibri" w:hAnsi="Times New Roman" w:cs="Times New Roman"/>
          <w:b/>
        </w:rPr>
        <w:t>20-25</w:t>
      </w:r>
    </w:p>
    <w:p w:rsidR="0017583D" w:rsidP="0017583D" w14:paraId="0F8A25F6" w14:textId="77777777">
      <w:pPr>
        <w:spacing w:before="120" w:after="0"/>
        <w:contextualSpacing/>
        <w:jc w:val="center"/>
        <w:mirrorIndents/>
        <w:rPr>
          <w:rFonts w:ascii="Times New Roman" w:eastAsia="Calibri" w:hAnsi="Times New Roman" w:cs="Times New Roman"/>
          <w:b/>
        </w:rPr>
      </w:pPr>
    </w:p>
    <w:p w:rsidR="00160604" w:rsidRPr="0017583D" w:rsidP="0017583D" w14:paraId="60360F19" w14:textId="5DBEA4BE">
      <w:pPr>
        <w:spacing w:before="120" w:after="0"/>
        <w:contextualSpacing/>
        <w:jc w:val="center"/>
        <w:mirrorIndents/>
      </w:pPr>
      <w:r w:rsidRPr="00705E46">
        <w:rPr>
          <w:rFonts w:ascii="Times New Roman" w:eastAsia="Calibri" w:hAnsi="Times New Roman" w:cs="Times New Roman"/>
          <w:b/>
        </w:rPr>
        <w:t>Released</w:t>
      </w:r>
      <w:r>
        <w:rPr>
          <w:rFonts w:ascii="Times New Roman" w:eastAsia="Calibri" w:hAnsi="Times New Roman" w:cs="Times New Roman"/>
          <w:b/>
        </w:rPr>
        <w:t>:</w:t>
      </w:r>
      <w:r w:rsidRPr="00705E46">
        <w:rPr>
          <w:rFonts w:ascii="Times New Roman" w:eastAsia="Calibri" w:hAnsi="Times New Roman" w:cs="Times New Roman"/>
          <w:b/>
        </w:rPr>
        <w:t xml:space="preserve"> </w:t>
      </w:r>
      <w:r>
        <w:rPr>
          <w:rFonts w:ascii="Times New Roman" w:eastAsia="Calibri" w:hAnsi="Times New Roman" w:cs="Times New Roman"/>
          <w:b/>
        </w:rPr>
        <w:t xml:space="preserve"> </w:t>
      </w:r>
      <w:r w:rsidR="003F4514">
        <w:rPr>
          <w:rFonts w:ascii="Times New Roman" w:eastAsia="Calibri" w:hAnsi="Times New Roman" w:cs="Times New Roman"/>
          <w:b/>
        </w:rPr>
        <w:t>August 7</w:t>
      </w:r>
      <w:r w:rsidRPr="00705E46">
        <w:rPr>
          <w:rFonts w:ascii="Times New Roman" w:eastAsia="Calibri" w:hAnsi="Times New Roman" w:cs="Times New Roman"/>
          <w:b/>
        </w:rPr>
        <w:t>, 20</w:t>
      </w:r>
      <w:r>
        <w:rPr>
          <w:rFonts w:ascii="Times New Roman" w:eastAsia="Calibri" w:hAnsi="Times New Roman" w:cs="Times New Roman"/>
          <w:b/>
        </w:rPr>
        <w:t>20</w:t>
      </w:r>
    </w:p>
    <w:p w:rsidR="0017583D" w:rsidP="00A84E41" w14:paraId="30DEDDCC" w14:textId="77777777">
      <w:pPr>
        <w:spacing w:before="120" w:after="0"/>
        <w:ind w:left="540" w:right="180"/>
        <w:contextualSpacing/>
        <w:jc w:val="both"/>
        <w:mirrorIndents/>
        <w:rPr>
          <w:rFonts w:ascii="Times New Roman" w:eastAsia="Calibri" w:hAnsi="Times New Roman" w:cs="Times New Roman"/>
          <w:b/>
        </w:rPr>
      </w:pPr>
    </w:p>
    <w:p w:rsidR="00160604" w:rsidRPr="00160604" w:rsidP="00A84E41" w14:paraId="14EE2387" w14:textId="56EF2EAF">
      <w:pPr>
        <w:spacing w:before="120" w:after="0"/>
        <w:ind w:left="540" w:right="180"/>
        <w:contextualSpacing/>
        <w:jc w:val="both"/>
        <w:mirrorIndents/>
        <w:rPr>
          <w:rFonts w:ascii="Times New Roman" w:eastAsia="Calibri" w:hAnsi="Times New Roman" w:cs="Times New Roman"/>
          <w:b/>
        </w:rPr>
      </w:pPr>
      <w:r w:rsidRPr="00160604">
        <w:rPr>
          <w:rFonts w:ascii="Times New Roman" w:eastAsia="Calibri" w:hAnsi="Times New Roman" w:cs="Times New Roman"/>
          <w:b/>
        </w:rPr>
        <w:t>This Guide is prepared in accordance with the requirements of Section 212 of the Small Business Regulatory Enforcement Fairness Act of 1996.  It is intended to help</w:t>
      </w:r>
      <w:bookmarkStart w:id="0" w:name="_GoBack"/>
      <w:bookmarkEnd w:id="0"/>
      <w:r w:rsidRPr="00160604">
        <w:rPr>
          <w:rFonts w:ascii="Times New Roman" w:eastAsia="Calibri" w:hAnsi="Times New Roman" w:cs="Times New Roman"/>
          <w:b/>
        </w:rPr>
        <w:t xml:space="preserve"> small entities—small businesses, small organizations (non-profits), and small governmental jurisdictions—comply with the revised rules adopted in the above-referenced Federal Communications Commission (FCC or Commission) rulemaking docket.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160604" w:rsidRPr="00160604" w:rsidP="00A84E41" w14:paraId="0ED5A5AC" w14:textId="77777777">
      <w:pPr>
        <w:spacing w:before="120" w:after="0" w:line="240" w:lineRule="auto"/>
        <w:ind w:left="540" w:right="180"/>
        <w:contextualSpacing/>
        <w:jc w:val="both"/>
        <w:mirrorIndents/>
        <w:rPr>
          <w:rFonts w:ascii="Times New Roman" w:eastAsia="Calibri" w:hAnsi="Times New Roman" w:cs="Times New Roman"/>
          <w:b/>
        </w:rPr>
      </w:pPr>
    </w:p>
    <w:p w:rsidR="00160604" w:rsidRPr="00160604" w:rsidP="00A84E41" w14:paraId="354170BB" w14:textId="70E573FB">
      <w:pPr>
        <w:spacing w:before="120" w:after="0"/>
        <w:ind w:left="540" w:right="180"/>
        <w:contextualSpacing/>
        <w:jc w:val="both"/>
        <w:mirrorIndents/>
        <w:rPr>
          <w:rFonts w:ascii="Times New Roman" w:eastAsia="Calibri" w:hAnsi="Times New Roman" w:cs="Times New Roman"/>
          <w:b/>
        </w:rPr>
      </w:pPr>
      <w:r w:rsidRPr="00160604">
        <w:rPr>
          <w:rFonts w:ascii="Times New Roman" w:eastAsia="Calibri"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w:t>
      </w:r>
      <w:r w:rsidR="006A72AA">
        <w:rPr>
          <w:rFonts w:ascii="Times New Roman" w:eastAsia="Calibri" w:hAnsi="Times New Roman" w:cs="Times New Roman"/>
          <w:b/>
        </w:rPr>
        <w:t>,</w:t>
      </w:r>
      <w:r w:rsidRPr="00160604">
        <w:rPr>
          <w:rFonts w:ascii="Times New Roman" w:eastAsia="Calibri" w:hAnsi="Times New Roman" w:cs="Times New Roman"/>
          <w:b/>
        </w:rPr>
        <w:t xml:space="preserve"> or damages.  Interested parties are free to file comments regarding this Guide and the appropriateness of its application to a particular situation. </w:t>
      </w:r>
      <w:r w:rsidR="006A72AA">
        <w:rPr>
          <w:rFonts w:ascii="Times New Roman" w:eastAsia="Calibri" w:hAnsi="Times New Roman" w:cs="Times New Roman"/>
          <w:b/>
        </w:rPr>
        <w:t xml:space="preserve"> </w:t>
      </w:r>
      <w:r w:rsidRPr="00160604">
        <w:rPr>
          <w:rFonts w:ascii="Times New Roman" w:eastAsia="Calibri" w:hAnsi="Times New Roman" w:cs="Times New Roman"/>
          <w:b/>
        </w:rPr>
        <w:t>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160604" w:rsidRPr="00160604" w:rsidP="004E7CAD" w14:paraId="2A8E8715" w14:textId="77777777">
      <w:pPr>
        <w:spacing w:before="120" w:after="0"/>
        <w:ind w:left="540" w:right="180"/>
        <w:contextualSpacing/>
        <w:mirrorIndents/>
        <w:rPr>
          <w:rFonts w:ascii="Times New Roman" w:eastAsia="Calibri" w:hAnsi="Times New Roman" w:cs="Times New Roman"/>
          <w:b/>
        </w:rPr>
      </w:pPr>
    </w:p>
    <w:p w:rsidR="00160604" w:rsidRPr="00160604" w:rsidP="004E7CAD" w14:paraId="38E0FF9B"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1-888-CALL-FCC (1-888-225-5322)</w:t>
      </w:r>
    </w:p>
    <w:p w:rsidR="00160604" w:rsidRPr="00160604" w:rsidP="004E7CAD" w14:paraId="2ABAA205"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TTY: 1-888-TELL-FCC (1-888-835-5322)</w:t>
      </w:r>
    </w:p>
    <w:p w:rsidR="00160604" w:rsidRPr="00160604" w:rsidP="004E7CAD" w14:paraId="54E662F2"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Videophone: 1-844-4-FCC-ASL (1-844-432-2275)</w:t>
      </w:r>
    </w:p>
    <w:p w:rsidR="00160604" w:rsidRPr="00160604" w:rsidP="004E7CAD" w14:paraId="256EC28B" w14:textId="77777777">
      <w:pPr>
        <w:spacing w:before="120" w:after="0"/>
        <w:ind w:left="540" w:right="180"/>
        <w:contextualSpacing/>
        <w:jc w:val="center"/>
        <w:mirrorIndents/>
        <w:rPr>
          <w:rFonts w:ascii="Times New Roman" w:eastAsia="Calibri" w:hAnsi="Times New Roman" w:cs="Times New Roman"/>
          <w:b/>
        </w:rPr>
        <w:sectPr w:rsidSect="00737389">
          <w:headerReference w:type="default" r:id="rId5"/>
          <w:pgSz w:w="12240" w:h="15840"/>
          <w:pgMar w:top="1440" w:right="1440" w:bottom="1008" w:left="1440" w:header="720" w:footer="187" w:gutter="0"/>
          <w:cols w:space="720"/>
          <w:docGrid w:linePitch="360"/>
        </w:sectPr>
      </w:pPr>
      <w:r w:rsidRPr="00160604">
        <w:rPr>
          <w:rFonts w:ascii="Times New Roman" w:eastAsia="Calibri" w:hAnsi="Times New Roman" w:cs="Times New Roman"/>
          <w:b/>
        </w:rPr>
        <w:t>Fax: 1-866-418-0232</w:t>
      </w:r>
    </w:p>
    <w:p w:rsidR="00160604" w:rsidRPr="00643462" w:rsidP="00916FE9" w14:paraId="5C637FA2" w14:textId="39D724E2">
      <w:pPr>
        <w:spacing w:before="120" w:after="0"/>
        <w:contextualSpacing/>
        <w:jc w:val="center"/>
        <w:mirrorIndents/>
        <w:rPr>
          <w:rFonts w:ascii="Times New Roman" w:eastAsia="Calibri" w:hAnsi="Times New Roman" w:cs="Times New Roman"/>
          <w:b/>
          <w:bCs/>
        </w:rPr>
      </w:pPr>
      <w:r w:rsidRPr="00916FE9">
        <w:rPr>
          <w:b/>
          <w:bCs/>
        </w:rPr>
        <w:t>TABLE OF CONTENTS</w:t>
      </w:r>
    </w:p>
    <w:p w:rsidR="00160604" w:rsidP="008F51F1" w14:paraId="70245585" w14:textId="5768FA42">
      <w:pPr>
        <w:tabs>
          <w:tab w:val="left" w:pos="1453"/>
        </w:tabs>
        <w:spacing w:before="120" w:after="0"/>
        <w:contextualSpacing/>
        <w:mirrorIndents/>
        <w:rPr>
          <w:rFonts w:ascii="Times New Roman" w:eastAsia="Calibri" w:hAnsi="Times New Roman" w:cs="Times New Roman"/>
          <w:b/>
        </w:rPr>
      </w:pPr>
      <w:r>
        <w:rPr>
          <w:rFonts w:ascii="Times New Roman" w:eastAsia="Calibri" w:hAnsi="Times New Roman" w:cs="Times New Roman"/>
          <w:b/>
        </w:rPr>
        <w:tab/>
      </w:r>
    </w:p>
    <w:p w:rsidR="00643462" w:rsidP="008F51F1" w14:paraId="71558EB0" w14:textId="77777777">
      <w:pPr>
        <w:tabs>
          <w:tab w:val="left" w:pos="1453"/>
        </w:tabs>
        <w:spacing w:before="120" w:after="0"/>
        <w:contextualSpacing/>
        <w:mirrorIndents/>
        <w:rPr>
          <w:rFonts w:ascii="Times New Roman" w:eastAsia="Calibri" w:hAnsi="Times New Roman" w:cs="Times New Roman"/>
          <w:b/>
        </w:rPr>
      </w:pPr>
    </w:p>
    <w:p w:rsidR="00F148A3" w:rsidRPr="00C419A9" w:rsidP="00F148A3" w14:paraId="32EAF340" w14:textId="284C2B72">
      <w:pPr>
        <w:tabs>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t>1</w:t>
      </w:r>
    </w:p>
    <w:p w:rsidR="00F148A3" w:rsidP="00F148A3" w14:paraId="71916F23" w14:textId="2753FBCD">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t>1</w:t>
      </w:r>
    </w:p>
    <w:p w:rsidR="00F148A3" w:rsidP="00ED1AC6" w14:paraId="7361779D" w14:textId="323CEE9B">
      <w:pPr>
        <w:pStyle w:val="ListParagraph"/>
        <w:numPr>
          <w:ilvl w:val="0"/>
          <w:numId w:val="20"/>
        </w:numPr>
        <w:tabs>
          <w:tab w:val="left" w:pos="1080"/>
          <w:tab w:val="right" w:leader="dot" w:pos="8640"/>
        </w:tabs>
        <w:ind w:left="1080"/>
        <w:rPr>
          <w:rFonts w:ascii="Times New Roman" w:hAnsi="Times New Roman" w:cs="Times New Roman"/>
          <w:b/>
        </w:rPr>
      </w:pPr>
      <w:r>
        <w:rPr>
          <w:rFonts w:ascii="Times New Roman" w:hAnsi="Times New Roman" w:cs="Times New Roman"/>
          <w:b/>
        </w:rPr>
        <w:t>Auction Specifics</w:t>
      </w:r>
      <w:r>
        <w:rPr>
          <w:rFonts w:ascii="Times New Roman" w:hAnsi="Times New Roman" w:cs="Times New Roman"/>
          <w:b/>
        </w:rPr>
        <w:tab/>
        <w:t>1</w:t>
      </w:r>
    </w:p>
    <w:p w:rsidR="00F148A3" w:rsidP="00ED1AC6" w14:paraId="7D36C36F" w14:textId="669A880C">
      <w:pPr>
        <w:pStyle w:val="ListParagraph"/>
        <w:numPr>
          <w:ilvl w:val="0"/>
          <w:numId w:val="20"/>
        </w:numPr>
        <w:tabs>
          <w:tab w:val="left" w:pos="1080"/>
          <w:tab w:val="right" w:leader="dot" w:pos="8640"/>
        </w:tabs>
        <w:ind w:left="1080"/>
        <w:rPr>
          <w:rFonts w:ascii="Times New Roman" w:hAnsi="Times New Roman" w:cs="Times New Roman"/>
          <w:b/>
        </w:rPr>
      </w:pPr>
      <w:r>
        <w:rPr>
          <w:rFonts w:ascii="Times New Roman" w:hAnsi="Times New Roman" w:cs="Times New Roman"/>
          <w:b/>
        </w:rPr>
        <w:t>Application Procedures</w:t>
      </w:r>
      <w:r>
        <w:rPr>
          <w:rFonts w:ascii="Times New Roman" w:hAnsi="Times New Roman" w:cs="Times New Roman"/>
          <w:b/>
        </w:rPr>
        <w:tab/>
        <w:t>2</w:t>
      </w:r>
    </w:p>
    <w:p w:rsidR="00F148A3" w:rsidP="00ED1AC6" w14:paraId="38F46DD7" w14:textId="51622919">
      <w:pPr>
        <w:pStyle w:val="ListParagraph"/>
        <w:numPr>
          <w:ilvl w:val="0"/>
          <w:numId w:val="20"/>
        </w:numPr>
        <w:tabs>
          <w:tab w:val="left" w:pos="1080"/>
          <w:tab w:val="right" w:leader="dot" w:pos="8640"/>
        </w:tabs>
        <w:ind w:left="1080"/>
        <w:rPr>
          <w:rFonts w:ascii="Times New Roman" w:hAnsi="Times New Roman" w:cs="Times New Roman"/>
          <w:b/>
        </w:rPr>
      </w:pPr>
      <w:r>
        <w:rPr>
          <w:rFonts w:ascii="Times New Roman" w:hAnsi="Times New Roman" w:cs="Times New Roman"/>
          <w:b/>
        </w:rPr>
        <w:t>Bidding Procedures</w:t>
      </w:r>
      <w:r>
        <w:rPr>
          <w:rFonts w:ascii="Times New Roman" w:hAnsi="Times New Roman" w:cs="Times New Roman"/>
          <w:b/>
        </w:rPr>
        <w:tab/>
        <w:t>3</w:t>
      </w:r>
    </w:p>
    <w:p w:rsidR="00F148A3" w:rsidRPr="00F148A3" w:rsidP="00ED1AC6" w14:paraId="33CD99C8" w14:textId="3DCF7DC6">
      <w:pPr>
        <w:pStyle w:val="ListParagraph"/>
        <w:numPr>
          <w:ilvl w:val="0"/>
          <w:numId w:val="20"/>
        </w:numPr>
        <w:tabs>
          <w:tab w:val="left" w:pos="1080"/>
          <w:tab w:val="right" w:leader="dot" w:pos="8640"/>
        </w:tabs>
        <w:ind w:left="1080"/>
        <w:rPr>
          <w:rFonts w:ascii="Times New Roman" w:hAnsi="Times New Roman" w:cs="Times New Roman"/>
          <w:b/>
        </w:rPr>
      </w:pPr>
      <w:r w:rsidRPr="00F148A3">
        <w:rPr>
          <w:rFonts w:ascii="Times New Roman" w:hAnsi="Times New Roman" w:cs="Times New Roman"/>
          <w:b/>
        </w:rPr>
        <w:t>Post-Auction Procedures</w:t>
      </w:r>
      <w:r w:rsidRPr="00F148A3">
        <w:rPr>
          <w:rFonts w:ascii="Times New Roman" w:hAnsi="Times New Roman" w:cs="Times New Roman"/>
          <w:b/>
        </w:rPr>
        <w:tab/>
      </w:r>
      <w:r>
        <w:rPr>
          <w:rFonts w:ascii="Times New Roman" w:hAnsi="Times New Roman" w:cs="Times New Roman"/>
          <w:b/>
        </w:rPr>
        <w:t>4</w:t>
      </w:r>
    </w:p>
    <w:p w:rsidR="00F148A3" w:rsidRPr="00916FE9" w:rsidP="00F148A3" w14:paraId="0CB8A817" w14:textId="7CAF3001">
      <w:pPr>
        <w:tabs>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643462">
        <w:rPr>
          <w:rFonts w:ascii="Times New Roman" w:hAnsi="Times New Roman" w:cs="Times New Roman"/>
          <w:b/>
        </w:rPr>
        <w:t>5</w:t>
      </w:r>
    </w:p>
    <w:p w:rsidR="00F148A3" w:rsidRPr="00C419A9" w:rsidP="00F148A3" w14:paraId="702273D4" w14:textId="5C18D8AA">
      <w:pPr>
        <w:tabs>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t>5</w:t>
      </w:r>
    </w:p>
    <w:p w:rsidR="00F148A3" w:rsidRPr="00C419A9" w:rsidP="00F148A3" w14:paraId="74C2888B" w14:textId="403CD364">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t>5</w:t>
      </w:r>
    </w:p>
    <w:p w:rsidR="00E12D34" w:rsidRPr="00160604" w:rsidP="00160604" w14:paraId="1DDDF6F9" w14:textId="77777777">
      <w:pPr>
        <w:spacing w:before="120" w:after="0"/>
        <w:contextualSpacing/>
        <w:mirrorIndents/>
        <w:rPr>
          <w:rFonts w:ascii="Times New Roman" w:eastAsia="Calibri" w:hAnsi="Times New Roman" w:cs="Times New Roman"/>
          <w:b/>
        </w:rPr>
      </w:pPr>
    </w:p>
    <w:p w:rsidR="00160604" w:rsidRPr="00160604" w:rsidP="00160604" w14:paraId="3CF1D032" w14:textId="77777777">
      <w:pPr>
        <w:spacing w:before="120" w:after="0"/>
        <w:contextualSpacing/>
        <w:mirrorIndents/>
        <w:rPr>
          <w:rFonts w:ascii="Times New Roman" w:eastAsia="Calibri" w:hAnsi="Times New Roman" w:cs="Times New Roman"/>
          <w:b/>
        </w:rPr>
      </w:pPr>
    </w:p>
    <w:p w:rsidR="00160604" w:rsidRPr="00160604" w:rsidP="00160604" w14:paraId="23CCD1D4" w14:textId="77777777">
      <w:pPr>
        <w:spacing w:before="120" w:after="0"/>
        <w:contextualSpacing/>
        <w:mirrorIndents/>
        <w:rPr>
          <w:rFonts w:ascii="Times New Roman" w:eastAsia="Calibri" w:hAnsi="Times New Roman" w:cs="Times New Roman"/>
          <w:b/>
        </w:rPr>
        <w:sectPr w:rsidSect="00737389">
          <w:headerReference w:type="default" r:id="rId6"/>
          <w:pgSz w:w="12240" w:h="15840"/>
          <w:pgMar w:top="1440" w:right="1440" w:bottom="1008" w:left="1440" w:header="720" w:footer="187" w:gutter="0"/>
          <w:pgNumType w:start="1"/>
          <w:cols w:space="720"/>
          <w:docGrid w:linePitch="360"/>
        </w:sectPr>
      </w:pPr>
    </w:p>
    <w:p w:rsidR="00160604" w:rsidRPr="00F130D6" w:rsidP="004276F0" w14:paraId="55540306" w14:textId="4D1F7A91">
      <w:pPr>
        <w:pStyle w:val="Heading1"/>
        <w:tabs>
          <w:tab w:val="left" w:pos="720"/>
        </w:tabs>
        <w:spacing w:before="120" w:after="120"/>
        <w:rPr>
          <w:rFonts w:cs="Times New Roman"/>
          <w:color w:val="2F5496" w:themeColor="accent1" w:themeShade="BF"/>
          <w:sz w:val="32"/>
        </w:rPr>
      </w:pPr>
      <w:r w:rsidRPr="00E272C1">
        <w:rPr>
          <w:rFonts w:cs="Times New Roman"/>
          <w:szCs w:val="22"/>
        </w:rPr>
        <w:t>I.           OBJECTIVES OF THE PROCEEDING</w:t>
      </w:r>
    </w:p>
    <w:p w:rsidR="008B5F44" w:rsidRPr="00AE2943" w:rsidP="004276F0" w14:paraId="7C9CC8B7" w14:textId="15460DEA">
      <w:pPr>
        <w:spacing w:before="120" w:after="120" w:line="240" w:lineRule="auto"/>
        <w:ind w:firstLine="720"/>
        <w:rPr>
          <w:rFonts w:ascii="Times New Roman" w:hAnsi="Times New Roman" w:cs="Times New Roman"/>
        </w:rPr>
      </w:pPr>
      <w:r w:rsidRPr="00AE2943">
        <w:rPr>
          <w:rFonts w:ascii="Times New Roman" w:hAnsi="Times New Roman" w:cs="Times New Roman"/>
        </w:rPr>
        <w:t>This Small Entity Compliance Guide (SECG)</w:t>
      </w:r>
      <w:r w:rsidRPr="00AE2943" w:rsidR="00FC7A36">
        <w:rPr>
          <w:rFonts w:ascii="Times New Roman" w:hAnsi="Times New Roman" w:cs="Times New Roman"/>
        </w:rPr>
        <w:t xml:space="preserve"> i</w:t>
      </w:r>
      <w:r w:rsidRPr="00AE2943" w:rsidR="00FC7A36">
        <w:rPr>
          <w:iCs/>
        </w:rPr>
        <w:t>s designed to help individuals and small businesses understand</w:t>
      </w:r>
      <w:r w:rsidRPr="00AE2943">
        <w:rPr>
          <w:rFonts w:ascii="Times New Roman" w:hAnsi="Times New Roman" w:cs="Times New Roman"/>
        </w:rPr>
        <w:t xml:space="preserve"> the </w:t>
      </w:r>
      <w:r w:rsidRPr="00AE2943">
        <w:rPr>
          <w:rFonts w:ascii="Times New Roman" w:hAnsi="Times New Roman" w:cs="Times New Roman"/>
        </w:rPr>
        <w:t>filing requirements and other procedure</w:t>
      </w:r>
      <w:r w:rsidRPr="00AE2943" w:rsidR="007E6F75">
        <w:rPr>
          <w:rFonts w:ascii="Times New Roman" w:hAnsi="Times New Roman" w:cs="Times New Roman"/>
        </w:rPr>
        <w:t>s</w:t>
      </w:r>
      <w:r w:rsidRPr="00AE2943">
        <w:rPr>
          <w:rFonts w:ascii="Times New Roman" w:hAnsi="Times New Roman" w:cs="Times New Roman"/>
        </w:rPr>
        <w:t xml:space="preserve"> for the Commission’s auction of</w:t>
      </w:r>
      <w:r w:rsidR="00803AC8">
        <w:rPr>
          <w:rFonts w:ascii="Times New Roman" w:hAnsi="Times New Roman" w:cs="Times New Roman"/>
        </w:rPr>
        <w:t xml:space="preserve"> 3.7 GHz Service </w:t>
      </w:r>
      <w:r w:rsidR="00803AC8">
        <w:t>l</w:t>
      </w:r>
      <w:r w:rsidRPr="00AE2943" w:rsidR="00AE2943">
        <w:t>icenses</w:t>
      </w:r>
      <w:bookmarkStart w:id="1" w:name="_Hlk32923951"/>
      <w:r w:rsidR="00803AC8">
        <w:t xml:space="preserve"> </w:t>
      </w:r>
      <w:r w:rsidRPr="00AE2943">
        <w:rPr>
          <w:rFonts w:ascii="Times New Roman" w:hAnsi="Times New Roman" w:cs="Times New Roman"/>
        </w:rPr>
        <w:t>in the</w:t>
      </w:r>
      <w:r w:rsidRPr="00AE2943" w:rsidR="004E1578">
        <w:rPr>
          <w:rFonts w:ascii="Times New Roman" w:hAnsi="Times New Roman" w:cs="Times New Roman"/>
        </w:rPr>
        <w:t xml:space="preserve"> </w:t>
      </w:r>
      <w:r w:rsidR="00803AC8">
        <w:rPr>
          <w:rFonts w:ascii="Times New Roman" w:hAnsi="Times New Roman" w:cs="Times New Roman"/>
        </w:rPr>
        <w:t>3.7–3.98 GHz</w:t>
      </w:r>
      <w:r w:rsidRPr="00AE2943" w:rsidR="00AE2943">
        <w:rPr>
          <w:rFonts w:ascii="Times New Roman" w:hAnsi="Times New Roman" w:cs="Times New Roman"/>
        </w:rPr>
        <w:t xml:space="preserve"> band</w:t>
      </w:r>
      <w:bookmarkEnd w:id="1"/>
      <w:r w:rsidRPr="00AE2943">
        <w:rPr>
          <w:rFonts w:ascii="Times New Roman" w:hAnsi="Times New Roman" w:cs="Times New Roman"/>
        </w:rPr>
        <w:t xml:space="preserve">, which were established in the </w:t>
      </w:r>
      <w:r w:rsidRPr="00AE2943">
        <w:rPr>
          <w:rFonts w:ascii="Times New Roman" w:hAnsi="Times New Roman" w:cs="Times New Roman"/>
        </w:rPr>
        <w:t>Commission</w:t>
      </w:r>
      <w:r w:rsidRPr="00AE2943" w:rsidR="00695ED5">
        <w:rPr>
          <w:rFonts w:ascii="Times New Roman" w:hAnsi="Times New Roman" w:cs="Times New Roman"/>
        </w:rPr>
        <w:t>’</w:t>
      </w:r>
      <w:r w:rsidRPr="00AE2943">
        <w:rPr>
          <w:rFonts w:ascii="Times New Roman" w:hAnsi="Times New Roman" w:cs="Times New Roman"/>
        </w:rPr>
        <w:t>s</w:t>
      </w:r>
      <w:r w:rsidRPr="00AE2943" w:rsidR="00945A5E">
        <w:rPr>
          <w:rFonts w:ascii="Times New Roman" w:hAnsi="Times New Roman" w:cs="Times New Roman"/>
        </w:rPr>
        <w:t xml:space="preserve"> </w:t>
      </w:r>
      <w:r w:rsidRPr="00AE2943" w:rsidR="00945A5E">
        <w:rPr>
          <w:rFonts w:ascii="Times New Roman" w:hAnsi="Times New Roman" w:cs="Times New Roman"/>
          <w:i/>
          <w:color w:val="000000" w:themeColor="text1"/>
        </w:rPr>
        <w:t>Auction 10</w:t>
      </w:r>
      <w:r w:rsidR="00803AC8">
        <w:rPr>
          <w:rFonts w:ascii="Times New Roman" w:hAnsi="Times New Roman" w:cs="Times New Roman"/>
          <w:i/>
          <w:color w:val="000000" w:themeColor="text1"/>
        </w:rPr>
        <w:t>7</w:t>
      </w:r>
      <w:r w:rsidRPr="00AE2943" w:rsidR="00945A5E">
        <w:rPr>
          <w:rFonts w:ascii="Times New Roman" w:hAnsi="Times New Roman" w:cs="Times New Roman"/>
          <w:i/>
          <w:color w:val="000000" w:themeColor="text1"/>
        </w:rPr>
        <w:t xml:space="preserve"> Procedures Public Notice</w:t>
      </w:r>
      <w:r w:rsidRPr="00AE2943">
        <w:rPr>
          <w:rFonts w:ascii="Times New Roman" w:hAnsi="Times New Roman" w:cs="Times New Roman"/>
        </w:rPr>
        <w:t>.</w:t>
      </w:r>
      <w:bookmarkStart w:id="2" w:name="_Ref511656218"/>
      <w:r>
        <w:rPr>
          <w:rFonts w:ascii="Times New Roman" w:hAnsi="Times New Roman" w:cs="Times New Roman"/>
          <w:vertAlign w:val="superscript"/>
        </w:rPr>
        <w:footnoteReference w:id="2"/>
      </w:r>
      <w:bookmarkEnd w:id="2"/>
      <w:r w:rsidRPr="00AE2943" w:rsidR="003D77FF">
        <w:rPr>
          <w:rFonts w:ascii="Times New Roman" w:hAnsi="Times New Roman" w:cs="Times New Roman"/>
        </w:rPr>
        <w:t xml:space="preserve">  </w:t>
      </w:r>
      <w:r w:rsidRPr="00AE2943">
        <w:t>This guide is not a substitute for reading and reviewing orders, rules</w:t>
      </w:r>
      <w:r w:rsidRPr="00AE2943" w:rsidR="00C0065E">
        <w:t>,</w:t>
      </w:r>
      <w:r w:rsidRPr="00AE2943">
        <w:t xml:space="preserve"> and public notices applicable </w:t>
      </w:r>
      <w:r w:rsidRPr="00AE2943" w:rsidR="00FE317F">
        <w:t>to</w:t>
      </w:r>
      <w:r w:rsidRPr="00AE2943">
        <w:t xml:space="preserve"> the auction, nor is it a substitute for legal advice on how the competitive bidding rules apply to your circumstances. </w:t>
      </w:r>
    </w:p>
    <w:p w:rsidR="00FF2019" w:rsidP="008F51F1" w14:paraId="28A72A99" w14:textId="421EC3CE">
      <w:pPr>
        <w:ind w:firstLine="720"/>
        <w:rPr>
          <w:rFonts w:ascii="Times New Roman" w:hAnsi="Times New Roman" w:cs="Times New Roman"/>
        </w:rPr>
      </w:pPr>
      <w:r w:rsidRPr="00217145">
        <w:rPr>
          <w:rFonts w:ascii="Times New Roman" w:hAnsi="Times New Roman" w:cs="Times New Roman"/>
        </w:rPr>
        <w:t xml:space="preserve">The </w:t>
      </w:r>
      <w:r w:rsidRPr="00065141">
        <w:rPr>
          <w:rFonts w:ascii="Times New Roman" w:hAnsi="Times New Roman" w:cs="Times New Roman"/>
        </w:rPr>
        <w:t>Commission</w:t>
      </w:r>
      <w:r w:rsidRPr="00217145">
        <w:rPr>
          <w:rFonts w:ascii="Times New Roman" w:hAnsi="Times New Roman" w:cs="Times New Roman"/>
        </w:rPr>
        <w:t xml:space="preserve"> established </w:t>
      </w:r>
      <w:r>
        <w:t>this auction</w:t>
      </w:r>
      <w:r w:rsidRPr="00435180">
        <w:t xml:space="preserve"> to further the deployment of fifth-generation (5G) wireless, the Internet of Things (IoT), and other advanced spectrum-based services.</w:t>
      </w:r>
      <w:r>
        <w:rPr>
          <w:rFonts w:ascii="Times New Roman" w:hAnsi="Times New Roman" w:cs="Times New Roman"/>
        </w:rPr>
        <w:t xml:space="preserve">  The </w:t>
      </w:r>
      <w:r w:rsidRPr="00F130D6">
        <w:rPr>
          <w:rFonts w:ascii="Times New Roman" w:hAnsi="Times New Roman" w:cs="Times New Roman"/>
          <w:i/>
        </w:rPr>
        <w:t xml:space="preserve">Auction </w:t>
      </w:r>
      <w:r>
        <w:rPr>
          <w:rFonts w:ascii="Times New Roman" w:hAnsi="Times New Roman" w:cs="Times New Roman"/>
          <w:i/>
        </w:rPr>
        <w:t>10</w:t>
      </w:r>
      <w:r w:rsidR="00DA416B">
        <w:rPr>
          <w:rFonts w:ascii="Times New Roman" w:hAnsi="Times New Roman" w:cs="Times New Roman"/>
          <w:i/>
        </w:rPr>
        <w:t>7</w:t>
      </w:r>
      <w:r w:rsidRPr="00F130D6">
        <w:rPr>
          <w:rFonts w:ascii="Times New Roman" w:hAnsi="Times New Roman" w:cs="Times New Roman"/>
          <w:i/>
        </w:rPr>
        <w:t xml:space="preserve"> Procedures Public Notice</w:t>
      </w:r>
      <w:r>
        <w:rPr>
          <w:rFonts w:ascii="Times New Roman" w:hAnsi="Times New Roman" w:cs="Times New Roman"/>
        </w:rPr>
        <w:t xml:space="preserve"> provides details regarding the procedures, terms, and conditions, as well as dates and deadlines,</w:t>
      </w:r>
      <w:r>
        <w:rPr>
          <w:rStyle w:val="FootnoteReference"/>
          <w:rFonts w:ascii="Times New Roman" w:hAnsi="Times New Roman" w:cs="Times New Roman"/>
        </w:rPr>
        <w:footnoteReference w:id="3"/>
      </w:r>
      <w:r>
        <w:rPr>
          <w:rFonts w:ascii="Times New Roman" w:hAnsi="Times New Roman" w:cs="Times New Roman"/>
        </w:rPr>
        <w:t xml:space="preserve"> governing participation in Auction 10</w:t>
      </w:r>
      <w:r w:rsidR="00DA416B">
        <w:rPr>
          <w:rFonts w:ascii="Times New Roman" w:hAnsi="Times New Roman" w:cs="Times New Roman"/>
        </w:rPr>
        <w:t>7</w:t>
      </w:r>
      <w:r>
        <w:rPr>
          <w:rFonts w:ascii="Times New Roman" w:hAnsi="Times New Roman" w:cs="Times New Roman"/>
        </w:rPr>
        <w:t xml:space="preserve">, and an overview of the post-auction application and payment processes.  Additional materials </w:t>
      </w:r>
      <w:r w:rsidRPr="000F4876" w:rsidR="000F4876">
        <w:rPr>
          <w:rFonts w:ascii="Times New Roman" w:hAnsi="Times New Roman" w:cs="Times New Roman"/>
        </w:rPr>
        <w:t xml:space="preserve">such as the FCC Form 175 Application Filing Instructions, an Auction 107 Application Tutorial and updated Auction 107 Clock and Assignment Phase Technical Guides </w:t>
      </w:r>
      <w:r>
        <w:rPr>
          <w:rFonts w:ascii="Times New Roman" w:hAnsi="Times New Roman" w:cs="Times New Roman"/>
        </w:rPr>
        <w:t>to assist small entities in complying with the rules and procedures for Auction 10</w:t>
      </w:r>
      <w:r w:rsidR="00DA416B">
        <w:rPr>
          <w:rFonts w:ascii="Times New Roman" w:hAnsi="Times New Roman" w:cs="Times New Roman"/>
        </w:rPr>
        <w:t>7</w:t>
      </w:r>
      <w:r>
        <w:rPr>
          <w:rFonts w:ascii="Times New Roman" w:hAnsi="Times New Roman" w:cs="Times New Roman"/>
        </w:rPr>
        <w:t xml:space="preserve"> can be found </w:t>
      </w:r>
      <w:r w:rsidRPr="000F4876" w:rsidR="003941D6">
        <w:rPr>
          <w:rFonts w:ascii="Times New Roman" w:hAnsi="Times New Roman" w:cs="Times New Roman"/>
        </w:rPr>
        <w:t xml:space="preserve">in electronic form in the “Education” section of the Auction 107 website at </w:t>
      </w:r>
      <w:hyperlink r:id="rId7" w:history="1">
        <w:r w:rsidRPr="000A3AD4" w:rsidR="003941D6">
          <w:rPr>
            <w:rStyle w:val="Hyperlink"/>
            <w:rFonts w:ascii="Times New Roman" w:hAnsi="Times New Roman" w:cs="Times New Roman"/>
          </w:rPr>
          <w:t>www.fcc.gov/auction/107/education</w:t>
        </w:r>
      </w:hyperlink>
      <w:r w:rsidRPr="00DA416B">
        <w:rPr>
          <w:rFonts w:ascii="Times New Roman" w:hAnsi="Times New Roman" w:cs="Times New Roman"/>
        </w:rPr>
        <w:t>.</w:t>
      </w:r>
    </w:p>
    <w:p w:rsidR="00160604" w:rsidRPr="00433237" w:rsidP="004276F0" w14:paraId="7198D0E5" w14:textId="651415EB">
      <w:pPr>
        <w:pStyle w:val="Heading1"/>
        <w:tabs>
          <w:tab w:val="left" w:pos="720"/>
        </w:tabs>
        <w:spacing w:before="120" w:after="120"/>
        <w:rPr>
          <w:rFonts w:eastAsia="Calibri" w:cs="Times New Roman"/>
        </w:rPr>
      </w:pPr>
      <w:r w:rsidRPr="003D5331">
        <w:rPr>
          <w:rFonts w:eastAsia="Calibri" w:cs="Times New Roman"/>
          <w:szCs w:val="22"/>
        </w:rPr>
        <w:t xml:space="preserve">II. </w:t>
      </w:r>
      <w:r w:rsidRPr="003D5331">
        <w:rPr>
          <w:rFonts w:eastAsia="Calibri" w:cs="Times New Roman"/>
          <w:szCs w:val="22"/>
        </w:rPr>
        <w:tab/>
      </w:r>
      <w:r w:rsidRPr="005244CA">
        <w:rPr>
          <w:rStyle w:val="Heading1Char"/>
          <w:rFonts w:cs="Times New Roman"/>
          <w:b/>
          <w:szCs w:val="22"/>
        </w:rPr>
        <w:t>COMPLIANCE REQUIREMENTS</w:t>
      </w:r>
    </w:p>
    <w:p w:rsidR="00160604" w:rsidRPr="00E30D96" w:rsidP="004276F0" w14:paraId="0E92C872" w14:textId="70BC6BA2">
      <w:pPr>
        <w:pStyle w:val="ListParagraph"/>
        <w:keepNext/>
        <w:widowControl w:val="0"/>
        <w:numPr>
          <w:ilvl w:val="0"/>
          <w:numId w:val="3"/>
        </w:numPr>
        <w:tabs>
          <w:tab w:val="left" w:pos="720"/>
        </w:tabs>
        <w:spacing w:before="120" w:after="120" w:line="240" w:lineRule="auto"/>
        <w:contextualSpacing w:val="0"/>
        <w:outlineLvl w:val="1"/>
        <w:rPr>
          <w:rFonts w:ascii="Times New Roman" w:hAnsi="Times New Roman" w:cs="Times New Roman"/>
          <w:b/>
        </w:rPr>
      </w:pPr>
      <w:r>
        <w:rPr>
          <w:rFonts w:ascii="Times New Roman" w:hAnsi="Times New Roman" w:cs="Times New Roman"/>
          <w:b/>
        </w:rPr>
        <w:t>Auction Specifics</w:t>
      </w:r>
    </w:p>
    <w:p w:rsidR="00AE2943" w:rsidP="004276F0" w14:paraId="007071B3" w14:textId="1C9BCD75">
      <w:pPr>
        <w:tabs>
          <w:tab w:val="left" w:pos="720"/>
        </w:tabs>
        <w:spacing w:before="120" w:after="120" w:line="240" w:lineRule="auto"/>
        <w:ind w:firstLine="360"/>
        <w:mirrorIndents/>
      </w:pPr>
      <w:r>
        <w:rPr>
          <w:rFonts w:ascii="Times New Roman" w:eastAsia="Calibri" w:hAnsi="Times New Roman" w:cs="Times New Roman"/>
        </w:rPr>
        <w:tab/>
      </w:r>
      <w:r>
        <w:t xml:space="preserve">Bidding in this auction for </w:t>
      </w:r>
      <w:r w:rsidR="00F92976">
        <w:t>5,684</w:t>
      </w:r>
      <w:r>
        <w:t xml:space="preserve"> </w:t>
      </w:r>
      <w:r w:rsidR="00F92976">
        <w:t xml:space="preserve">flexible-use overlay licenses </w:t>
      </w:r>
      <w:r>
        <w:t xml:space="preserve">is scheduled to begin on </w:t>
      </w:r>
      <w:r w:rsidR="00F92976">
        <w:t>December 8</w:t>
      </w:r>
      <w:r>
        <w:t xml:space="preserve">, 2020.      </w:t>
      </w:r>
    </w:p>
    <w:p w:rsidR="00AE2943" w:rsidP="004276F0" w14:paraId="74C68E8E" w14:textId="51E5B940">
      <w:pPr>
        <w:pStyle w:val="ListParagraph"/>
        <w:numPr>
          <w:ilvl w:val="0"/>
          <w:numId w:val="19"/>
        </w:numPr>
        <w:tabs>
          <w:tab w:val="left" w:pos="720"/>
        </w:tabs>
        <w:spacing w:before="120" w:after="120" w:line="240" w:lineRule="auto"/>
        <w:contextualSpacing w:val="0"/>
        <w:mirrorIndents/>
      </w:pPr>
      <w:r>
        <w:t xml:space="preserve">A list of </w:t>
      </w:r>
      <w:r w:rsidR="009053AA">
        <w:t>generic license blocks</w:t>
      </w:r>
      <w:r>
        <w:t xml:space="preserve"> eligible for competitive bidding is available as “Attachment A” </w:t>
      </w:r>
      <w:r w:rsidR="009053AA">
        <w:t>to</w:t>
      </w:r>
      <w:r>
        <w:t xml:space="preserve"> the </w:t>
      </w:r>
      <w:r w:rsidRPr="00333020">
        <w:rPr>
          <w:i/>
        </w:rPr>
        <w:t>Auctio</w:t>
      </w:r>
      <w:r>
        <w:rPr>
          <w:i/>
        </w:rPr>
        <w:t>n</w:t>
      </w:r>
      <w:r w:rsidRPr="00333020">
        <w:rPr>
          <w:i/>
        </w:rPr>
        <w:t xml:space="preserve"> 10</w:t>
      </w:r>
      <w:r w:rsidR="009053AA">
        <w:rPr>
          <w:i/>
        </w:rPr>
        <w:t>7</w:t>
      </w:r>
      <w:r w:rsidRPr="00333020">
        <w:rPr>
          <w:i/>
        </w:rPr>
        <w:t xml:space="preserve"> </w:t>
      </w:r>
      <w:r>
        <w:rPr>
          <w:i/>
        </w:rPr>
        <w:t>Procedures</w:t>
      </w:r>
      <w:r w:rsidRPr="00333020">
        <w:rPr>
          <w:i/>
        </w:rPr>
        <w:t xml:space="preserve"> Public Notice</w:t>
      </w:r>
      <w:r>
        <w:t xml:space="preserve"> at </w:t>
      </w:r>
      <w:hyperlink r:id="rId8" w:history="1">
        <w:r w:rsidRPr="009053AA" w:rsidR="00FF2019">
          <w:rPr>
            <w:rStyle w:val="Hyperlink"/>
            <w:rFonts w:ascii="Times New Roman" w:hAnsi="Times New Roman" w:cs="Times New Roman"/>
          </w:rPr>
          <w:t>www.fcc.gov/auction/10</w:t>
        </w:r>
        <w:r w:rsidRPr="009053AA" w:rsidR="009053AA">
          <w:rPr>
            <w:rStyle w:val="Hyperlink"/>
            <w:rFonts w:ascii="Times New Roman" w:hAnsi="Times New Roman" w:cs="Times New Roman"/>
          </w:rPr>
          <w:t>7</w:t>
        </w:r>
      </w:hyperlink>
      <w:hyperlink r:id="rId9" w:history="1"/>
      <w:r w:rsidRPr="009053AA">
        <w:rPr>
          <w:rStyle w:val="Hyperlink"/>
          <w:color w:val="auto"/>
          <w:u w:val="none"/>
        </w:rPr>
        <w:t>.</w:t>
      </w:r>
      <w:r w:rsidRPr="009053AA">
        <w:t xml:space="preserve">  </w:t>
      </w:r>
    </w:p>
    <w:p w:rsidR="00AE2943" w:rsidP="004276F0" w14:paraId="0057D613" w14:textId="569BD326">
      <w:pPr>
        <w:tabs>
          <w:tab w:val="left" w:pos="720"/>
        </w:tabs>
        <w:spacing w:before="120" w:after="120" w:line="240" w:lineRule="auto"/>
        <w:ind w:firstLine="720"/>
        <w:mirrorIndents/>
      </w:pPr>
      <w:r>
        <w:t>To qualify to bid in Auction 10</w:t>
      </w:r>
      <w:r w:rsidR="009053AA">
        <w:t>7</w:t>
      </w:r>
      <w:r>
        <w:t>, applicants must comply with the following requirements:</w:t>
      </w:r>
    </w:p>
    <w:p w:rsidR="00AE2943" w:rsidRPr="004276F0" w:rsidP="004276F0" w14:paraId="08ABE3D3" w14:textId="117A4375">
      <w:pPr>
        <w:pStyle w:val="ListParagraph"/>
        <w:numPr>
          <w:ilvl w:val="0"/>
          <w:numId w:val="14"/>
        </w:numPr>
        <w:tabs>
          <w:tab w:val="left" w:pos="1080"/>
        </w:tabs>
        <w:spacing w:before="120" w:after="120" w:line="240" w:lineRule="auto"/>
        <w:ind w:left="1080"/>
        <w:contextualSpacing w:val="0"/>
      </w:pPr>
      <w:r>
        <w:t>S</w:t>
      </w:r>
      <w:r w:rsidRPr="00F50628">
        <w:t xml:space="preserve">ubmission of a short-form application </w:t>
      </w:r>
      <w:r>
        <w:t xml:space="preserve">(FCC Form 175) by the filing deadline of 6:00 p.m. Eastern Time (ET) on </w:t>
      </w:r>
      <w:r w:rsidR="009053AA">
        <w:t>September 22</w:t>
      </w:r>
      <w:r>
        <w:t>, 2020,</w:t>
      </w:r>
      <w:r w:rsidRPr="00F50628">
        <w:t xml:space="preserve"> that </w:t>
      </w:r>
      <w:r>
        <w:t>is</w:t>
      </w:r>
      <w:r w:rsidRPr="00F50628">
        <w:t xml:space="preserve"> found to be substantially complete, and</w:t>
      </w:r>
    </w:p>
    <w:p w:rsidR="00AE2943" w:rsidRPr="004276F0" w:rsidP="004276F0" w14:paraId="23E62601" w14:textId="735F16BB">
      <w:pPr>
        <w:pStyle w:val="ListParagraph"/>
        <w:numPr>
          <w:ilvl w:val="0"/>
          <w:numId w:val="14"/>
        </w:numPr>
        <w:tabs>
          <w:tab w:val="left" w:pos="1080"/>
        </w:tabs>
        <w:spacing w:before="120" w:after="120" w:line="240" w:lineRule="auto"/>
        <w:ind w:left="1080"/>
        <w:contextualSpacing w:val="0"/>
      </w:pPr>
      <w:r>
        <w:t>S</w:t>
      </w:r>
      <w:r w:rsidRPr="00F50628">
        <w:t xml:space="preserve">ubmission of a sufficient upfront payment for at least one of the </w:t>
      </w:r>
      <w:r w:rsidR="009053AA">
        <w:t>generic license blocks</w:t>
      </w:r>
      <w:r w:rsidRPr="00F50628">
        <w:t xml:space="preserve"> </w:t>
      </w:r>
      <w:r w:rsidR="009053AA">
        <w:t>in a partial economic area (PEA) selected on the applicant’s FCC Form 175</w:t>
      </w:r>
      <w:r>
        <w:t xml:space="preserve"> by 6:00 p.m. ET on </w:t>
      </w:r>
      <w:r w:rsidR="009053AA">
        <w:t>November 2</w:t>
      </w:r>
      <w:r>
        <w:t>, 2020.</w:t>
      </w:r>
    </w:p>
    <w:p w:rsidR="00AE2943" w:rsidRPr="004276F0" w:rsidP="004276F0" w14:paraId="4BF4E796" w14:textId="01ED5A1C">
      <w:pPr>
        <w:pStyle w:val="ListParagraph"/>
        <w:numPr>
          <w:ilvl w:val="1"/>
          <w:numId w:val="14"/>
        </w:numPr>
        <w:tabs>
          <w:tab w:val="left" w:pos="1080"/>
        </w:tabs>
        <w:spacing w:before="120" w:after="120" w:line="240" w:lineRule="auto"/>
        <w:ind w:left="1440"/>
        <w:contextualSpacing w:val="0"/>
      </w:pPr>
      <w:r w:rsidRPr="00F50628">
        <w:t xml:space="preserve">The timely submitted </w:t>
      </w:r>
      <w:r>
        <w:t xml:space="preserve">upfront </w:t>
      </w:r>
      <w:r w:rsidRPr="00F50628">
        <w:t xml:space="preserve">payment must </w:t>
      </w:r>
      <w:r>
        <w:t xml:space="preserve">be </w:t>
      </w:r>
      <w:r w:rsidRPr="00F50628">
        <w:t>accompanied by a complete and accurate FCC Remittance Advice Form (FCC Form 159)</w:t>
      </w:r>
      <w:r w:rsidRPr="007C3D8E">
        <w:t>,</w:t>
      </w:r>
      <w:r w:rsidRPr="00F50628">
        <w:t xml:space="preserve"> following the procedures and instructions set forth in </w:t>
      </w:r>
      <w:r>
        <w:t xml:space="preserve">the </w:t>
      </w:r>
      <w:r w:rsidRPr="001F5FCC">
        <w:rPr>
          <w:i/>
        </w:rPr>
        <w:t>Auction 10</w:t>
      </w:r>
      <w:r w:rsidR="009053AA">
        <w:rPr>
          <w:i/>
        </w:rPr>
        <w:t>7</w:t>
      </w:r>
      <w:r w:rsidRPr="001F5FCC">
        <w:rPr>
          <w:i/>
        </w:rPr>
        <w:t xml:space="preserve"> Procedures Public Notice</w:t>
      </w:r>
      <w:r>
        <w:t>.</w:t>
      </w:r>
      <w:r>
        <w:rPr>
          <w:rStyle w:val="FootnoteReference"/>
        </w:rPr>
        <w:footnoteReference w:id="4"/>
      </w:r>
      <w:r>
        <w:t xml:space="preserve"> </w:t>
      </w:r>
    </w:p>
    <w:p w:rsidR="000334C4" w:rsidP="004276F0" w14:paraId="71F4C528" w14:textId="4577F19D">
      <w:pPr>
        <w:pStyle w:val="ListParagraph"/>
        <w:numPr>
          <w:ilvl w:val="0"/>
          <w:numId w:val="14"/>
        </w:numPr>
        <w:tabs>
          <w:tab w:val="left" w:pos="1080"/>
        </w:tabs>
        <w:spacing w:before="120" w:after="120" w:line="240" w:lineRule="auto"/>
        <w:ind w:left="1080"/>
        <w:contextualSpacing w:val="0"/>
      </w:pPr>
      <w:r>
        <w:rPr>
          <w:rFonts w:ascii="Times New Roman" w:eastAsia="Times New Roman" w:hAnsi="Times New Roman" w:cs="Times New Roman"/>
        </w:rPr>
        <w:t xml:space="preserve">Pursuant to the rules governing competitive bidding, each applicant must make certifications regarding whether it is a current or former defaulter or delinquent.  A current defaulter or delinquent is not eligible to participate in Auction 107.  A former defaulter or delinquent may </w:t>
      </w:r>
      <w:r>
        <w:rPr>
          <w:rFonts w:ascii="Times New Roman" w:eastAsia="Times New Roman" w:hAnsi="Times New Roman" w:cs="Times New Roman"/>
        </w:rPr>
        <w:t>participate so long as it is otherwise qualified and makes an upfront payment that is 50% more than would otherwise be necessary.</w:t>
      </w:r>
    </w:p>
    <w:p w:rsidR="00AE2943" w:rsidP="004276F0" w14:paraId="00696F7C" w14:textId="49A249C4">
      <w:pPr>
        <w:pStyle w:val="ListParagraph"/>
        <w:numPr>
          <w:ilvl w:val="0"/>
          <w:numId w:val="14"/>
        </w:numPr>
        <w:tabs>
          <w:tab w:val="left" w:pos="1080"/>
        </w:tabs>
        <w:spacing w:before="120" w:after="120" w:line="240" w:lineRule="auto"/>
        <w:ind w:left="1080"/>
        <w:contextualSpacing w:val="0"/>
      </w:pPr>
      <w:r w:rsidRPr="0071520F">
        <w:t>An applicant whose application contain</w:t>
      </w:r>
      <w:r>
        <w:t>s</w:t>
      </w:r>
      <w:r w:rsidRPr="0071520F">
        <w:t xml:space="preserve"> deficiencies </w:t>
      </w:r>
      <w:r>
        <w:t xml:space="preserve">will be provided </w:t>
      </w:r>
      <w:r w:rsidRPr="0071520F">
        <w:t xml:space="preserve">a limited opportunity to bring its application into compliance with the Commission’s </w:t>
      </w:r>
      <w:r>
        <w:t>auction application</w:t>
      </w:r>
      <w:r w:rsidRPr="0071520F">
        <w:t xml:space="preserve"> rules during a resubmission window.</w:t>
      </w:r>
      <w:r>
        <w:rPr>
          <w:rStyle w:val="FootnoteReference"/>
        </w:rPr>
        <w:footnoteReference w:id="5"/>
      </w:r>
    </w:p>
    <w:p w:rsidR="00AE2943" w:rsidRPr="004276F0" w:rsidP="004276F0" w14:paraId="1675E382" w14:textId="428FB35D">
      <w:pPr>
        <w:pStyle w:val="ListParagraph"/>
        <w:numPr>
          <w:ilvl w:val="0"/>
          <w:numId w:val="14"/>
        </w:numPr>
        <w:tabs>
          <w:tab w:val="left" w:pos="1080"/>
        </w:tabs>
        <w:spacing w:before="120" w:after="120" w:line="240" w:lineRule="auto"/>
        <w:ind w:left="1080"/>
        <w:contextualSpacing w:val="0"/>
      </w:pPr>
      <w:r w:rsidRPr="0071520F">
        <w:t xml:space="preserve">All qualified bidders </w:t>
      </w:r>
      <w:r>
        <w:t xml:space="preserve">will be </w:t>
      </w:r>
      <w:r w:rsidRPr="0071520F">
        <w:t>automatically registered for the auction and mailed the necessary registration materials.</w:t>
      </w:r>
    </w:p>
    <w:p w:rsidR="00AE2943" w:rsidP="004276F0" w14:paraId="47EC185E" w14:textId="7A19E6EB">
      <w:pPr>
        <w:pStyle w:val="ListParagraph"/>
        <w:numPr>
          <w:ilvl w:val="0"/>
          <w:numId w:val="10"/>
        </w:numPr>
        <w:tabs>
          <w:tab w:val="left" w:pos="1080"/>
        </w:tabs>
        <w:spacing w:before="120" w:after="120" w:line="240" w:lineRule="auto"/>
        <w:ind w:left="1080"/>
        <w:contextualSpacing w:val="0"/>
      </w:pPr>
      <w:r>
        <w:t>P</w:t>
      </w:r>
      <w:r w:rsidRPr="005B509A">
        <w:t xml:space="preserve">arties that timely submit short-form applications are </w:t>
      </w:r>
      <w:r>
        <w:t>applicants and</w:t>
      </w:r>
      <w:r w:rsidRPr="005B509A">
        <w:t xml:space="preserve"> </w:t>
      </w:r>
      <w:r>
        <w:t xml:space="preserve">are subject to </w:t>
      </w:r>
      <w:r w:rsidRPr="005B509A">
        <w:t xml:space="preserve">certain of the Commission’s </w:t>
      </w:r>
      <w:r>
        <w:t xml:space="preserve">Part 1 </w:t>
      </w:r>
      <w:r w:rsidRPr="005B509A">
        <w:t xml:space="preserve">auction rules regarding application requirements and certifications (e.g., joint bidding agreements relating to the </w:t>
      </w:r>
      <w:r w:rsidR="00013546">
        <w:t>licenses</w:t>
      </w:r>
      <w:r w:rsidRPr="005B509A">
        <w:t xml:space="preserve"> subject to auction), </w:t>
      </w:r>
      <w:r>
        <w:t xml:space="preserve">and </w:t>
      </w:r>
      <w:r w:rsidRPr="005B509A">
        <w:t>the rule</w:t>
      </w:r>
      <w:r w:rsidR="00013546">
        <w:t xml:space="preserve"> </w:t>
      </w:r>
      <w:r w:rsidRPr="005B509A">
        <w:t>prohibiting certain communications</w:t>
      </w:r>
      <w:r>
        <w:t>.</w:t>
      </w:r>
    </w:p>
    <w:p w:rsidR="00BC05AA" w:rsidRPr="004276F0" w:rsidP="00CE637A" w14:paraId="4EBCB3BD" w14:textId="2AFA0D35">
      <w:pPr>
        <w:pStyle w:val="ListParagraph"/>
        <w:numPr>
          <w:ilvl w:val="1"/>
          <w:numId w:val="10"/>
        </w:numPr>
        <w:tabs>
          <w:tab w:val="left" w:pos="1080"/>
        </w:tabs>
        <w:spacing w:before="120" w:after="120" w:line="240" w:lineRule="auto"/>
        <w:contextualSpacing w:val="0"/>
      </w:pPr>
      <w:r>
        <w:t>For example, th</w:t>
      </w:r>
      <w:r w:rsidRPr="005712E5">
        <w:t xml:space="preserve">e prohibition on certain communications </w:t>
      </w:r>
      <w:r>
        <w:t xml:space="preserve">for </w:t>
      </w:r>
      <w:r w:rsidRPr="005712E5">
        <w:t>applicants in Auction 10</w:t>
      </w:r>
      <w:r>
        <w:t xml:space="preserve">7 </w:t>
      </w:r>
      <w:r w:rsidRPr="00DF040A">
        <w:t>begins</w:t>
      </w:r>
      <w:r w:rsidRPr="005712E5">
        <w:t xml:space="preserve"> at the short-form application filing deadline </w:t>
      </w:r>
      <w:r>
        <w:t>on September 22, 2020 and</w:t>
      </w:r>
      <w:r w:rsidRPr="005712E5">
        <w:t xml:space="preserve"> will end at the down payment deadline for </w:t>
      </w:r>
      <w:r>
        <w:t>Auction 107, to be announced in a future public notice.</w:t>
      </w:r>
    </w:p>
    <w:p w:rsidR="00446802" w:rsidRPr="00BC05AA" w:rsidP="00CE637A" w14:paraId="0D13A98D" w14:textId="3B6529AF">
      <w:pPr>
        <w:pStyle w:val="ListParagraph"/>
        <w:keepNext/>
        <w:widowControl w:val="0"/>
        <w:numPr>
          <w:ilvl w:val="0"/>
          <w:numId w:val="3"/>
        </w:numPr>
        <w:tabs>
          <w:tab w:val="left" w:pos="720"/>
        </w:tabs>
        <w:spacing w:before="120" w:after="120" w:line="240" w:lineRule="auto"/>
        <w:contextualSpacing w:val="0"/>
        <w:outlineLvl w:val="1"/>
        <w:mirrorIndents/>
        <w:rPr>
          <w:rFonts w:ascii="Times New Roman" w:hAnsi="Times New Roman" w:cs="Times New Roman"/>
          <w:b/>
        </w:rPr>
      </w:pPr>
      <w:r w:rsidRPr="00BC05AA">
        <w:rPr>
          <w:rFonts w:ascii="Times New Roman" w:hAnsi="Times New Roman" w:cs="Times New Roman"/>
          <w:b/>
        </w:rPr>
        <w:t>Application Procedures</w:t>
      </w:r>
    </w:p>
    <w:p w:rsidR="00AE2943" w:rsidP="004276F0" w14:paraId="4C20C3E3" w14:textId="17BFEF7A">
      <w:pPr>
        <w:spacing w:before="120" w:after="120" w:line="240" w:lineRule="auto"/>
        <w:ind w:firstLine="720"/>
      </w:pPr>
      <w:r>
        <w:t>The Commission decided in the</w:t>
      </w:r>
      <w:r w:rsidR="00013546">
        <w:t xml:space="preserve"> </w:t>
      </w:r>
      <w:r>
        <w:rPr>
          <w:i/>
          <w:iCs/>
        </w:rPr>
        <w:t>3.</w:t>
      </w:r>
      <w:r w:rsidR="00013546">
        <w:rPr>
          <w:i/>
          <w:iCs/>
        </w:rPr>
        <w:t>7</w:t>
      </w:r>
      <w:r>
        <w:rPr>
          <w:i/>
          <w:iCs/>
        </w:rPr>
        <w:t xml:space="preserve"> GHz Report and Orde</w:t>
      </w:r>
      <w:r>
        <w:rPr>
          <w:i/>
        </w:rPr>
        <w:t xml:space="preserve">r </w:t>
      </w:r>
      <w:r>
        <w:t>to conduct auction</w:t>
      </w:r>
      <w:r w:rsidR="00C02EA2">
        <w:t>s</w:t>
      </w:r>
      <w:r>
        <w:t xml:space="preserve"> of</w:t>
      </w:r>
      <w:r w:rsidR="00C02EA2">
        <w:t xml:space="preserve"> 3.7 GHz Service licenses </w:t>
      </w:r>
      <w:r>
        <w:t>in conformity with the general competitive bidding rules in Part 1, Subpart Q, of the Commission's Rules, 47 CFR §§ 1.2101-1.2114.</w:t>
      </w:r>
      <w:r>
        <w:rPr>
          <w:rStyle w:val="FootnoteReference"/>
          <w:iCs/>
        </w:rPr>
        <w:footnoteReference w:id="6"/>
      </w:r>
      <w:r>
        <w:t xml:space="preserve">  </w:t>
      </w:r>
    </w:p>
    <w:p w:rsidR="009B2871" w:rsidP="004276F0" w14:paraId="13B770C2" w14:textId="44732228">
      <w:pPr>
        <w:pStyle w:val="ListParagraph"/>
        <w:numPr>
          <w:ilvl w:val="0"/>
          <w:numId w:val="12"/>
        </w:numPr>
        <w:spacing w:before="120" w:after="120" w:line="240" w:lineRule="auto"/>
        <w:ind w:left="1080"/>
        <w:contextualSpacing w:val="0"/>
      </w:pPr>
      <w:r>
        <w:t>T</w:t>
      </w:r>
      <w:r w:rsidR="00436896">
        <w:t xml:space="preserve">hese </w:t>
      </w:r>
      <w:r w:rsidR="00BC395C">
        <w:t>procedures</w:t>
      </w:r>
      <w:r w:rsidR="00436896">
        <w:t xml:space="preserve"> are substantially consistent with the </w:t>
      </w:r>
      <w:r w:rsidR="00BC395C">
        <w:t>auction procedures</w:t>
      </w:r>
      <w:r w:rsidR="00436896">
        <w:t xml:space="preserve"> the Commission has applied to other </w:t>
      </w:r>
      <w:r w:rsidR="00436896">
        <w:t>auctionable</w:t>
      </w:r>
      <w:r w:rsidR="00436896">
        <w:t xml:space="preserve"> services for several years.</w:t>
      </w:r>
    </w:p>
    <w:p w:rsidR="009404B2" w:rsidP="004276F0" w14:paraId="2D2EF38D" w14:textId="2C68B72A">
      <w:pPr>
        <w:pStyle w:val="ListParagraph"/>
        <w:numPr>
          <w:ilvl w:val="0"/>
          <w:numId w:val="12"/>
        </w:numPr>
        <w:spacing w:before="120" w:after="120" w:line="240" w:lineRule="auto"/>
        <w:ind w:left="1080"/>
        <w:contextualSpacing w:val="0"/>
      </w:pPr>
      <w:r>
        <w:t xml:space="preserve">Applicants are </w:t>
      </w:r>
      <w:r w:rsidR="00436896">
        <w:t>require</w:t>
      </w:r>
      <w:r>
        <w:t>d to</w:t>
      </w:r>
      <w:r w:rsidR="00436896">
        <w:t xml:space="preserve"> fil</w:t>
      </w:r>
      <w:r>
        <w:t>e</w:t>
      </w:r>
      <w:r w:rsidR="00436896">
        <w:t xml:space="preserve"> </w:t>
      </w:r>
      <w:r w:rsidR="00E144BF">
        <w:t>short-</w:t>
      </w:r>
      <w:r w:rsidR="00BC395C">
        <w:t>form</w:t>
      </w:r>
      <w:r w:rsidR="00E144BF">
        <w:t xml:space="preserve"> and long-form applications</w:t>
      </w:r>
      <w:r w:rsidR="00436896">
        <w:t xml:space="preserve"> to ensure that </w:t>
      </w:r>
      <w:r w:rsidR="00C02EA2">
        <w:t xml:space="preserve">they </w:t>
      </w:r>
      <w:r w:rsidR="00436896">
        <w:t>are qualified to participate in</w:t>
      </w:r>
      <w:r w:rsidR="00BC395C">
        <w:t xml:space="preserve"> </w:t>
      </w:r>
      <w:r w:rsidR="00436896">
        <w:t>auction</w:t>
      </w:r>
      <w:r w:rsidR="00BC395C">
        <w:t>s</w:t>
      </w:r>
      <w:r w:rsidR="00436896">
        <w:t xml:space="preserve"> and hold licenses. </w:t>
      </w:r>
      <w:r w:rsidR="002D146E">
        <w:t xml:space="preserve"> </w:t>
      </w:r>
      <w:r w:rsidR="00436896">
        <w:t xml:space="preserve">Certain information required on </w:t>
      </w:r>
      <w:r w:rsidR="007479F4">
        <w:t>the short-form application (</w:t>
      </w:r>
      <w:r w:rsidR="00436896">
        <w:t>FCC Form 175</w:t>
      </w:r>
      <w:r w:rsidR="007479F4">
        <w:t>)</w:t>
      </w:r>
      <w:r w:rsidR="00436896">
        <w:t xml:space="preserve"> is also necessary to ensure that only applicants that qualify as small businesses or </w:t>
      </w:r>
      <w:r w:rsidR="002D146E">
        <w:t xml:space="preserve">rural service providers </w:t>
      </w:r>
      <w:r w:rsidR="00436896">
        <w:t>receive the bidding credits offered to such entities.</w:t>
      </w:r>
    </w:p>
    <w:p w:rsidR="009404B2" w:rsidRPr="0033780C" w:rsidP="004276F0" w14:paraId="36ECF16F" w14:textId="07E4BEBC">
      <w:pPr>
        <w:spacing w:before="120" w:after="120" w:line="240" w:lineRule="auto"/>
        <w:ind w:firstLine="720"/>
        <w:rPr>
          <w:i/>
          <w:u w:val="single"/>
        </w:rPr>
      </w:pPr>
      <w:r w:rsidRPr="0033780C">
        <w:rPr>
          <w:i/>
          <w:u w:val="single"/>
        </w:rPr>
        <w:t xml:space="preserve">Provisions for </w:t>
      </w:r>
      <w:r w:rsidRPr="0033780C" w:rsidR="00E66265">
        <w:rPr>
          <w:i/>
          <w:u w:val="single"/>
        </w:rPr>
        <w:t>Designated Entities</w:t>
      </w:r>
    </w:p>
    <w:p w:rsidR="005B509A" w:rsidP="004276F0" w14:paraId="691F4842" w14:textId="4416A5E9">
      <w:pPr>
        <w:spacing w:before="120" w:after="120" w:line="240" w:lineRule="auto"/>
        <w:ind w:firstLine="720"/>
      </w:pPr>
      <w:r w:rsidRPr="001E6D97">
        <w:t>In Auction 10</w:t>
      </w:r>
      <w:r w:rsidR="00C02EA2">
        <w:t>7</w:t>
      </w:r>
      <w:r w:rsidRPr="001E6D97">
        <w:t xml:space="preserve">, bidding credits </w:t>
      </w:r>
      <w:r w:rsidR="00CD1915">
        <w:t xml:space="preserve">are </w:t>
      </w:r>
      <w:r w:rsidRPr="001E6D97">
        <w:t>available to applicants demonstrating eligibility for a small business or a rural service provider bidding credit and subsequently winning license</w:t>
      </w:r>
      <w:r w:rsidR="00DC3E28">
        <w:t>(</w:t>
      </w:r>
      <w:r w:rsidRPr="001E6D97">
        <w:t>s</w:t>
      </w:r>
      <w:r w:rsidR="00DC3E28">
        <w:t>)</w:t>
      </w:r>
      <w:r w:rsidRPr="001E6D97">
        <w:t xml:space="preserve">.  Bidding credits </w:t>
      </w:r>
      <w:r w:rsidR="00CD1915">
        <w:t>are not</w:t>
      </w:r>
      <w:r w:rsidRPr="001E6D97">
        <w:t xml:space="preserve"> cumulative—for each auction, an applicant is permitted to claim either a small business bidding credit or a rural service provider bidding credit, but not both.</w:t>
      </w:r>
    </w:p>
    <w:p w:rsidR="002F7580" w:rsidP="004276F0" w14:paraId="51566404" w14:textId="58BD43A7">
      <w:pPr>
        <w:spacing w:before="120" w:after="120" w:line="240" w:lineRule="auto"/>
      </w:pPr>
      <w:r>
        <w:tab/>
        <w:t>For Auction 10</w:t>
      </w:r>
      <w:r w:rsidR="00C02EA2">
        <w:t>7</w:t>
      </w:r>
      <w:r>
        <w:t>:</w:t>
      </w:r>
    </w:p>
    <w:p w:rsidR="00E66265" w:rsidP="004276F0" w14:paraId="2F51A9B6" w14:textId="3FBEC4A1">
      <w:pPr>
        <w:numPr>
          <w:ilvl w:val="0"/>
          <w:numId w:val="8"/>
        </w:numPr>
        <w:tabs>
          <w:tab w:val="clear" w:pos="360"/>
        </w:tabs>
        <w:spacing w:before="120" w:after="120" w:line="240" w:lineRule="auto"/>
        <w:ind w:left="1080"/>
      </w:pPr>
      <w:r w:rsidRPr="005712E5">
        <w:t xml:space="preserve">A bidder with attributed average annual gross revenues that do not exceed $55 million for the preceding </w:t>
      </w:r>
      <w:r w:rsidR="00C02EA2">
        <w:t>five</w:t>
      </w:r>
      <w:r w:rsidRPr="005712E5">
        <w:t xml:space="preserve"> years is eligible to receive a 15</w:t>
      </w:r>
      <w:r w:rsidR="00C02EA2">
        <w:t xml:space="preserve">% </w:t>
      </w:r>
      <w:r w:rsidRPr="005712E5">
        <w:t>discount on its winning bid.</w:t>
      </w:r>
    </w:p>
    <w:p w:rsidR="00E66265" w:rsidP="004276F0" w14:paraId="07F808EE" w14:textId="25C28A38">
      <w:pPr>
        <w:numPr>
          <w:ilvl w:val="0"/>
          <w:numId w:val="8"/>
        </w:numPr>
        <w:tabs>
          <w:tab w:val="clear" w:pos="360"/>
        </w:tabs>
        <w:spacing w:before="120" w:after="120" w:line="240" w:lineRule="auto"/>
        <w:ind w:left="1080"/>
      </w:pPr>
      <w:r w:rsidRPr="005712E5">
        <w:t xml:space="preserve">A bidder with attributed average annual gross revenues that do not exceed $20 million for the preceding </w:t>
      </w:r>
      <w:r w:rsidR="00C02EA2">
        <w:t>five</w:t>
      </w:r>
      <w:r w:rsidRPr="005712E5">
        <w:t xml:space="preserve"> years is eligible to receive a 25</w:t>
      </w:r>
      <w:r w:rsidR="00C02EA2">
        <w:t>%</w:t>
      </w:r>
      <w:r w:rsidRPr="005712E5">
        <w:t xml:space="preserve"> discount on its winning bid</w:t>
      </w:r>
      <w:r>
        <w:t>.</w:t>
      </w:r>
    </w:p>
    <w:p w:rsidR="00E66265" w:rsidP="004276F0" w14:paraId="7A066614" w14:textId="5CC3AE6A">
      <w:pPr>
        <w:numPr>
          <w:ilvl w:val="0"/>
          <w:numId w:val="8"/>
        </w:numPr>
        <w:tabs>
          <w:tab w:val="clear" w:pos="360"/>
        </w:tabs>
        <w:spacing w:before="120" w:after="120" w:line="240" w:lineRule="auto"/>
        <w:ind w:left="1080"/>
      </w:pPr>
      <w:r w:rsidRPr="003B34A1">
        <w:t>A bidder</w:t>
      </w:r>
      <w:r w:rsidRPr="00326BC4">
        <w:t xml:space="preserve"> </w:t>
      </w:r>
      <w:r>
        <w:t>satisfying</w:t>
      </w:r>
      <w:r w:rsidRPr="00326BC4">
        <w:t xml:space="preserve"> the eligibility requirements for a rural service provider bidding credit </w:t>
      </w:r>
      <w:r>
        <w:t>is</w:t>
      </w:r>
      <w:r w:rsidRPr="00326BC4">
        <w:t xml:space="preserve"> eligible </w:t>
      </w:r>
      <w:r>
        <w:t>to receive a</w:t>
      </w:r>
      <w:r w:rsidRPr="00126D60">
        <w:t xml:space="preserve"> 15</w:t>
      </w:r>
      <w:r w:rsidR="00C02EA2">
        <w:t xml:space="preserve">% </w:t>
      </w:r>
      <w:r w:rsidRPr="00126D60">
        <w:t xml:space="preserve">discount on its winning bid.  </w:t>
      </w:r>
    </w:p>
    <w:p w:rsidR="00B93860" w:rsidP="004276F0" w14:paraId="31CA8DC1" w14:textId="277AF1A5">
      <w:pPr>
        <w:spacing w:before="120" w:after="120" w:line="240" w:lineRule="auto"/>
        <w:ind w:firstLine="720"/>
      </w:pPr>
      <w:r w:rsidRPr="00293E22">
        <w:t xml:space="preserve">The </w:t>
      </w:r>
      <w:r w:rsidRPr="00E66265">
        <w:rPr>
          <w:i/>
        </w:rPr>
        <w:t>Aucti</w:t>
      </w:r>
      <w:r w:rsidR="007B28C1">
        <w:rPr>
          <w:i/>
        </w:rPr>
        <w:t>on 10</w:t>
      </w:r>
      <w:r w:rsidR="00C02EA2">
        <w:rPr>
          <w:i/>
        </w:rPr>
        <w:t>7</w:t>
      </w:r>
      <w:r w:rsidRPr="00E66265">
        <w:rPr>
          <w:i/>
        </w:rPr>
        <w:t xml:space="preserve"> Procedures Public Notice</w:t>
      </w:r>
      <w:r>
        <w:t xml:space="preserve"> established</w:t>
      </w:r>
      <w:r w:rsidRPr="00EF77DD">
        <w:t xml:space="preserve"> </w:t>
      </w:r>
      <w:r w:rsidR="002D041C">
        <w:t xml:space="preserve">caps on </w:t>
      </w:r>
      <w:r w:rsidRPr="00EF77DD">
        <w:t xml:space="preserve">the total amount of bidding credits that may be awarded to an eligible small business </w:t>
      </w:r>
      <w:r w:rsidR="002D041C">
        <w:t xml:space="preserve">and rural service provider </w:t>
      </w:r>
      <w:r w:rsidRPr="00EF77DD">
        <w:t>in Auction 10</w:t>
      </w:r>
      <w:r w:rsidR="00C02EA2">
        <w:t>7</w:t>
      </w:r>
      <w:r w:rsidRPr="00EF77DD">
        <w:t>.</w:t>
      </w:r>
      <w:r>
        <w:rPr>
          <w:rStyle w:val="FootnoteReference"/>
        </w:rPr>
        <w:footnoteReference w:id="7"/>
      </w:r>
      <w:r w:rsidRPr="00EF77DD">
        <w:t xml:space="preserve">  </w:t>
      </w:r>
    </w:p>
    <w:p w:rsidR="002D041C" w:rsidP="00E64295" w14:paraId="353BEBA6" w14:textId="0F5FF47E">
      <w:pPr>
        <w:pStyle w:val="ListParagraph"/>
        <w:numPr>
          <w:ilvl w:val="0"/>
          <w:numId w:val="13"/>
        </w:numPr>
        <w:spacing w:before="120" w:after="120" w:line="240" w:lineRule="auto"/>
        <w:ind w:left="1080"/>
        <w:contextualSpacing w:val="0"/>
      </w:pPr>
      <w:r>
        <w:t>There is</w:t>
      </w:r>
      <w:r w:rsidR="0033780C">
        <w:t xml:space="preserve"> a</w:t>
      </w:r>
      <w:r>
        <w:t xml:space="preserve"> $</w:t>
      </w:r>
      <w:r w:rsidRPr="00EF77DD">
        <w:t>25 million cap on the total amount of bidding credits that may be awarded to an eligible small business</w:t>
      </w:r>
      <w:r>
        <w:t>.</w:t>
      </w:r>
    </w:p>
    <w:p w:rsidR="002D041C" w:rsidP="00E64295" w14:paraId="26FBB204" w14:textId="13AEECDC">
      <w:pPr>
        <w:pStyle w:val="ListParagraph"/>
        <w:numPr>
          <w:ilvl w:val="0"/>
          <w:numId w:val="13"/>
        </w:numPr>
        <w:spacing w:before="120" w:after="120" w:line="240" w:lineRule="auto"/>
        <w:ind w:left="1080"/>
        <w:contextualSpacing w:val="0"/>
      </w:pPr>
      <w:r>
        <w:t xml:space="preserve">There is </w:t>
      </w:r>
      <w:r w:rsidRPr="00EF77DD" w:rsidR="00E66265">
        <w:t>a $10 million cap on the total amount of bidding credits that may be awarded to an eligible rural service provider.</w:t>
      </w:r>
    </w:p>
    <w:p w:rsidR="002D041C" w:rsidRPr="005B509A" w:rsidP="004276F0" w14:paraId="21443CA0" w14:textId="2E1D0325">
      <w:pPr>
        <w:pStyle w:val="ListParagraph"/>
        <w:numPr>
          <w:ilvl w:val="0"/>
          <w:numId w:val="13"/>
        </w:numPr>
        <w:spacing w:before="120" w:after="120" w:line="240" w:lineRule="auto"/>
        <w:ind w:left="1080"/>
        <w:contextualSpacing w:val="0"/>
      </w:pPr>
      <w:r>
        <w:t>N</w:t>
      </w:r>
      <w:r w:rsidRPr="00EF77DD" w:rsidR="00E66265">
        <w:t>o winning designated entity bidder may obtain more than $10 million in bidding credits in total for licenses won in markets with a population of 500,000 or less.</w:t>
      </w:r>
    </w:p>
    <w:p w:rsidR="00160604" w:rsidRPr="00A4487F" w:rsidP="004276F0" w14:paraId="2221DFEE" w14:textId="016A9FE8">
      <w:pPr>
        <w:pStyle w:val="ListParagraph"/>
        <w:keepNext/>
        <w:widowControl w:val="0"/>
        <w:numPr>
          <w:ilvl w:val="0"/>
          <w:numId w:val="3"/>
        </w:numPr>
        <w:tabs>
          <w:tab w:val="left" w:pos="720"/>
        </w:tabs>
        <w:spacing w:before="120" w:after="120" w:line="240" w:lineRule="auto"/>
        <w:contextualSpacing w:val="0"/>
        <w:outlineLvl w:val="1"/>
        <w:rPr>
          <w:rFonts w:ascii="Times New Roman" w:hAnsi="Times New Roman" w:cs="Times New Roman"/>
          <w:b/>
        </w:rPr>
      </w:pPr>
      <w:r>
        <w:rPr>
          <w:rFonts w:ascii="Times New Roman" w:hAnsi="Times New Roman" w:cs="Times New Roman"/>
          <w:b/>
        </w:rPr>
        <w:t>Bidding Procedures</w:t>
      </w:r>
    </w:p>
    <w:p w:rsidR="004276F0" w:rsidP="004276F0" w14:paraId="203FD53A" w14:textId="4C1B34AE">
      <w:pPr>
        <w:spacing w:before="120" w:after="120" w:line="240" w:lineRule="auto"/>
        <w:ind w:firstLine="720"/>
      </w:pPr>
      <w:r>
        <w:t>The Office of Economics and Analytics, in conjunction with the Wireless Telecommunications Bureau</w:t>
      </w:r>
      <w:r>
        <w:t>,</w:t>
      </w:r>
      <w:r>
        <w:t xml:space="preserve"> will conduct </w:t>
      </w:r>
      <w:r w:rsidRPr="00FD4CBC">
        <w:t xml:space="preserve">Auction </w:t>
      </w:r>
      <w:r>
        <w:t xml:space="preserve">107 </w:t>
      </w:r>
      <w:r w:rsidRPr="00FD4CBC">
        <w:t>using an ascending clock auction design</w:t>
      </w:r>
      <w:r>
        <w:t xml:space="preserve"> with two phases.</w:t>
      </w:r>
      <w:r>
        <w:rPr>
          <w:rStyle w:val="FootnoteReference"/>
        </w:rPr>
        <w:footnoteReference w:id="8"/>
      </w:r>
      <w:r>
        <w:t xml:space="preserve">  </w:t>
      </w:r>
      <w:r w:rsidRPr="00FD4CBC">
        <w:t>The first phase of the auction</w:t>
      </w:r>
      <w:r>
        <w:t>—the clock phase—</w:t>
      </w:r>
      <w:r w:rsidRPr="00FD4CBC">
        <w:t>w</w:t>
      </w:r>
      <w:r>
        <w:t>ill</w:t>
      </w:r>
      <w:r w:rsidRPr="00FD4CBC">
        <w:t xml:space="preserve"> consist of successive clock bidding rounds in which bidders indicate their demands for</w:t>
      </w:r>
      <w:r>
        <w:t xml:space="preserve"> a number of</w:t>
      </w:r>
      <w:r w:rsidRPr="00FD4CBC">
        <w:t xml:space="preserve"> generic license blocks in </w:t>
      </w:r>
      <w:r>
        <w:t xml:space="preserve">specific categories and PEAs.  </w:t>
      </w:r>
      <w:bookmarkStart w:id="3" w:name="_Hlk46396793"/>
      <w:r w:rsidRPr="00435180">
        <w:t>In the second phase—the assignment phase—winning clock</w:t>
      </w:r>
      <w:r>
        <w:t xml:space="preserve"> </w:t>
      </w:r>
      <w:r w:rsidRPr="00435180">
        <w:t>phase bidders will have the opportunity to bid for their preferred combinations of frequency-specific license</w:t>
      </w:r>
      <w:r>
        <w:t xml:space="preserve"> assignments</w:t>
      </w:r>
      <w:r w:rsidRPr="00435180">
        <w:t>, consistent with their clock</w:t>
      </w:r>
      <w:r>
        <w:t xml:space="preserve"> </w:t>
      </w:r>
      <w:r w:rsidRPr="00435180">
        <w:t>phase winnings</w:t>
      </w:r>
      <w:bookmarkEnd w:id="3"/>
      <w:r w:rsidRPr="00435180">
        <w:t xml:space="preserve">, in a series of single sealed-bid rounds conducted by PEA or, in some cases, PEA </w:t>
      </w:r>
      <w:r>
        <w:t>group</w:t>
      </w:r>
      <w:r w:rsidR="00CF0E02">
        <w:t>.</w:t>
      </w:r>
      <w:r>
        <w:t xml:space="preserve">  </w:t>
      </w:r>
    </w:p>
    <w:p w:rsidR="005B509A" w:rsidP="004276F0" w14:paraId="55A2896A" w14:textId="775F5B55">
      <w:pPr>
        <w:spacing w:before="120" w:after="120" w:line="240" w:lineRule="auto"/>
        <w:ind w:firstLine="720"/>
      </w:pPr>
      <w:r>
        <w:t>Additional procedures adopted for Auction 10</w:t>
      </w:r>
      <w:r w:rsidR="00F454B6">
        <w:t>7</w:t>
      </w:r>
      <w:r>
        <w:t xml:space="preserve"> include:</w:t>
      </w:r>
    </w:p>
    <w:p w:rsidR="00F454B6" w:rsidRPr="00F454B6" w:rsidP="004276F0" w14:paraId="1DA07B64" w14:textId="2753132E">
      <w:pPr>
        <w:pStyle w:val="ParaNum"/>
        <w:numPr>
          <w:ilvl w:val="0"/>
          <w:numId w:val="9"/>
        </w:numPr>
        <w:spacing w:before="120"/>
        <w:rPr>
          <w:sz w:val="22"/>
          <w:szCs w:val="22"/>
        </w:rPr>
      </w:pPr>
      <w:r w:rsidRPr="00F454B6">
        <w:rPr>
          <w:sz w:val="22"/>
          <w:szCs w:val="22"/>
        </w:rPr>
        <w:t>use of anonymous bidding/limited information procedures which will not make public:  (1) the license areas that an applicant selects for bidding in its auction application (FCC Form 175); (2) the amount of any upfront payment made by or on behalf of an applicant for Auction 107; (3) an applicant’s bidding eligibility; and (4) any other bidding-related information that might reveal the identity of the bidder placing a bid, until after bidding has closed;</w:t>
      </w:r>
    </w:p>
    <w:p w:rsidR="00F454B6" w:rsidRPr="004276F0" w:rsidP="004276F0" w14:paraId="13FB0B64" w14:textId="5F740F60">
      <w:pPr>
        <w:pStyle w:val="ParaNum"/>
        <w:numPr>
          <w:ilvl w:val="0"/>
          <w:numId w:val="9"/>
        </w:numPr>
        <w:spacing w:before="120"/>
        <w:rPr>
          <w:sz w:val="22"/>
          <w:szCs w:val="22"/>
        </w:rPr>
      </w:pPr>
      <w:r w:rsidRPr="00F454B6">
        <w:rPr>
          <w:sz w:val="22"/>
          <w:szCs w:val="22"/>
        </w:rPr>
        <w:t>adjustment of the bidding schedule as necessary in order to manage the pace of Auction 107;</w:t>
      </w:r>
      <w:r w:rsidRPr="004276F0">
        <w:rPr>
          <w:sz w:val="22"/>
          <w:szCs w:val="22"/>
        </w:rPr>
        <w:t xml:space="preserve">   </w:t>
      </w:r>
    </w:p>
    <w:p w:rsidR="00F454B6" w:rsidP="004276F0" w14:paraId="20F0A537" w14:textId="2891A22F">
      <w:pPr>
        <w:pStyle w:val="ParaNum"/>
        <w:numPr>
          <w:ilvl w:val="0"/>
          <w:numId w:val="9"/>
        </w:numPr>
        <w:spacing w:before="120"/>
        <w:rPr>
          <w:sz w:val="22"/>
          <w:szCs w:val="22"/>
        </w:rPr>
      </w:pPr>
      <w:r w:rsidRPr="00F454B6">
        <w:rPr>
          <w:sz w:val="22"/>
          <w:szCs w:val="22"/>
        </w:rPr>
        <w:t xml:space="preserve">provision of discretionary authority to </w:t>
      </w:r>
      <w:r w:rsidR="00D32A01">
        <w:rPr>
          <w:sz w:val="22"/>
          <w:szCs w:val="22"/>
        </w:rPr>
        <w:t xml:space="preserve">the </w:t>
      </w:r>
      <w:r w:rsidRPr="00F454B6">
        <w:rPr>
          <w:sz w:val="22"/>
          <w:szCs w:val="22"/>
        </w:rPr>
        <w:t>O</w:t>
      </w:r>
      <w:r w:rsidR="00D32A01">
        <w:rPr>
          <w:sz w:val="22"/>
          <w:szCs w:val="22"/>
        </w:rPr>
        <w:t xml:space="preserve">ffice of </w:t>
      </w:r>
      <w:r w:rsidRPr="00F454B6">
        <w:rPr>
          <w:sz w:val="22"/>
          <w:szCs w:val="22"/>
        </w:rPr>
        <w:t>E</w:t>
      </w:r>
      <w:r w:rsidR="00D32A01">
        <w:rPr>
          <w:sz w:val="22"/>
          <w:szCs w:val="22"/>
        </w:rPr>
        <w:t xml:space="preserve">conomics and </w:t>
      </w:r>
      <w:r w:rsidRPr="00F454B6">
        <w:rPr>
          <w:sz w:val="22"/>
          <w:szCs w:val="22"/>
        </w:rPr>
        <w:t>A</w:t>
      </w:r>
      <w:r w:rsidR="00D32A01">
        <w:rPr>
          <w:sz w:val="22"/>
          <w:szCs w:val="22"/>
        </w:rPr>
        <w:t>nalytics</w:t>
      </w:r>
      <w:r w:rsidRPr="00F454B6">
        <w:rPr>
          <w:sz w:val="22"/>
          <w:szCs w:val="22"/>
        </w:rPr>
        <w:t xml:space="preserve">, in conjunction with </w:t>
      </w:r>
      <w:r w:rsidR="00D32A01">
        <w:rPr>
          <w:sz w:val="22"/>
          <w:szCs w:val="22"/>
        </w:rPr>
        <w:t xml:space="preserve">the </w:t>
      </w:r>
      <w:r w:rsidRPr="00F454B6">
        <w:rPr>
          <w:sz w:val="22"/>
          <w:szCs w:val="22"/>
        </w:rPr>
        <w:t>W</w:t>
      </w:r>
      <w:r w:rsidR="00D32A01">
        <w:rPr>
          <w:sz w:val="22"/>
          <w:szCs w:val="22"/>
        </w:rPr>
        <w:t xml:space="preserve">ireless </w:t>
      </w:r>
      <w:r w:rsidRPr="00F454B6">
        <w:rPr>
          <w:sz w:val="22"/>
          <w:szCs w:val="22"/>
        </w:rPr>
        <w:t>T</w:t>
      </w:r>
      <w:r w:rsidR="00D32A01">
        <w:rPr>
          <w:sz w:val="22"/>
          <w:szCs w:val="22"/>
        </w:rPr>
        <w:t xml:space="preserve">elecommunications </w:t>
      </w:r>
      <w:r w:rsidRPr="00F454B6">
        <w:rPr>
          <w:sz w:val="22"/>
          <w:szCs w:val="22"/>
        </w:rPr>
        <w:t>B</w:t>
      </w:r>
      <w:r w:rsidR="00D32A01">
        <w:rPr>
          <w:sz w:val="22"/>
          <w:szCs w:val="22"/>
        </w:rPr>
        <w:t>ureau</w:t>
      </w:r>
      <w:r w:rsidRPr="00F454B6">
        <w:rPr>
          <w:sz w:val="22"/>
          <w:szCs w:val="22"/>
        </w:rPr>
        <w:t xml:space="preserve">, to delay, suspend, or cancel bidding in Auction 107 for any reason that affects the ability of the competitive bidding process to be conducted fairly and efficiently;  </w:t>
      </w:r>
    </w:p>
    <w:p w:rsidR="004276F0" w:rsidRPr="00F454B6" w:rsidP="004276F0" w14:paraId="7BD3A0E4" w14:textId="5DA38AED">
      <w:pPr>
        <w:pStyle w:val="ParaNum"/>
        <w:numPr>
          <w:ilvl w:val="0"/>
          <w:numId w:val="9"/>
        </w:numPr>
        <w:spacing w:before="120"/>
        <w:rPr>
          <w:sz w:val="22"/>
          <w:szCs w:val="22"/>
        </w:rPr>
      </w:pPr>
      <w:r>
        <w:rPr>
          <w:sz w:val="22"/>
          <w:szCs w:val="22"/>
        </w:rPr>
        <w:t xml:space="preserve">establishment of </w:t>
      </w:r>
      <w:r w:rsidR="00E64295">
        <w:rPr>
          <w:sz w:val="22"/>
          <w:szCs w:val="22"/>
        </w:rPr>
        <w:t xml:space="preserve">up to two </w:t>
      </w:r>
      <w:r w:rsidRPr="004276F0">
        <w:rPr>
          <w:sz w:val="22"/>
          <w:szCs w:val="22"/>
        </w:rPr>
        <w:t xml:space="preserve">clock phase categories </w:t>
      </w:r>
      <w:r w:rsidR="00E64295">
        <w:rPr>
          <w:sz w:val="22"/>
          <w:szCs w:val="22"/>
        </w:rPr>
        <w:t xml:space="preserve">in each available PEA that </w:t>
      </w:r>
      <w:r w:rsidRPr="004276F0">
        <w:rPr>
          <w:sz w:val="22"/>
          <w:szCs w:val="22"/>
        </w:rPr>
        <w:t xml:space="preserve">will be determined based on the </w:t>
      </w:r>
      <w:r w:rsidRPr="004276F0">
        <w:rPr>
          <w:sz w:val="22"/>
        </w:rPr>
        <w:t>specific clearing deadline to which incumbent earth stations are subject, i.e., Phase I or Phase II</w:t>
      </w:r>
      <w:r w:rsidR="00E64295">
        <w:rPr>
          <w:sz w:val="22"/>
        </w:rPr>
        <w:t>;</w:t>
      </w:r>
      <w:r>
        <w:rPr>
          <w:rStyle w:val="FootnoteReference"/>
          <w:sz w:val="22"/>
        </w:rPr>
        <w:footnoteReference w:id="9"/>
      </w:r>
    </w:p>
    <w:p w:rsidR="00F454B6" w:rsidRPr="00F454B6" w:rsidP="004276F0" w14:paraId="3258F09D" w14:textId="77777777">
      <w:pPr>
        <w:pStyle w:val="ParaNum"/>
        <w:numPr>
          <w:ilvl w:val="0"/>
          <w:numId w:val="9"/>
        </w:numPr>
        <w:spacing w:before="120"/>
        <w:rPr>
          <w:sz w:val="22"/>
          <w:szCs w:val="22"/>
        </w:rPr>
      </w:pPr>
      <w:r w:rsidRPr="00F454B6">
        <w:rPr>
          <w:sz w:val="22"/>
          <w:szCs w:val="22"/>
        </w:rPr>
        <w:t>use of an activity rule, which requires a bidder to bid actively during the auction on a high percentage of its bidding eligibility, including a modification that would allow a bidder to submit bids, but not to be assigned bids, that exceed its bidding eligibility;</w:t>
      </w:r>
    </w:p>
    <w:p w:rsidR="00F454B6" w:rsidRPr="00F454B6" w:rsidP="004276F0" w14:paraId="19137BAC" w14:textId="77777777">
      <w:pPr>
        <w:pStyle w:val="ParaNum"/>
        <w:numPr>
          <w:ilvl w:val="0"/>
          <w:numId w:val="9"/>
        </w:numPr>
        <w:spacing w:before="120"/>
        <w:rPr>
          <w:sz w:val="22"/>
          <w:szCs w:val="22"/>
        </w:rPr>
      </w:pPr>
      <w:r w:rsidRPr="00F454B6">
        <w:rPr>
          <w:sz w:val="22"/>
          <w:szCs w:val="22"/>
        </w:rPr>
        <w:t>use of an activity rule that does not include a waiver of the rule to preserve a bidder’s eligibility;</w:t>
      </w:r>
    </w:p>
    <w:p w:rsidR="00F454B6" w:rsidRPr="00F454B6" w:rsidP="004276F0" w14:paraId="1B7C37A6" w14:textId="77777777">
      <w:pPr>
        <w:pStyle w:val="ParaNum"/>
        <w:numPr>
          <w:ilvl w:val="0"/>
          <w:numId w:val="9"/>
        </w:numPr>
        <w:spacing w:before="120"/>
        <w:rPr>
          <w:sz w:val="22"/>
          <w:szCs w:val="22"/>
        </w:rPr>
      </w:pPr>
      <w:r w:rsidRPr="00F454B6">
        <w:rPr>
          <w:sz w:val="22"/>
          <w:szCs w:val="22"/>
        </w:rPr>
        <w:t>a requirement that bidders be active on between 90% and 100% of a bidder’s bidding eligibility in all clock rounds;</w:t>
      </w:r>
    </w:p>
    <w:p w:rsidR="00F454B6" w:rsidRPr="00F454B6" w:rsidP="004276F0" w14:paraId="076F9DB2" w14:textId="66A46EB5">
      <w:pPr>
        <w:pStyle w:val="ParaNum"/>
        <w:numPr>
          <w:ilvl w:val="0"/>
          <w:numId w:val="9"/>
        </w:numPr>
        <w:spacing w:before="120"/>
        <w:rPr>
          <w:sz w:val="22"/>
          <w:szCs w:val="22"/>
        </w:rPr>
      </w:pPr>
      <w:r w:rsidRPr="00F454B6">
        <w:rPr>
          <w:sz w:val="22"/>
          <w:szCs w:val="22"/>
        </w:rPr>
        <w:t xml:space="preserve">a specific minimum opening bid amount for generic blocks in each </w:t>
      </w:r>
      <w:r w:rsidR="004276F0">
        <w:rPr>
          <w:sz w:val="22"/>
          <w:szCs w:val="22"/>
        </w:rPr>
        <w:t>category in a PEA (</w:t>
      </w:r>
      <w:r w:rsidRPr="00F454B6">
        <w:rPr>
          <w:sz w:val="22"/>
          <w:szCs w:val="22"/>
        </w:rPr>
        <w:t>product</w:t>
      </w:r>
      <w:r w:rsidR="004276F0">
        <w:rPr>
          <w:sz w:val="22"/>
          <w:szCs w:val="22"/>
        </w:rPr>
        <w:t>)</w:t>
      </w:r>
      <w:r w:rsidRPr="00F454B6">
        <w:rPr>
          <w:sz w:val="22"/>
          <w:szCs w:val="22"/>
        </w:rPr>
        <w:t xml:space="preserve"> available in Auction 107;</w:t>
      </w:r>
    </w:p>
    <w:p w:rsidR="00F454B6" w:rsidRPr="00F454B6" w:rsidP="004276F0" w14:paraId="60016697" w14:textId="77777777">
      <w:pPr>
        <w:pStyle w:val="ParaNum"/>
        <w:numPr>
          <w:ilvl w:val="0"/>
          <w:numId w:val="9"/>
        </w:numPr>
        <w:spacing w:before="120"/>
        <w:rPr>
          <w:sz w:val="22"/>
          <w:szCs w:val="22"/>
        </w:rPr>
      </w:pPr>
      <w:r w:rsidRPr="00F454B6">
        <w:rPr>
          <w:sz w:val="22"/>
          <w:szCs w:val="22"/>
        </w:rPr>
        <w:t>a specific upfront payment amount for generic blocks in each product available in Auction 107;</w:t>
      </w:r>
    </w:p>
    <w:p w:rsidR="00F454B6" w:rsidRPr="00F454B6" w:rsidP="004276F0" w14:paraId="30C9A026" w14:textId="77777777">
      <w:pPr>
        <w:pStyle w:val="ParaNum"/>
        <w:numPr>
          <w:ilvl w:val="0"/>
          <w:numId w:val="9"/>
        </w:numPr>
        <w:spacing w:before="120"/>
        <w:rPr>
          <w:sz w:val="22"/>
          <w:szCs w:val="22"/>
        </w:rPr>
      </w:pPr>
      <w:r w:rsidRPr="00F454B6">
        <w:rPr>
          <w:sz w:val="22"/>
          <w:szCs w:val="22"/>
        </w:rPr>
        <w:t>establishment of a bidder’s initial bidding eligibility in bidding units based on that bidder’s upfront payment through assignment of a specific number of bidding units for each generic block;</w:t>
      </w:r>
    </w:p>
    <w:p w:rsidR="00F454B6" w:rsidRPr="00F454B6" w:rsidP="004276F0" w14:paraId="42119DDB" w14:textId="77777777">
      <w:pPr>
        <w:pStyle w:val="ParaNum"/>
        <w:numPr>
          <w:ilvl w:val="0"/>
          <w:numId w:val="9"/>
        </w:numPr>
        <w:spacing w:before="120"/>
        <w:rPr>
          <w:sz w:val="22"/>
          <w:szCs w:val="22"/>
        </w:rPr>
      </w:pPr>
      <w:r w:rsidRPr="00F454B6">
        <w:rPr>
          <w:sz w:val="22"/>
          <w:szCs w:val="22"/>
        </w:rPr>
        <w:t>establishment of acceptable bid amounts, including clock price increments and intra-round bids, along with a methodology for calculating such amounts;</w:t>
      </w:r>
    </w:p>
    <w:p w:rsidR="00F454B6" w:rsidRPr="00F454B6" w:rsidP="004276F0" w14:paraId="38E1C269" w14:textId="77777777">
      <w:pPr>
        <w:pStyle w:val="ParaNum"/>
        <w:numPr>
          <w:ilvl w:val="0"/>
          <w:numId w:val="9"/>
        </w:numPr>
        <w:spacing w:before="120"/>
        <w:rPr>
          <w:sz w:val="22"/>
          <w:szCs w:val="22"/>
        </w:rPr>
      </w:pPr>
      <w:r w:rsidRPr="00F454B6">
        <w:rPr>
          <w:sz w:val="22"/>
          <w:szCs w:val="22"/>
        </w:rPr>
        <w:t>a methodology for processing bids and requests to reduce and increase demand subject to the no excess supply rule for bids to reduce demand and the eligibility rule for bids to increase demand;</w:t>
      </w:r>
    </w:p>
    <w:p w:rsidR="00F454B6" w:rsidRPr="00F454B6" w:rsidP="004276F0" w14:paraId="47EC068B" w14:textId="77777777">
      <w:pPr>
        <w:pStyle w:val="ParaNum"/>
        <w:numPr>
          <w:ilvl w:val="0"/>
          <w:numId w:val="9"/>
        </w:numPr>
        <w:spacing w:before="120"/>
        <w:rPr>
          <w:sz w:val="22"/>
          <w:szCs w:val="22"/>
        </w:rPr>
      </w:pPr>
      <w:r w:rsidRPr="00F454B6">
        <w:rPr>
          <w:sz w:val="22"/>
          <w:szCs w:val="22"/>
        </w:rPr>
        <w:t>use of bid processing procedures that the auction bidding system will use, after each bidding round, to process bids to determine the processed demand of each bidder and a posted price for each product that would serve as the start-of-round price for the next round;</w:t>
      </w:r>
    </w:p>
    <w:p w:rsidR="00F454B6" w:rsidRPr="00F454B6" w:rsidP="004276F0" w14:paraId="44C3D884" w14:textId="7BE04324">
      <w:pPr>
        <w:pStyle w:val="ParaNum"/>
        <w:numPr>
          <w:ilvl w:val="0"/>
          <w:numId w:val="9"/>
        </w:numPr>
        <w:spacing w:before="120"/>
        <w:rPr>
          <w:sz w:val="22"/>
          <w:szCs w:val="22"/>
        </w:rPr>
      </w:pPr>
      <w:r>
        <w:rPr>
          <w:sz w:val="22"/>
          <w:szCs w:val="22"/>
        </w:rPr>
        <w:t>use</w:t>
      </w:r>
      <w:r w:rsidRPr="00F454B6">
        <w:rPr>
          <w:sz w:val="22"/>
          <w:szCs w:val="22"/>
        </w:rPr>
        <w:t xml:space="preserve"> of assignment phase </w:t>
      </w:r>
      <w:r w:rsidR="0098219A">
        <w:rPr>
          <w:sz w:val="22"/>
          <w:szCs w:val="22"/>
        </w:rPr>
        <w:t>procedures</w:t>
      </w:r>
      <w:r w:rsidRPr="004776C1">
        <w:rPr>
          <w:rFonts w:eastAsiaTheme="minorHAnsi"/>
          <w:snapToGrid/>
          <w:kern w:val="0"/>
          <w:sz w:val="24"/>
          <w:szCs w:val="24"/>
        </w:rPr>
        <w:t xml:space="preserve"> </w:t>
      </w:r>
      <w:r w:rsidRPr="004776C1">
        <w:rPr>
          <w:sz w:val="22"/>
          <w:szCs w:val="22"/>
        </w:rPr>
        <w:t>for PEAs with blocks in two clock phase categories that will allow for interim and final frequency-specific assignments of contiguous blocks within each PEA</w:t>
      </w:r>
      <w:r w:rsidRPr="00F454B6">
        <w:rPr>
          <w:sz w:val="22"/>
          <w:szCs w:val="22"/>
        </w:rPr>
        <w:t>; and</w:t>
      </w:r>
    </w:p>
    <w:p w:rsidR="00BA2542" w:rsidRPr="001F64F8" w:rsidP="004276F0" w14:paraId="3DF49FA7" w14:textId="7BA5591D">
      <w:pPr>
        <w:pStyle w:val="ParaNum"/>
        <w:numPr>
          <w:ilvl w:val="0"/>
          <w:numId w:val="9"/>
        </w:numPr>
        <w:spacing w:before="120"/>
        <w:rPr>
          <w:sz w:val="22"/>
          <w:szCs w:val="22"/>
        </w:rPr>
      </w:pPr>
      <w:r w:rsidRPr="00F454B6">
        <w:rPr>
          <w:sz w:val="22"/>
          <w:szCs w:val="22"/>
        </w:rPr>
        <w:t>establishment of additional default payments of 1</w:t>
      </w:r>
      <w:r w:rsidR="004776C1">
        <w:rPr>
          <w:sz w:val="22"/>
          <w:szCs w:val="22"/>
        </w:rPr>
        <w:t>5</w:t>
      </w:r>
      <w:r w:rsidRPr="00F454B6">
        <w:rPr>
          <w:sz w:val="22"/>
          <w:szCs w:val="22"/>
        </w:rPr>
        <w:t>% for bids pursuant to section 1.2104(g)(2) of the rules in the event that a winning bidder defaults or is disqualified after the auction</w:t>
      </w:r>
      <w:r w:rsidRPr="001F64F8">
        <w:rPr>
          <w:sz w:val="22"/>
          <w:szCs w:val="22"/>
        </w:rPr>
        <w:t>.</w:t>
      </w:r>
    </w:p>
    <w:p w:rsidR="00154D9C" w:rsidP="004276F0" w14:paraId="62A5574F" w14:textId="53CE906B">
      <w:pPr>
        <w:spacing w:before="120" w:after="120" w:line="240" w:lineRule="auto"/>
        <w:ind w:firstLine="720"/>
      </w:pPr>
      <w:r w:rsidRPr="009404B2">
        <w:t>Bidding in Auction 10</w:t>
      </w:r>
      <w:r w:rsidR="004776C1">
        <w:t>7</w:t>
      </w:r>
      <w:r w:rsidR="008D0EE1">
        <w:t xml:space="preserve"> is scheduled to begin </w:t>
      </w:r>
      <w:r w:rsidRPr="009404B2">
        <w:t xml:space="preserve">on </w:t>
      </w:r>
      <w:r w:rsidR="004776C1">
        <w:t>December 8</w:t>
      </w:r>
      <w:r w:rsidRPr="009404B2">
        <w:t>, 20</w:t>
      </w:r>
      <w:r w:rsidR="008D0EE1">
        <w:t>20</w:t>
      </w:r>
      <w:r w:rsidRPr="009404B2">
        <w:t xml:space="preserve">.  </w:t>
      </w:r>
      <w:r w:rsidR="00E12C26">
        <w:t>B</w:t>
      </w:r>
      <w:r w:rsidRPr="009404B2">
        <w:t>idding on all generic spectrum blocks in</w:t>
      </w:r>
      <w:r w:rsidR="004776C1">
        <w:t xml:space="preserve"> both categories in</w:t>
      </w:r>
      <w:r w:rsidRPr="009404B2">
        <w:t xml:space="preserve"> all </w:t>
      </w:r>
      <w:r w:rsidR="004776C1">
        <w:t>PEAs</w:t>
      </w:r>
      <w:r w:rsidR="00BC6DA8">
        <w:t xml:space="preserve"> will be c</w:t>
      </w:r>
      <w:r w:rsidRPr="009404B2">
        <w:t>onducted on each business day until bidding stop</w:t>
      </w:r>
      <w:r w:rsidR="00BC6DA8">
        <w:t>s</w:t>
      </w:r>
      <w:r w:rsidRPr="009404B2">
        <w:t xml:space="preserve"> on all blocks in all </w:t>
      </w:r>
      <w:r w:rsidR="004776C1">
        <w:t>PEAs</w:t>
      </w:r>
      <w:r w:rsidRPr="009404B2">
        <w:t>.</w:t>
      </w:r>
      <w:r>
        <w:rPr>
          <w:vertAlign w:val="superscript"/>
        </w:rPr>
        <w:footnoteReference w:id="10"/>
      </w:r>
      <w:r w:rsidRPr="009404B2">
        <w:t xml:space="preserve"> </w:t>
      </w:r>
      <w:r w:rsidR="0033780C">
        <w:t xml:space="preserve"> </w:t>
      </w:r>
    </w:p>
    <w:p w:rsidR="00160604" w:rsidRPr="00DB0F1A" w:rsidP="004276F0" w14:paraId="2FFB7B26" w14:textId="1D92E89F">
      <w:pPr>
        <w:pStyle w:val="ListParagraph"/>
        <w:keepNext/>
        <w:widowControl w:val="0"/>
        <w:numPr>
          <w:ilvl w:val="0"/>
          <w:numId w:val="3"/>
        </w:numPr>
        <w:tabs>
          <w:tab w:val="left" w:pos="720"/>
        </w:tabs>
        <w:spacing w:before="120" w:after="120" w:line="240" w:lineRule="auto"/>
        <w:contextualSpacing w:val="0"/>
        <w:outlineLvl w:val="1"/>
        <w:rPr>
          <w:rFonts w:ascii="Times New Roman" w:hAnsi="Times New Roman" w:cs="Times New Roman"/>
          <w:b/>
        </w:rPr>
      </w:pPr>
      <w:r>
        <w:rPr>
          <w:rFonts w:ascii="Times New Roman" w:hAnsi="Times New Roman" w:cs="Times New Roman"/>
          <w:b/>
        </w:rPr>
        <w:t>Post-Auction Procedures</w:t>
      </w:r>
    </w:p>
    <w:p w:rsidR="0056720E" w:rsidRPr="004776C1" w:rsidP="004776C1" w14:paraId="600BC1F0" w14:textId="2AD153E3">
      <w:pPr>
        <w:pStyle w:val="ParaNum"/>
        <w:keepNext/>
        <w:widowControl/>
        <w:numPr>
          <w:ilvl w:val="0"/>
          <w:numId w:val="0"/>
        </w:numPr>
        <w:spacing w:before="120"/>
        <w:ind w:firstLine="720"/>
        <w:rPr>
          <w:sz w:val="22"/>
          <w:szCs w:val="22"/>
        </w:rPr>
      </w:pPr>
      <w:r w:rsidRPr="0056720E">
        <w:rPr>
          <w:sz w:val="22"/>
          <w:szCs w:val="22"/>
        </w:rPr>
        <w:t>Shortly after bidding end</w:t>
      </w:r>
      <w:r w:rsidR="00EE188E">
        <w:rPr>
          <w:sz w:val="22"/>
          <w:szCs w:val="22"/>
        </w:rPr>
        <w:t>s</w:t>
      </w:r>
      <w:r w:rsidRPr="0056720E">
        <w:rPr>
          <w:sz w:val="22"/>
          <w:szCs w:val="22"/>
        </w:rPr>
        <w:t xml:space="preserve"> in </w:t>
      </w:r>
      <w:r>
        <w:rPr>
          <w:sz w:val="22"/>
          <w:szCs w:val="22"/>
        </w:rPr>
        <w:t>Auction 10</w:t>
      </w:r>
      <w:r w:rsidR="004776C1">
        <w:rPr>
          <w:sz w:val="22"/>
          <w:szCs w:val="22"/>
        </w:rPr>
        <w:t>7</w:t>
      </w:r>
      <w:r w:rsidRPr="0056720E">
        <w:rPr>
          <w:sz w:val="22"/>
          <w:szCs w:val="22"/>
        </w:rPr>
        <w:t>, the Commission will issue a public notice declaring that the auction closed and establishing the deadlines for submitting down payments, final payments, and the long-form applications (FCC Form 601) for the auction.</w:t>
      </w:r>
      <w:r>
        <w:rPr>
          <w:sz w:val="22"/>
          <w:szCs w:val="22"/>
        </w:rPr>
        <w:t xml:space="preserve">  </w:t>
      </w:r>
      <w:r w:rsidRPr="0056720E">
        <w:rPr>
          <w:sz w:val="22"/>
          <w:szCs w:val="22"/>
        </w:rPr>
        <w:t>Further instructions on these and other filing requirements will be provided to winning bidders in the auction closing public notice</w:t>
      </w:r>
      <w:r w:rsidR="0038509F">
        <w:rPr>
          <w:sz w:val="22"/>
          <w:szCs w:val="22"/>
        </w:rPr>
        <w:t xml:space="preserve"> for Auction</w:t>
      </w:r>
      <w:r w:rsidRPr="0056720E">
        <w:rPr>
          <w:sz w:val="22"/>
          <w:szCs w:val="22"/>
        </w:rPr>
        <w:t xml:space="preserve"> 10</w:t>
      </w:r>
      <w:r w:rsidR="004776C1">
        <w:rPr>
          <w:sz w:val="22"/>
          <w:szCs w:val="22"/>
        </w:rPr>
        <w:t>7</w:t>
      </w:r>
      <w:r>
        <w:rPr>
          <w:sz w:val="22"/>
          <w:szCs w:val="22"/>
        </w:rPr>
        <w:t>.</w:t>
      </w:r>
    </w:p>
    <w:p w:rsidR="00CA7A15" w:rsidRPr="00C93675" w:rsidP="004276F0" w14:paraId="1AC35155" w14:textId="285900B2">
      <w:pPr>
        <w:pStyle w:val="ParaNum"/>
        <w:keepNext/>
        <w:numPr>
          <w:ilvl w:val="0"/>
          <w:numId w:val="0"/>
        </w:numPr>
        <w:spacing w:before="120"/>
        <w:ind w:firstLine="720"/>
        <w:rPr>
          <w:i/>
          <w:sz w:val="22"/>
          <w:szCs w:val="22"/>
          <w:u w:val="single"/>
        </w:rPr>
      </w:pPr>
      <w:r w:rsidRPr="00C93675">
        <w:rPr>
          <w:i/>
          <w:sz w:val="22"/>
          <w:szCs w:val="22"/>
          <w:u w:val="single"/>
        </w:rPr>
        <w:t>Compliance Requirements for Winning Bidders</w:t>
      </w:r>
    </w:p>
    <w:p w:rsidR="004D32C9" w:rsidP="004276F0" w14:paraId="7C61B1D2" w14:textId="77777777">
      <w:pPr>
        <w:pStyle w:val="ParaNum"/>
        <w:keepNext/>
        <w:numPr>
          <w:ilvl w:val="0"/>
          <w:numId w:val="0"/>
        </w:numPr>
        <w:spacing w:before="120"/>
        <w:ind w:firstLine="720"/>
        <w:rPr>
          <w:sz w:val="22"/>
          <w:szCs w:val="22"/>
        </w:rPr>
      </w:pPr>
      <w:r>
        <w:rPr>
          <w:sz w:val="22"/>
          <w:szCs w:val="22"/>
        </w:rPr>
        <w:t>Additional</w:t>
      </w:r>
      <w:r w:rsidRPr="006511EE">
        <w:rPr>
          <w:sz w:val="22"/>
          <w:szCs w:val="22"/>
        </w:rPr>
        <w:t xml:space="preserve"> compliance requirements </w:t>
      </w:r>
      <w:r>
        <w:rPr>
          <w:sz w:val="22"/>
          <w:szCs w:val="22"/>
        </w:rPr>
        <w:t xml:space="preserve">apply to </w:t>
      </w:r>
      <w:r w:rsidRPr="006511EE">
        <w:rPr>
          <w:sz w:val="22"/>
          <w:szCs w:val="22"/>
        </w:rPr>
        <w:t xml:space="preserve">winning bidders.  As with other winning bidders, any small entity that is a winning bidder will be required to comply with the following:  </w:t>
      </w:r>
    </w:p>
    <w:p w:rsidR="004D32C9" w:rsidP="004276F0" w14:paraId="746A8B3F" w14:textId="72AD463D">
      <w:pPr>
        <w:pStyle w:val="ParaNum"/>
        <w:keepNext/>
        <w:numPr>
          <w:ilvl w:val="0"/>
          <w:numId w:val="16"/>
        </w:numPr>
        <w:tabs>
          <w:tab w:val="left" w:pos="1080"/>
        </w:tabs>
        <w:spacing w:before="120"/>
        <w:ind w:left="1080"/>
        <w:rPr>
          <w:sz w:val="22"/>
          <w:szCs w:val="22"/>
        </w:rPr>
      </w:pPr>
      <w:r>
        <w:rPr>
          <w:sz w:val="22"/>
          <w:szCs w:val="22"/>
        </w:rPr>
        <w:t>W</w:t>
      </w:r>
      <w:r w:rsidRPr="006511EE" w:rsidR="00FD0613">
        <w:rPr>
          <w:sz w:val="22"/>
          <w:szCs w:val="22"/>
        </w:rPr>
        <w:t>ithin 10 business days of release of the auction closing public notice for Auction 10</w:t>
      </w:r>
      <w:r w:rsidR="00117E4E">
        <w:rPr>
          <w:sz w:val="22"/>
          <w:szCs w:val="22"/>
        </w:rPr>
        <w:t>7</w:t>
      </w:r>
      <w:r w:rsidRPr="006511EE" w:rsidR="00FD0613">
        <w:rPr>
          <w:sz w:val="22"/>
          <w:szCs w:val="22"/>
        </w:rPr>
        <w:t>, submit as a down payment sufficient funds (in addition to its upfront payment) to bring its total amount of money on deposit with the Commission to 20</w:t>
      </w:r>
      <w:r w:rsidR="00117E4E">
        <w:rPr>
          <w:sz w:val="22"/>
          <w:szCs w:val="22"/>
        </w:rPr>
        <w:t xml:space="preserve">% </w:t>
      </w:r>
      <w:r w:rsidRPr="006511EE" w:rsidR="00FD0613">
        <w:rPr>
          <w:sz w:val="22"/>
          <w:szCs w:val="22"/>
        </w:rPr>
        <w:t xml:space="preserve">of the net amount of its winning bids; </w:t>
      </w:r>
    </w:p>
    <w:p w:rsidR="004D32C9" w:rsidP="004276F0" w14:paraId="4CD30803" w14:textId="4653B6A4">
      <w:pPr>
        <w:pStyle w:val="ParaNum"/>
        <w:keepNext/>
        <w:numPr>
          <w:ilvl w:val="0"/>
          <w:numId w:val="16"/>
        </w:numPr>
        <w:tabs>
          <w:tab w:val="left" w:pos="1440"/>
        </w:tabs>
        <w:spacing w:before="120"/>
        <w:ind w:left="1080"/>
        <w:rPr>
          <w:sz w:val="22"/>
          <w:szCs w:val="22"/>
        </w:rPr>
      </w:pPr>
      <w:r>
        <w:rPr>
          <w:sz w:val="22"/>
          <w:szCs w:val="22"/>
        </w:rPr>
        <w:t>W</w:t>
      </w:r>
      <w:r w:rsidRPr="006511EE" w:rsidR="00FD0613">
        <w:rPr>
          <w:sz w:val="22"/>
          <w:szCs w:val="22"/>
        </w:rPr>
        <w:t xml:space="preserve">ithin 10 business days after the down payment deadline, submit the balance of the net amount for each of its winning bids; and </w:t>
      </w:r>
    </w:p>
    <w:p w:rsidR="004D32C9" w:rsidP="004276F0" w14:paraId="7128D6C4" w14:textId="6C0F8D57">
      <w:pPr>
        <w:pStyle w:val="ParaNum"/>
        <w:keepNext/>
        <w:numPr>
          <w:ilvl w:val="0"/>
          <w:numId w:val="16"/>
        </w:numPr>
        <w:tabs>
          <w:tab w:val="left" w:pos="1440"/>
        </w:tabs>
        <w:spacing w:before="120"/>
        <w:ind w:left="1080"/>
        <w:rPr>
          <w:sz w:val="22"/>
          <w:szCs w:val="22"/>
        </w:rPr>
      </w:pPr>
      <w:r>
        <w:rPr>
          <w:sz w:val="22"/>
          <w:szCs w:val="22"/>
        </w:rPr>
        <w:t>W</w:t>
      </w:r>
      <w:r w:rsidRPr="006511EE" w:rsidR="00FD0613">
        <w:rPr>
          <w:sz w:val="22"/>
          <w:szCs w:val="22"/>
        </w:rPr>
        <w:t xml:space="preserve">ithin </w:t>
      </w:r>
      <w:r w:rsidR="00EE188E">
        <w:rPr>
          <w:sz w:val="22"/>
          <w:szCs w:val="22"/>
        </w:rPr>
        <w:t>1</w:t>
      </w:r>
      <w:r w:rsidRPr="006511EE" w:rsidR="00FD0613">
        <w:rPr>
          <w:sz w:val="22"/>
          <w:szCs w:val="22"/>
        </w:rPr>
        <w:t xml:space="preserve">0 days </w:t>
      </w:r>
      <w:r w:rsidR="00EE188E">
        <w:rPr>
          <w:sz w:val="22"/>
          <w:szCs w:val="22"/>
        </w:rPr>
        <w:t>after the release of the auction closing public notice</w:t>
      </w:r>
      <w:r w:rsidRPr="006511EE" w:rsidR="00FD0613">
        <w:rPr>
          <w:sz w:val="22"/>
          <w:szCs w:val="22"/>
        </w:rPr>
        <w:t xml:space="preserve">, electronically submit a properly completed long-form application (FCC Form 601) and required exhibits for each </w:t>
      </w:r>
      <w:r w:rsidRPr="006511EE" w:rsidR="00FD0613">
        <w:rPr>
          <w:sz w:val="22"/>
          <w:szCs w:val="22"/>
        </w:rPr>
        <w:t>license won through Auction</w:t>
      </w:r>
      <w:r w:rsidR="00FD0613">
        <w:rPr>
          <w:sz w:val="22"/>
          <w:szCs w:val="22"/>
        </w:rPr>
        <w:t xml:space="preserve"> </w:t>
      </w:r>
      <w:r w:rsidRPr="006511EE" w:rsidR="00FD0613">
        <w:rPr>
          <w:sz w:val="22"/>
          <w:szCs w:val="22"/>
        </w:rPr>
        <w:t>10</w:t>
      </w:r>
      <w:r w:rsidR="00117E4E">
        <w:rPr>
          <w:sz w:val="22"/>
          <w:szCs w:val="22"/>
        </w:rPr>
        <w:t>7</w:t>
      </w:r>
      <w:r w:rsidRPr="006511EE" w:rsidR="00FD0613">
        <w:rPr>
          <w:sz w:val="22"/>
          <w:szCs w:val="22"/>
        </w:rPr>
        <w:t xml:space="preserve">.  </w:t>
      </w:r>
    </w:p>
    <w:p w:rsidR="00FD0613" w:rsidRPr="0056720E" w:rsidP="004276F0" w14:paraId="38D92F3A" w14:textId="5F483BBE">
      <w:pPr>
        <w:pStyle w:val="ParaNum"/>
        <w:keepNext/>
        <w:numPr>
          <w:ilvl w:val="0"/>
          <w:numId w:val="16"/>
        </w:numPr>
        <w:tabs>
          <w:tab w:val="left" w:pos="1440"/>
        </w:tabs>
        <w:spacing w:before="120"/>
        <w:ind w:left="1080"/>
        <w:rPr>
          <w:sz w:val="22"/>
          <w:szCs w:val="22"/>
        </w:rPr>
      </w:pPr>
      <w:r w:rsidRPr="006511EE">
        <w:rPr>
          <w:sz w:val="22"/>
          <w:szCs w:val="22"/>
        </w:rPr>
        <w:t>A winning bidder claiming eligibility for a small business bidding credit or a rural service provider bidding credit must demonstrate its eligibility in its FCC Form 601 post-auction application for the bidding credit sought</w:t>
      </w:r>
      <w:r>
        <w:rPr>
          <w:sz w:val="22"/>
          <w:szCs w:val="22"/>
        </w:rPr>
        <w:t>.</w:t>
      </w:r>
      <w:r>
        <w:rPr>
          <w:sz w:val="22"/>
          <w:szCs w:val="22"/>
          <w:vertAlign w:val="superscript"/>
        </w:rPr>
        <w:footnoteReference w:id="11"/>
      </w:r>
    </w:p>
    <w:p w:rsidR="00160604" w:rsidRPr="00BA3DAB" w:rsidP="004276F0" w14:paraId="6CC0B04B" w14:textId="77777777">
      <w:pPr>
        <w:pStyle w:val="Heading1"/>
        <w:spacing w:before="120" w:after="120"/>
        <w:rPr>
          <w:rFonts w:eastAsia="Calibri"/>
          <w:color w:val="2F5496" w:themeColor="accent1" w:themeShade="BF"/>
          <w:sz w:val="32"/>
        </w:rPr>
      </w:pPr>
      <w:r w:rsidRPr="00BA3DAB">
        <w:rPr>
          <w:rFonts w:eastAsia="Calibri"/>
        </w:rPr>
        <w:t>III.</w:t>
      </w:r>
      <w:r w:rsidRPr="00BA3DAB">
        <w:rPr>
          <w:rFonts w:eastAsia="Calibri"/>
        </w:rPr>
        <w:tab/>
        <w:t xml:space="preserve">RECORDKEEPING AND </w:t>
      </w:r>
      <w:r w:rsidRPr="00BA3DAB">
        <w:t>REPORTING</w:t>
      </w:r>
      <w:r w:rsidRPr="00BA3DAB">
        <w:rPr>
          <w:rFonts w:eastAsia="Calibri"/>
        </w:rPr>
        <w:t xml:space="preserve"> REQUIREMENTS</w:t>
      </w:r>
    </w:p>
    <w:p w:rsidR="00C22AFA" w:rsidRPr="0038509F" w:rsidP="004276F0" w14:paraId="6151E083" w14:textId="5B525D58">
      <w:pPr>
        <w:pStyle w:val="ParaNum"/>
        <w:widowControl/>
        <w:numPr>
          <w:ilvl w:val="0"/>
          <w:numId w:val="0"/>
        </w:numPr>
        <w:spacing w:before="120"/>
        <w:ind w:firstLine="720"/>
        <w:rPr>
          <w:sz w:val="22"/>
          <w:szCs w:val="22"/>
        </w:rPr>
      </w:pPr>
      <w:r w:rsidRPr="00C766D2">
        <w:rPr>
          <w:sz w:val="22"/>
          <w:szCs w:val="22"/>
        </w:rPr>
        <w:t>Pursuant to Section 1.65 of the Commission’s rules, each applicant has a continuing obligation to maintain the accuracy and completeness of information furnished in a pending application, including a pending application to participate in Auction 10</w:t>
      </w:r>
      <w:r w:rsidR="00117E4E">
        <w:rPr>
          <w:sz w:val="22"/>
          <w:szCs w:val="22"/>
        </w:rPr>
        <w:t>7</w:t>
      </w:r>
      <w:r w:rsidRPr="00C766D2">
        <w:rPr>
          <w:sz w:val="22"/>
          <w:szCs w:val="22"/>
        </w:rPr>
        <w:t xml:space="preserve">.  </w:t>
      </w:r>
      <w:r>
        <w:rPr>
          <w:sz w:val="22"/>
          <w:szCs w:val="22"/>
        </w:rPr>
        <w:t>A</w:t>
      </w:r>
      <w:r w:rsidRPr="00C766D2">
        <w:rPr>
          <w:sz w:val="22"/>
          <w:szCs w:val="22"/>
        </w:rPr>
        <w:t>n applicant for Auction 10</w:t>
      </w:r>
      <w:r w:rsidR="00117E4E">
        <w:rPr>
          <w:sz w:val="22"/>
          <w:szCs w:val="22"/>
        </w:rPr>
        <w:t>7</w:t>
      </w:r>
      <w:r w:rsidRPr="00C766D2">
        <w:rPr>
          <w:sz w:val="22"/>
          <w:szCs w:val="22"/>
        </w:rPr>
        <w:t xml:space="preserve"> must furnish additional or corrected information to the Commission within five business days after a significant </w:t>
      </w:r>
      <w:r w:rsidRPr="00C766D2" w:rsidR="0071612E">
        <w:rPr>
          <w:sz w:val="22"/>
          <w:szCs w:val="22"/>
        </w:rPr>
        <w:t>occurrence or</w:t>
      </w:r>
      <w:r w:rsidRPr="00C766D2">
        <w:rPr>
          <w:sz w:val="22"/>
          <w:szCs w:val="22"/>
        </w:rPr>
        <w:t xml:space="preserve"> amend its FCC Form 175 no more than five business days after the applicant becomes aware of the need for the amendment.</w:t>
      </w:r>
      <w:r>
        <w:rPr>
          <w:sz w:val="22"/>
          <w:szCs w:val="22"/>
        </w:rPr>
        <w:t xml:space="preserve">  </w:t>
      </w:r>
      <w:r w:rsidRPr="00C766D2">
        <w:rPr>
          <w:sz w:val="22"/>
          <w:szCs w:val="22"/>
        </w:rPr>
        <w:t xml:space="preserve">The </w:t>
      </w:r>
      <w:r w:rsidRPr="00C766D2">
        <w:rPr>
          <w:i/>
          <w:sz w:val="22"/>
          <w:szCs w:val="22"/>
        </w:rPr>
        <w:t>Auction 10</w:t>
      </w:r>
      <w:r w:rsidR="00117E4E">
        <w:rPr>
          <w:i/>
          <w:sz w:val="22"/>
          <w:szCs w:val="22"/>
        </w:rPr>
        <w:t>7</w:t>
      </w:r>
      <w:r w:rsidRPr="00C766D2">
        <w:rPr>
          <w:i/>
          <w:sz w:val="22"/>
          <w:szCs w:val="22"/>
        </w:rPr>
        <w:t xml:space="preserve"> Procedures Public Notice</w:t>
      </w:r>
      <w:r w:rsidRPr="00C766D2">
        <w:rPr>
          <w:sz w:val="22"/>
          <w:szCs w:val="22"/>
        </w:rPr>
        <w:t xml:space="preserve"> provides instructions for each Auction</w:t>
      </w:r>
      <w:r>
        <w:rPr>
          <w:sz w:val="22"/>
          <w:szCs w:val="22"/>
        </w:rPr>
        <w:t xml:space="preserve"> </w:t>
      </w:r>
      <w:r w:rsidRPr="00C766D2">
        <w:rPr>
          <w:sz w:val="22"/>
          <w:szCs w:val="22"/>
        </w:rPr>
        <w:t>10</w:t>
      </w:r>
      <w:r w:rsidR="00117E4E">
        <w:rPr>
          <w:sz w:val="22"/>
          <w:szCs w:val="22"/>
        </w:rPr>
        <w:t>7</w:t>
      </w:r>
      <w:r w:rsidRPr="00C766D2">
        <w:rPr>
          <w:sz w:val="22"/>
          <w:szCs w:val="22"/>
        </w:rPr>
        <w:t xml:space="preserve"> applicant to maintain the accuracy of its respective short-form application electronically using the FCC Auction Application System and/or by direct communication with the Auctions Division.</w:t>
      </w:r>
      <w:r>
        <w:rPr>
          <w:rStyle w:val="FootnoteReference"/>
          <w:sz w:val="22"/>
          <w:szCs w:val="22"/>
        </w:rPr>
        <w:footnoteReference w:id="12"/>
      </w:r>
    </w:p>
    <w:p w:rsidR="00160604" w:rsidRPr="00160604" w:rsidP="004276F0" w14:paraId="7C7B59D2" w14:textId="3447CD8E">
      <w:pPr>
        <w:pStyle w:val="Heading1"/>
        <w:tabs>
          <w:tab w:val="left" w:pos="720"/>
        </w:tabs>
        <w:spacing w:before="120" w:after="120"/>
        <w:rPr>
          <w:rFonts w:eastAsia="Calibri" w:cs="Times New Roman"/>
        </w:rPr>
      </w:pPr>
      <w:r w:rsidRPr="00BA3DAB">
        <w:rPr>
          <w:rFonts w:cs="Times New Roman"/>
        </w:rPr>
        <w:t xml:space="preserve">IV. </w:t>
      </w:r>
      <w:r w:rsidRPr="00B53497" w:rsidR="00336FCC">
        <w:rPr>
          <w:rFonts w:cs="Times New Roman"/>
          <w:b w:val="0"/>
        </w:rPr>
        <w:tab/>
      </w:r>
      <w:r w:rsidRPr="000C6587">
        <w:rPr>
          <w:rFonts w:cs="Times New Roman"/>
        </w:rPr>
        <w:t>IMPLEMENTATION DATE</w:t>
      </w:r>
    </w:p>
    <w:p w:rsidR="00C046D5" w:rsidRPr="00117E4E" w:rsidP="00117E4E" w14:paraId="42EE7EEB" w14:textId="397C4134">
      <w:pPr>
        <w:spacing w:before="120" w:after="120"/>
        <w:ind w:firstLine="720"/>
        <w:mirrorIndents/>
      </w:pPr>
      <w:r w:rsidRPr="007554FF">
        <w:t xml:space="preserve">The procedures set forth in the </w:t>
      </w:r>
      <w:r w:rsidR="009E0171">
        <w:rPr>
          <w:i/>
        </w:rPr>
        <w:t>Auction 10</w:t>
      </w:r>
      <w:r w:rsidR="00117E4E">
        <w:rPr>
          <w:i/>
        </w:rPr>
        <w:t>7</w:t>
      </w:r>
      <w:r w:rsidR="009E0171">
        <w:rPr>
          <w:i/>
        </w:rPr>
        <w:t xml:space="preserve"> Procedures Public Notice</w:t>
      </w:r>
      <w:r w:rsidRPr="00EF5830">
        <w:rPr>
          <w:rFonts w:ascii="Times New Roman" w:eastAsia="Calibri" w:hAnsi="Times New Roman" w:cs="Times New Roman"/>
          <w:i/>
        </w:rPr>
        <w:t xml:space="preserve"> </w:t>
      </w:r>
      <w:r w:rsidRPr="008F51F1" w:rsidR="003D5B56">
        <w:rPr>
          <w:rFonts w:ascii="Times New Roman" w:eastAsia="Calibri" w:hAnsi="Times New Roman" w:cs="Times New Roman"/>
          <w:iCs/>
        </w:rPr>
        <w:t>bec</w:t>
      </w:r>
      <w:r w:rsidR="008F51F1">
        <w:rPr>
          <w:rFonts w:ascii="Times New Roman" w:eastAsia="Calibri" w:hAnsi="Times New Roman" w:cs="Times New Roman"/>
          <w:iCs/>
        </w:rPr>
        <w:t>a</w:t>
      </w:r>
      <w:r w:rsidRPr="008F51F1" w:rsidR="003D5B56">
        <w:rPr>
          <w:rFonts w:ascii="Times New Roman" w:eastAsia="Calibri" w:hAnsi="Times New Roman" w:cs="Times New Roman"/>
          <w:iCs/>
        </w:rPr>
        <w:t>me</w:t>
      </w:r>
      <w:r w:rsidR="003D5B56">
        <w:rPr>
          <w:rFonts w:ascii="Times New Roman" w:eastAsia="Calibri" w:hAnsi="Times New Roman" w:cs="Times New Roman"/>
          <w:i/>
        </w:rPr>
        <w:t xml:space="preserve"> </w:t>
      </w:r>
      <w:r w:rsidRPr="007554FF">
        <w:t>effect</w:t>
      </w:r>
      <w:r w:rsidR="004F05F0">
        <w:t>ive</w:t>
      </w:r>
      <w:r w:rsidR="004C4363">
        <w:t xml:space="preserve"> upon publication of </w:t>
      </w:r>
      <w:r w:rsidR="009B21AC">
        <w:t xml:space="preserve">a </w:t>
      </w:r>
      <w:r w:rsidRPr="0084392B" w:rsidR="009B21AC">
        <w:t xml:space="preserve">summary </w:t>
      </w:r>
      <w:r w:rsidR="008F51F1">
        <w:t xml:space="preserve">of the text </w:t>
      </w:r>
      <w:r w:rsidR="003D5B56">
        <w:t>in the Federal Register</w:t>
      </w:r>
      <w:r w:rsidR="008F51F1">
        <w:t xml:space="preserve"> at 85 FR 53209 on August 28, 2020</w:t>
      </w:r>
      <w:r w:rsidR="000649C6">
        <w:t>.</w:t>
      </w:r>
      <w:bookmarkStart w:id="4" w:name="_Hlk510693064"/>
    </w:p>
    <w:p w:rsidR="00FE08B6" w:rsidRPr="00117E4E" w:rsidP="00117E4E" w14:paraId="68E6B313" w14:textId="1495BF67">
      <w:pPr>
        <w:spacing w:before="120" w:after="120"/>
        <w:ind w:firstLine="720"/>
        <w:mirrorIndents/>
        <w:rPr>
          <w:rFonts w:ascii="Times New Roman" w:eastAsia="Calibri" w:hAnsi="Times New Roman" w:cs="Times New Roman"/>
        </w:rPr>
      </w:pPr>
      <w:r>
        <w:rPr>
          <w:rFonts w:ascii="Times New Roman" w:eastAsia="Calibri" w:hAnsi="Times New Roman" w:cs="Times New Roman"/>
        </w:rPr>
        <w:t>I</w:t>
      </w:r>
      <w:r w:rsidRPr="00C046D5" w:rsidR="00C046D5">
        <w:rPr>
          <w:rFonts w:ascii="Times New Roman" w:eastAsia="Calibri" w:hAnsi="Times New Roman" w:cs="Times New Roman"/>
        </w:rPr>
        <w:t xml:space="preserve">mplementation dates </w:t>
      </w:r>
      <w:r w:rsidR="00CD07FC">
        <w:rPr>
          <w:rFonts w:ascii="Times New Roman" w:eastAsia="Calibri" w:hAnsi="Times New Roman" w:cs="Times New Roman"/>
        </w:rPr>
        <w:t xml:space="preserve">and deadlines </w:t>
      </w:r>
      <w:r w:rsidRPr="00C046D5" w:rsidR="00C046D5">
        <w:rPr>
          <w:rFonts w:ascii="Times New Roman" w:eastAsia="Calibri" w:hAnsi="Times New Roman" w:cs="Times New Roman"/>
        </w:rPr>
        <w:t>associated with the execution of Auction 10</w:t>
      </w:r>
      <w:r w:rsidR="00117E4E">
        <w:rPr>
          <w:rFonts w:ascii="Times New Roman" w:eastAsia="Calibri" w:hAnsi="Times New Roman" w:cs="Times New Roman"/>
        </w:rPr>
        <w:t>7</w:t>
      </w:r>
      <w:r w:rsidRPr="00C046D5" w:rsidR="00C046D5">
        <w:rPr>
          <w:rFonts w:ascii="Times New Roman" w:eastAsia="Calibri" w:hAnsi="Times New Roman" w:cs="Times New Roman"/>
        </w:rPr>
        <w:t xml:space="preserve"> can be found in the </w:t>
      </w:r>
      <w:r w:rsidR="00EA605E">
        <w:rPr>
          <w:rFonts w:ascii="Times New Roman" w:eastAsia="Calibri" w:hAnsi="Times New Roman" w:cs="Times New Roman"/>
          <w:i/>
          <w:iCs/>
        </w:rPr>
        <w:t>Auction 10</w:t>
      </w:r>
      <w:r w:rsidR="00117E4E">
        <w:rPr>
          <w:rFonts w:ascii="Times New Roman" w:eastAsia="Calibri" w:hAnsi="Times New Roman" w:cs="Times New Roman"/>
          <w:i/>
          <w:iCs/>
        </w:rPr>
        <w:t>7</w:t>
      </w:r>
      <w:r w:rsidR="00EA605E">
        <w:rPr>
          <w:rFonts w:ascii="Times New Roman" w:eastAsia="Calibri" w:hAnsi="Times New Roman" w:cs="Times New Roman"/>
          <w:i/>
          <w:iCs/>
        </w:rPr>
        <w:t xml:space="preserve"> Procedures Public</w:t>
      </w:r>
      <w:r w:rsidR="00117E4E">
        <w:rPr>
          <w:rFonts w:ascii="Times New Roman" w:eastAsia="Calibri" w:hAnsi="Times New Roman" w:cs="Times New Roman"/>
          <w:i/>
          <w:iCs/>
        </w:rPr>
        <w:t xml:space="preserve"> Notice.</w:t>
      </w:r>
      <w:r>
        <w:rPr>
          <w:rStyle w:val="FootnoteReference"/>
          <w:rFonts w:ascii="Times New Roman" w:eastAsia="Calibri" w:hAnsi="Times New Roman" w:cs="Times New Roman"/>
        </w:rPr>
        <w:footnoteReference w:id="13"/>
      </w:r>
      <w:r w:rsidR="00EA605E">
        <w:rPr>
          <w:rFonts w:ascii="Times New Roman" w:eastAsia="Calibri" w:hAnsi="Times New Roman" w:cs="Times New Roman"/>
          <w:i/>
          <w:iCs/>
        </w:rPr>
        <w:t xml:space="preserve"> </w:t>
      </w:r>
      <w:r w:rsidR="00117E4E">
        <w:rPr>
          <w:rFonts w:ascii="Times New Roman" w:eastAsia="Calibri" w:hAnsi="Times New Roman" w:cs="Times New Roman"/>
        </w:rPr>
        <w:t xml:space="preserve"> F</w:t>
      </w:r>
      <w:r w:rsidR="004C4363">
        <w:rPr>
          <w:rFonts w:ascii="Times New Roman" w:eastAsia="Calibri" w:hAnsi="Times New Roman" w:cs="Times New Roman"/>
        </w:rPr>
        <w:t xml:space="preserve">urther information will be provided in the closing public notice for this auction.  </w:t>
      </w:r>
      <w:r w:rsidR="00494266">
        <w:rPr>
          <w:rFonts w:ascii="Times New Roman" w:eastAsia="Calibri" w:hAnsi="Times New Roman" w:cs="Times New Roman"/>
        </w:rPr>
        <w:t xml:space="preserve"> </w:t>
      </w:r>
      <w:r w:rsidRPr="00EA605E" w:rsidR="00441BC9">
        <w:rPr>
          <w:rFonts w:ascii="Times New Roman" w:hAnsi="Times New Roman" w:cs="Times New Roman"/>
        </w:rPr>
        <w:t xml:space="preserve"> </w:t>
      </w:r>
    </w:p>
    <w:bookmarkEnd w:id="4"/>
    <w:p w:rsidR="00160604" w:rsidRPr="00160604" w:rsidP="004276F0" w14:paraId="1AAA0C2B" w14:textId="701713E2">
      <w:pPr>
        <w:pStyle w:val="Heading1"/>
        <w:spacing w:before="120" w:after="120"/>
        <w:rPr>
          <w:rFonts w:eastAsia="Calibri" w:cs="Times New Roman"/>
        </w:rPr>
      </w:pPr>
      <w:r w:rsidRPr="00BA3DAB">
        <w:rPr>
          <w:rFonts w:eastAsia="Calibri" w:cs="Times New Roman"/>
        </w:rPr>
        <w:t>V.</w:t>
      </w:r>
      <w:r w:rsidRPr="00BA3DAB">
        <w:rPr>
          <w:rFonts w:eastAsia="Calibri" w:cs="Times New Roman"/>
        </w:rPr>
        <w:tab/>
        <w:t>INTERNET LINKS</w:t>
      </w:r>
    </w:p>
    <w:p w:rsidR="00D24FE1" w:rsidP="003A6B7E" w14:paraId="595F9A45" w14:textId="76039966">
      <w:pPr>
        <w:spacing w:before="120" w:after="0"/>
        <w:ind w:firstLine="720"/>
        <w:mirrorIndents/>
        <w:rPr>
          <w:rFonts w:ascii="Times New Roman" w:hAnsi="Times New Roman" w:cs="Times New Roman"/>
        </w:rPr>
      </w:pPr>
      <w:r w:rsidRPr="008D44E3">
        <w:rPr>
          <w:rFonts w:ascii="Times New Roman" w:hAnsi="Times New Roman" w:cs="Times New Roman"/>
        </w:rPr>
        <w:t xml:space="preserve">A copy of the Federal Register Summary of the </w:t>
      </w:r>
      <w:r>
        <w:rPr>
          <w:rFonts w:ascii="Times New Roman" w:eastAsia="Calibri" w:hAnsi="Times New Roman" w:cs="Times New Roman"/>
          <w:i/>
        </w:rPr>
        <w:t>Auction 107 Procedures Public Notice</w:t>
      </w:r>
      <w:r>
        <w:rPr>
          <w:rFonts w:ascii="Times New Roman" w:eastAsia="Calibri" w:hAnsi="Times New Roman" w:cs="Times New Roman"/>
        </w:rPr>
        <w:t xml:space="preserve"> </w:t>
      </w:r>
      <w:r w:rsidRPr="008D44E3">
        <w:rPr>
          <w:rFonts w:ascii="Times New Roman" w:hAnsi="Times New Roman" w:cs="Times New Roman"/>
        </w:rPr>
        <w:t>is available at:</w:t>
      </w:r>
    </w:p>
    <w:p w:rsidR="00501646" w:rsidP="003A6B7E" w14:paraId="0320E275" w14:textId="7477EE6A">
      <w:pPr>
        <w:spacing w:before="120" w:after="0"/>
        <w:ind w:firstLine="720"/>
        <w:mirrorIndents/>
        <w:rPr>
          <w:rFonts w:ascii="Times New Roman" w:eastAsia="Calibri" w:hAnsi="Times New Roman" w:cs="Times New Roman"/>
        </w:rPr>
      </w:pPr>
      <w:hyperlink r:id="rId10" w:history="1">
        <w:r w:rsidRPr="00C3544D">
          <w:rPr>
            <w:rStyle w:val="Hyperlink"/>
            <w:rFonts w:ascii="Times New Roman" w:eastAsia="Calibri" w:hAnsi="Times New Roman" w:cs="Times New Roman"/>
          </w:rPr>
          <w:t>https://www.federalregister.gov/documents/2020/08/28/2020-18804/auction-of-flexible-use-service-licenses-in-the-37-398-ghz-band-for-next-generation-wireless</w:t>
        </w:r>
      </w:hyperlink>
      <w:r w:rsidR="00260F45">
        <w:rPr>
          <w:rFonts w:ascii="Times New Roman" w:eastAsia="Calibri" w:hAnsi="Times New Roman" w:cs="Times New Roman"/>
        </w:rPr>
        <w:t>.</w:t>
      </w:r>
      <w:r>
        <w:rPr>
          <w:rFonts w:ascii="Times New Roman" w:eastAsia="Calibri" w:hAnsi="Times New Roman" w:cs="Times New Roman"/>
        </w:rPr>
        <w:t xml:space="preserve"> </w:t>
      </w:r>
    </w:p>
    <w:p w:rsidR="003A6B7E" w:rsidP="003A6B7E" w14:paraId="3A7DF2E0" w14:textId="194DD135">
      <w:pPr>
        <w:spacing w:before="120" w:after="0"/>
        <w:ind w:firstLine="720"/>
        <w:mirrorIndents/>
        <w:rPr>
          <w:rFonts w:ascii="Times New Roman" w:eastAsia="Calibri" w:hAnsi="Times New Roman" w:cs="Times New Roman"/>
        </w:rPr>
      </w:pPr>
      <w:r>
        <w:rPr>
          <w:rFonts w:ascii="Times New Roman" w:eastAsia="Calibri" w:hAnsi="Times New Roman" w:cs="Times New Roman"/>
        </w:rPr>
        <w:t xml:space="preserve">A copy of the </w:t>
      </w:r>
      <w:r w:rsidR="009E0171">
        <w:rPr>
          <w:rFonts w:ascii="Times New Roman" w:eastAsia="Calibri" w:hAnsi="Times New Roman" w:cs="Times New Roman"/>
          <w:i/>
        </w:rPr>
        <w:t>Auction 1</w:t>
      </w:r>
      <w:r w:rsidR="00F853F3">
        <w:rPr>
          <w:rFonts w:ascii="Times New Roman" w:eastAsia="Calibri" w:hAnsi="Times New Roman" w:cs="Times New Roman"/>
          <w:i/>
        </w:rPr>
        <w:t>0</w:t>
      </w:r>
      <w:r>
        <w:rPr>
          <w:rFonts w:ascii="Times New Roman" w:eastAsia="Calibri" w:hAnsi="Times New Roman" w:cs="Times New Roman"/>
          <w:i/>
        </w:rPr>
        <w:t xml:space="preserve">7 </w:t>
      </w:r>
      <w:r w:rsidR="009E0171">
        <w:rPr>
          <w:rFonts w:ascii="Times New Roman" w:eastAsia="Calibri" w:hAnsi="Times New Roman" w:cs="Times New Roman"/>
          <w:i/>
        </w:rPr>
        <w:t>Procedures Public Notice</w:t>
      </w:r>
      <w:r w:rsidR="009E0171">
        <w:rPr>
          <w:rFonts w:ascii="Times New Roman" w:eastAsia="Calibri" w:hAnsi="Times New Roman" w:cs="Times New Roman"/>
        </w:rPr>
        <w:t xml:space="preserve"> </w:t>
      </w:r>
      <w:r>
        <w:rPr>
          <w:rFonts w:ascii="Times New Roman" w:eastAsia="Calibri" w:hAnsi="Times New Roman" w:cs="Times New Roman"/>
        </w:rPr>
        <w:t>is available at:</w:t>
      </w:r>
    </w:p>
    <w:p w:rsidR="003A6B7E" w:rsidP="003A6B7E" w14:paraId="5A260D88" w14:textId="20EEA8A6">
      <w:pPr>
        <w:spacing w:after="120"/>
        <w:mirrorIndents/>
      </w:pPr>
      <w:hyperlink r:id="rId11" w:history="1">
        <w:r>
          <w:rPr>
            <w:rStyle w:val="Hyperlink"/>
          </w:rPr>
          <w:t>www.fcc.gov/document/fcc-establishes-bidding-procedures-december-c-band-auction-0</w:t>
        </w:r>
      </w:hyperlink>
      <w:r>
        <w:t>.</w:t>
      </w:r>
    </w:p>
    <w:p w:rsidR="003A6B7E" w:rsidP="003A6B7E" w14:paraId="05E2F571" w14:textId="77777777">
      <w:pPr>
        <w:spacing w:after="0"/>
        <w:ind w:firstLine="720"/>
        <w:mirrorIndents/>
        <w:rPr>
          <w:rFonts w:ascii="Times New Roman" w:eastAsia="Calibri" w:hAnsi="Times New Roman" w:cs="Times New Roman"/>
          <w:b/>
        </w:rPr>
      </w:pPr>
      <w:r w:rsidRPr="00EF5830">
        <w:rPr>
          <w:rFonts w:ascii="Times New Roman" w:eastAsia="Calibri" w:hAnsi="Times New Roman" w:cs="Times New Roman"/>
        </w:rPr>
        <w:t>A copy of the</w:t>
      </w:r>
      <w:r>
        <w:rPr>
          <w:rFonts w:ascii="Times New Roman" w:eastAsia="Calibri" w:hAnsi="Times New Roman" w:cs="Times New Roman"/>
        </w:rPr>
        <w:t xml:space="preserve"> </w:t>
      </w:r>
      <w:r w:rsidR="004B305F">
        <w:rPr>
          <w:rFonts w:ascii="Times New Roman" w:eastAsia="Calibri" w:hAnsi="Times New Roman" w:cs="Times New Roman"/>
          <w:i/>
        </w:rPr>
        <w:t>3.</w:t>
      </w:r>
      <w:r>
        <w:rPr>
          <w:rFonts w:ascii="Times New Roman" w:eastAsia="Calibri" w:hAnsi="Times New Roman" w:cs="Times New Roman"/>
          <w:i/>
        </w:rPr>
        <w:t>7</w:t>
      </w:r>
      <w:r w:rsidR="004B305F">
        <w:rPr>
          <w:rFonts w:ascii="Times New Roman" w:eastAsia="Calibri" w:hAnsi="Times New Roman" w:cs="Times New Roman"/>
          <w:i/>
        </w:rPr>
        <w:t xml:space="preserve"> GHz Report and Order</w:t>
      </w:r>
      <w:r>
        <w:rPr>
          <w:rFonts w:ascii="Times New Roman" w:eastAsia="Calibri" w:hAnsi="Times New Roman" w:cs="Times New Roman"/>
        </w:rPr>
        <w:t xml:space="preserve"> </w:t>
      </w:r>
      <w:r w:rsidRPr="00EF5830">
        <w:rPr>
          <w:rFonts w:ascii="Times New Roman" w:eastAsia="Calibri" w:hAnsi="Times New Roman" w:cs="Times New Roman"/>
        </w:rPr>
        <w:t>is available at:</w:t>
      </w:r>
      <w:r w:rsidRPr="00F45D50">
        <w:rPr>
          <w:rFonts w:ascii="Times New Roman" w:eastAsia="Calibri" w:hAnsi="Times New Roman" w:cs="Times New Roman"/>
          <w:b/>
        </w:rPr>
        <w:t xml:space="preserve">  </w:t>
      </w:r>
    </w:p>
    <w:p w:rsidR="003A6B7E" w:rsidRPr="003A6B7E" w:rsidP="003A6B7E" w14:paraId="6CEC99F0" w14:textId="3266D463">
      <w:pPr>
        <w:spacing w:after="120"/>
        <w:mirrorIndents/>
        <w:rPr>
          <w:rFonts w:ascii="Times New Roman" w:eastAsia="Calibri" w:hAnsi="Times New Roman" w:cs="Times New Roman"/>
          <w:b/>
        </w:rPr>
      </w:pPr>
      <w:hyperlink r:id="rId12" w:history="1">
        <w:r w:rsidRPr="0041157D">
          <w:rPr>
            <w:rStyle w:val="Hyperlink"/>
          </w:rPr>
          <w:t>www.fcc.gov/document/fcc-expands-flexible-use-c-band-5g-0</w:t>
        </w:r>
      </w:hyperlink>
      <w:r>
        <w:t>.</w:t>
      </w:r>
    </w:p>
    <w:p w:rsidR="007E1769" w:rsidRPr="00557D6A" w:rsidP="003A6B7E" w14:paraId="2BCD9EA3" w14:textId="7BA10FEB">
      <w:pPr>
        <w:spacing w:before="120" w:after="120"/>
        <w:ind w:firstLine="720"/>
        <w:mirrorIndents/>
        <w:rPr>
          <w:rFonts w:ascii="Times New Roman" w:eastAsia="Calibri" w:hAnsi="Times New Roman" w:cs="Times New Roman"/>
        </w:rPr>
      </w:pPr>
    </w:p>
    <w:sectPr w:rsidSect="002A78BF">
      <w:headerReference w:type="default" r:id="rId13"/>
      <w:footerReference w:type="default" r:id="rId1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P="002A78BF" w14:paraId="038BB570" w14:textId="21DF8A55">
    <w:pPr>
      <w:pStyle w:val="Footer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35BE" w:rsidP="00160604" w14:paraId="0822E494" w14:textId="77777777">
      <w:pPr>
        <w:spacing w:after="0" w:line="240" w:lineRule="auto"/>
      </w:pPr>
      <w:r>
        <w:separator/>
      </w:r>
    </w:p>
  </w:footnote>
  <w:footnote w:type="continuationSeparator" w:id="1">
    <w:p w:rsidR="00C635BE" w:rsidP="00160604" w14:paraId="66091B62" w14:textId="77777777">
      <w:pPr>
        <w:spacing w:after="0" w:line="240" w:lineRule="auto"/>
      </w:pPr>
      <w:r>
        <w:continuationSeparator/>
      </w:r>
    </w:p>
  </w:footnote>
  <w:footnote w:id="2">
    <w:p w:rsidR="001F795E" w:rsidRPr="00705E46" w:rsidP="00261516" w14:paraId="70BFC612" w14:textId="69CB99CC">
      <w:pPr>
        <w:pStyle w:val="FootnoteTextCharChar1"/>
        <w:spacing w:after="120"/>
        <w:rPr>
          <w:rFonts w:ascii="Times New Roman" w:hAnsi="Times New Roman" w:cs="Times New Roman"/>
        </w:rPr>
      </w:pPr>
      <w:r w:rsidRPr="007E44EB">
        <w:rPr>
          <w:rStyle w:val="FootnoteReference"/>
          <w:rFonts w:ascii="Times New Roman" w:hAnsi="Times New Roman" w:cs="Times New Roman"/>
        </w:rPr>
        <w:footnoteRef/>
      </w:r>
      <w:r>
        <w:rPr>
          <w:rFonts w:ascii="Times New Roman" w:hAnsi="Times New Roman" w:cs="Times New Roman"/>
        </w:rPr>
        <w:t xml:space="preserve"> </w:t>
      </w:r>
      <w:r w:rsidRPr="003D549B" w:rsidR="00AE2943">
        <w:rPr>
          <w:i/>
        </w:rPr>
        <w:t>Auction o</w:t>
      </w:r>
      <w:r w:rsidR="00DA416B">
        <w:rPr>
          <w:i/>
        </w:rPr>
        <w:t xml:space="preserve">f Flexible-Use Service Licenses in the 3.7–3.98 GHz </w:t>
      </w:r>
      <w:r w:rsidR="00AE2943">
        <w:rPr>
          <w:i/>
        </w:rPr>
        <w:t>Band</w:t>
      </w:r>
      <w:r w:rsidR="00DA416B">
        <w:rPr>
          <w:i/>
        </w:rPr>
        <w:t xml:space="preserve"> for Next-Generation Wireless Services</w:t>
      </w:r>
      <w:r w:rsidR="00AE2943">
        <w:rPr>
          <w:i/>
        </w:rPr>
        <w:t xml:space="preserve">; </w:t>
      </w:r>
      <w:r w:rsidRPr="003D549B" w:rsidR="00AE2943">
        <w:rPr>
          <w:i/>
        </w:rPr>
        <w:t xml:space="preserve">Notice and Filing Requirements, Minimum Opening Bids, Upfront Payments, and Other Procedures for </w:t>
      </w:r>
      <w:r w:rsidR="00AE2943">
        <w:rPr>
          <w:i/>
        </w:rPr>
        <w:t>Auction 10</w:t>
      </w:r>
      <w:r w:rsidR="00DA416B">
        <w:rPr>
          <w:i/>
        </w:rPr>
        <w:t>7</w:t>
      </w:r>
      <w:r w:rsidR="00AE2943">
        <w:rPr>
          <w:i/>
        </w:rPr>
        <w:t>; Bidding in Auction 10</w:t>
      </w:r>
      <w:r w:rsidR="00DA416B">
        <w:rPr>
          <w:i/>
        </w:rPr>
        <w:t>7</w:t>
      </w:r>
      <w:r w:rsidR="00AE2943">
        <w:rPr>
          <w:i/>
        </w:rPr>
        <w:t xml:space="preserve"> Scheduled to Begi</w:t>
      </w:r>
      <w:r w:rsidR="00DA416B">
        <w:rPr>
          <w:i/>
        </w:rPr>
        <w:t>n December 8</w:t>
      </w:r>
      <w:r w:rsidR="00AE2943">
        <w:rPr>
          <w:i/>
        </w:rPr>
        <w:t>, 2020</w:t>
      </w:r>
      <w:r w:rsidR="00AE2943">
        <w:t xml:space="preserve">, AU Docket No. </w:t>
      </w:r>
      <w:r w:rsidR="00DA416B">
        <w:t>20-25</w:t>
      </w:r>
      <w:r w:rsidR="00AE2943">
        <w:t>,</w:t>
      </w:r>
      <w:r w:rsidRPr="003D549B" w:rsidR="00AE2943">
        <w:t xml:space="preserve"> </w:t>
      </w:r>
      <w:r w:rsidR="00A404B0">
        <w:t xml:space="preserve">Public Notice, 35 </w:t>
      </w:r>
      <w:r w:rsidR="00AE2943">
        <w:t>FCC</w:t>
      </w:r>
      <w:r w:rsidRPr="00701BB5" w:rsidR="00AE2943">
        <w:t xml:space="preserve"> </w:t>
      </w:r>
      <w:r w:rsidR="00A404B0">
        <w:t>Rcd 8404</w:t>
      </w:r>
      <w:r w:rsidR="00AE2943">
        <w:rPr>
          <w:lang w:val="de-DE"/>
        </w:rPr>
        <w:t xml:space="preserve"> </w:t>
      </w:r>
      <w:r w:rsidRPr="00705E46" w:rsidR="00AE2943">
        <w:rPr>
          <w:rFonts w:ascii="Times New Roman" w:hAnsi="Times New Roman" w:cs="Times New Roman"/>
        </w:rPr>
        <w:t>(</w:t>
      </w:r>
      <w:r w:rsidR="00AE2943">
        <w:rPr>
          <w:rFonts w:ascii="Times New Roman" w:hAnsi="Times New Roman" w:cs="Times New Roman"/>
        </w:rPr>
        <w:t>2020</w:t>
      </w:r>
      <w:r w:rsidRPr="00705E46" w:rsidR="00AE2943">
        <w:rPr>
          <w:rFonts w:ascii="Times New Roman" w:hAnsi="Times New Roman" w:cs="Times New Roman"/>
        </w:rPr>
        <w:t>)</w:t>
      </w:r>
      <w:r w:rsidRPr="00705E46" w:rsidR="00AE2943">
        <w:rPr>
          <w:rFonts w:ascii="Times New Roman" w:hAnsi="Times New Roman" w:cs="Times New Roman"/>
          <w:lang w:val="de-DE"/>
        </w:rPr>
        <w:t xml:space="preserve"> (</w:t>
      </w:r>
      <w:r w:rsidRPr="00705E46" w:rsidR="00AE2943">
        <w:rPr>
          <w:rFonts w:ascii="Times New Roman" w:hAnsi="Times New Roman" w:cs="Times New Roman"/>
          <w:i/>
          <w:lang w:val="de-DE"/>
        </w:rPr>
        <w:t>Auction</w:t>
      </w:r>
      <w:r w:rsidR="00AE2943">
        <w:rPr>
          <w:rFonts w:ascii="Times New Roman" w:hAnsi="Times New Roman" w:cs="Times New Roman"/>
          <w:i/>
          <w:lang w:val="de-DE"/>
        </w:rPr>
        <w:t xml:space="preserve"> 10</w:t>
      </w:r>
      <w:r w:rsidR="00DA416B">
        <w:rPr>
          <w:rFonts w:ascii="Times New Roman" w:hAnsi="Times New Roman" w:cs="Times New Roman"/>
          <w:i/>
          <w:lang w:val="de-DE"/>
        </w:rPr>
        <w:t>7</w:t>
      </w:r>
      <w:r w:rsidR="00AE2943">
        <w:rPr>
          <w:rFonts w:ascii="Times New Roman" w:hAnsi="Times New Roman" w:cs="Times New Roman"/>
          <w:i/>
          <w:lang w:val="de-DE"/>
        </w:rPr>
        <w:t xml:space="preserve"> </w:t>
      </w:r>
      <w:r w:rsidRPr="00705E46" w:rsidR="00AE2943">
        <w:rPr>
          <w:rFonts w:ascii="Times New Roman" w:hAnsi="Times New Roman" w:cs="Times New Roman"/>
          <w:i/>
          <w:lang w:val="de-DE"/>
        </w:rPr>
        <w:t>Procedures Public Notice</w:t>
      </w:r>
      <w:r w:rsidRPr="00705E46" w:rsidR="00AE2943">
        <w:rPr>
          <w:rFonts w:ascii="Times New Roman" w:hAnsi="Times New Roman" w:cs="Times New Roman"/>
          <w:lang w:val="de-DE"/>
        </w:rPr>
        <w:t>).</w:t>
      </w:r>
    </w:p>
  </w:footnote>
  <w:footnote w:id="3">
    <w:p w:rsidR="00FF2019" w:rsidP="00FF2019" w14:paraId="3019E7DB" w14:textId="58E5C247">
      <w:pPr>
        <w:pStyle w:val="FootnoteText"/>
        <w:spacing w:after="120"/>
      </w:pPr>
      <w:r>
        <w:rPr>
          <w:rStyle w:val="FootnoteReference"/>
        </w:rPr>
        <w:footnoteRef/>
      </w:r>
      <w:r>
        <w:t xml:space="preserve"> This SECG references subsequent public notices establishing relevant dates for Auction 10</w:t>
      </w:r>
      <w:r w:rsidR="00DA416B">
        <w:t>7</w:t>
      </w:r>
      <w:r>
        <w:t>, where applicable.</w:t>
      </w:r>
    </w:p>
  </w:footnote>
  <w:footnote w:id="4">
    <w:p w:rsidR="00AE2943" w:rsidRPr="00D71A55" w:rsidP="00AE2943" w14:paraId="23809015" w14:textId="78FFFF60">
      <w:pPr>
        <w:pStyle w:val="FootnoteText"/>
        <w:spacing w:after="120"/>
      </w:pPr>
      <w:r>
        <w:rPr>
          <w:rStyle w:val="FootnoteReference"/>
        </w:rPr>
        <w:footnoteRef/>
      </w:r>
      <w:r>
        <w:t xml:space="preserve"> </w:t>
      </w:r>
      <w:r>
        <w:rPr>
          <w:i/>
        </w:rPr>
        <w:t>See Auction 10</w:t>
      </w:r>
      <w:r w:rsidR="009053AA">
        <w:rPr>
          <w:i/>
        </w:rPr>
        <w:t>7</w:t>
      </w:r>
      <w:r>
        <w:rPr>
          <w:i/>
        </w:rPr>
        <w:t xml:space="preserve"> Procedures Public Notice</w:t>
      </w:r>
      <w:r w:rsidR="00BC05AA">
        <w:rPr>
          <w:iCs/>
        </w:rPr>
        <w:t>, 35 FCC Rcd</w:t>
      </w:r>
      <w:r>
        <w:rPr>
          <w:i/>
        </w:rPr>
        <w:t xml:space="preserve"> </w:t>
      </w:r>
      <w:r w:rsidRPr="00FF2019">
        <w:t xml:space="preserve">at </w:t>
      </w:r>
      <w:r w:rsidR="00BC05AA">
        <w:t>8443-48</w:t>
      </w:r>
      <w:r w:rsidRPr="00FF2019">
        <w:t xml:space="preserve">, </w:t>
      </w:r>
      <w:r w:rsidRPr="00FF2019">
        <w:rPr>
          <w:rFonts w:cstheme="minorHAnsi"/>
        </w:rPr>
        <w:t xml:space="preserve">paras. </w:t>
      </w:r>
      <w:r w:rsidRPr="00FF2019">
        <w:t>1</w:t>
      </w:r>
      <w:r w:rsidR="00013546">
        <w:t>23-38</w:t>
      </w:r>
      <w:r>
        <w:t>.</w:t>
      </w:r>
    </w:p>
  </w:footnote>
  <w:footnote w:id="5">
    <w:p w:rsidR="00AE2943" w:rsidRPr="00D81BF1" w:rsidP="00AE2943" w14:paraId="1624347F" w14:textId="11E3766C">
      <w:pPr>
        <w:pStyle w:val="FootnoteText"/>
        <w:spacing w:after="120"/>
      </w:pPr>
      <w:r>
        <w:rPr>
          <w:rStyle w:val="FootnoteReference"/>
        </w:rPr>
        <w:footnoteRef/>
      </w:r>
      <w:r>
        <w:t xml:space="preserve"> </w:t>
      </w:r>
      <w:r w:rsidR="00CD1968">
        <w:rPr>
          <w:i/>
        </w:rPr>
        <w:t xml:space="preserve">See </w:t>
      </w:r>
      <w:r w:rsidR="004B1A13">
        <w:rPr>
          <w:i/>
        </w:rPr>
        <w:t>id.</w:t>
      </w:r>
      <w:r w:rsidR="004B1A13">
        <w:t xml:space="preserve"> </w:t>
      </w:r>
      <w:r>
        <w:t xml:space="preserve">at </w:t>
      </w:r>
      <w:r w:rsidR="00013546">
        <w:t>8</w:t>
      </w:r>
      <w:r w:rsidR="004B1A13">
        <w:t>411</w:t>
      </w:r>
      <w:r w:rsidR="00013546">
        <w:t xml:space="preserve">, </w:t>
      </w:r>
      <w:r w:rsidR="004B1A13">
        <w:t>8437</w:t>
      </w:r>
      <w:r>
        <w:t>, para</w:t>
      </w:r>
      <w:r w:rsidR="00013546">
        <w:t>s. 21, 97-98</w:t>
      </w:r>
      <w:r>
        <w:t>.</w:t>
      </w:r>
    </w:p>
  </w:footnote>
  <w:footnote w:id="6">
    <w:p w:rsidR="00B839B3" w:rsidRPr="008D09DF" w:rsidP="00B839B3" w14:paraId="1AB1362B" w14:textId="15BC5129">
      <w:pPr>
        <w:pStyle w:val="FootnoteText"/>
        <w:spacing w:after="120"/>
      </w:pPr>
      <w:r>
        <w:rPr>
          <w:rStyle w:val="FootnoteReference"/>
        </w:rPr>
        <w:footnoteRef/>
      </w:r>
      <w:r>
        <w:t xml:space="preserve"> </w:t>
      </w:r>
      <w:r w:rsidRPr="00141D95">
        <w:rPr>
          <w:i/>
        </w:rPr>
        <w:t xml:space="preserve">Expanding Flexible Use of the 3.7 to 4.2 GHz Band, </w:t>
      </w:r>
      <w:r>
        <w:rPr>
          <w:iCs/>
        </w:rPr>
        <w:t xml:space="preserve">GN Docket No. 18-122, </w:t>
      </w:r>
      <w:r w:rsidRPr="00331C1F">
        <w:rPr>
          <w:iCs/>
        </w:rPr>
        <w:t>Report and Order and Order of Proposed Modification,</w:t>
      </w:r>
      <w:r w:rsidRPr="00141D95">
        <w:rPr>
          <w:i/>
        </w:rPr>
        <w:t xml:space="preserve"> </w:t>
      </w:r>
      <w:r>
        <w:rPr>
          <w:iCs/>
        </w:rPr>
        <w:t>35 FCC Rcd 2343,</w:t>
      </w:r>
      <w:r w:rsidR="00C02EA2">
        <w:rPr>
          <w:iCs/>
        </w:rPr>
        <w:t xml:space="preserve"> 2372-73, paras. 59-61 </w:t>
      </w:r>
      <w:r w:rsidRPr="00F96E21">
        <w:rPr>
          <w:iCs/>
        </w:rPr>
        <w:t>(2020)</w:t>
      </w:r>
      <w:r w:rsidRPr="0064077E">
        <w:rPr>
          <w:i/>
        </w:rPr>
        <w:t xml:space="preserve"> </w:t>
      </w:r>
      <w:r w:rsidRPr="00345990">
        <w:t>(</w:t>
      </w:r>
      <w:r>
        <w:rPr>
          <w:i/>
        </w:rPr>
        <w:t xml:space="preserve">3.7 GHz Report and </w:t>
      </w:r>
      <w:r w:rsidRPr="0064077E">
        <w:rPr>
          <w:i/>
        </w:rPr>
        <w:t>Order</w:t>
      </w:r>
      <w:r w:rsidRPr="00345990">
        <w:t>)</w:t>
      </w:r>
      <w:r>
        <w:t>.</w:t>
      </w:r>
    </w:p>
  </w:footnote>
  <w:footnote w:id="7">
    <w:p w:rsidR="001F795E" w:rsidP="002A78BF" w14:paraId="57BEEC50" w14:textId="6BD2DC98">
      <w:pPr>
        <w:pStyle w:val="FootnoteText"/>
        <w:spacing w:after="120"/>
      </w:pPr>
      <w:r>
        <w:rPr>
          <w:rStyle w:val="FootnoteReference"/>
        </w:rPr>
        <w:footnoteRef/>
      </w:r>
      <w:r>
        <w:t xml:space="preserve"> </w:t>
      </w:r>
      <w:r>
        <w:rPr>
          <w:i/>
        </w:rPr>
        <w:t>Auction 10</w:t>
      </w:r>
      <w:r w:rsidR="00C02EA2">
        <w:rPr>
          <w:i/>
        </w:rPr>
        <w:t>7</w:t>
      </w:r>
      <w:r>
        <w:rPr>
          <w:i/>
        </w:rPr>
        <w:t xml:space="preserve"> Procedures Public Notice</w:t>
      </w:r>
      <w:r w:rsidR="004B1A13">
        <w:t xml:space="preserve">, 35 FCC Rcd </w:t>
      </w:r>
      <w:r w:rsidR="00535666">
        <w:t xml:space="preserve">at </w:t>
      </w:r>
      <w:r w:rsidR="004B1A13">
        <w:t>8428-29</w:t>
      </w:r>
      <w:r w:rsidR="00535666">
        <w:t>,</w:t>
      </w:r>
      <w:r>
        <w:t xml:space="preserve"> para</w:t>
      </w:r>
      <w:r w:rsidR="00B35F2B">
        <w:t>s</w:t>
      </w:r>
      <w:r>
        <w:t>. 7</w:t>
      </w:r>
      <w:r w:rsidR="00DF4BC2">
        <w:t>6</w:t>
      </w:r>
      <w:r w:rsidR="00535666">
        <w:t>-7</w:t>
      </w:r>
      <w:r w:rsidR="00DF4BC2">
        <w:t>7</w:t>
      </w:r>
      <w:r>
        <w:t>.</w:t>
      </w:r>
    </w:p>
  </w:footnote>
  <w:footnote w:id="8">
    <w:p w:rsidR="00F454B6" w:rsidP="00F454B6" w14:paraId="6DFF9966" w14:textId="1365B419">
      <w:pPr>
        <w:pStyle w:val="FootnoteText"/>
        <w:spacing w:after="120"/>
      </w:pPr>
      <w:r>
        <w:rPr>
          <w:rStyle w:val="FootnoteReference"/>
        </w:rPr>
        <w:footnoteRef/>
      </w:r>
      <w:r>
        <w:t xml:space="preserve"> </w:t>
      </w:r>
      <w:r w:rsidRPr="00F454B6">
        <w:rPr>
          <w:i/>
          <w:iCs/>
        </w:rPr>
        <w:t>See i</w:t>
      </w:r>
      <w:r>
        <w:rPr>
          <w:i/>
          <w:iCs/>
        </w:rPr>
        <w:t>d</w:t>
      </w:r>
      <w:r>
        <w:t>.</w:t>
      </w:r>
      <w:r w:rsidRPr="00CF0E02">
        <w:t xml:space="preserve"> at </w:t>
      </w:r>
      <w:r w:rsidR="004B1A13">
        <w:t>8451-68</w:t>
      </w:r>
      <w:r w:rsidRPr="00CF0E02">
        <w:t>, para</w:t>
      </w:r>
      <w:r>
        <w:t>s</w:t>
      </w:r>
      <w:r w:rsidRPr="00CF0E02">
        <w:t xml:space="preserve">. </w:t>
      </w:r>
      <w:r>
        <w:t>152-226</w:t>
      </w:r>
      <w:r w:rsidRPr="00CF0E02">
        <w:t>.</w:t>
      </w:r>
    </w:p>
  </w:footnote>
  <w:footnote w:id="9">
    <w:p w:rsidR="00E64295" w14:paraId="315AEC72" w14:textId="0032E1B1">
      <w:pPr>
        <w:pStyle w:val="FootnoteText"/>
      </w:pPr>
      <w:r>
        <w:rPr>
          <w:rStyle w:val="FootnoteReference"/>
        </w:rPr>
        <w:footnoteRef/>
      </w:r>
      <w:r>
        <w:t xml:space="preserve"> </w:t>
      </w:r>
      <w:r w:rsidR="004B1A13">
        <w:rPr>
          <w:i/>
        </w:rPr>
        <w:t>Id.</w:t>
      </w:r>
      <w:r w:rsidR="00D32A01">
        <w:rPr>
          <w:i/>
        </w:rPr>
        <w:t xml:space="preserve"> </w:t>
      </w:r>
      <w:r w:rsidR="00D32A01">
        <w:rPr>
          <w:iCs/>
        </w:rPr>
        <w:t xml:space="preserve">at </w:t>
      </w:r>
      <w:r w:rsidR="004B1A13">
        <w:rPr>
          <w:iCs/>
        </w:rPr>
        <w:t>8462</w:t>
      </w:r>
      <w:r w:rsidR="00D32A01">
        <w:rPr>
          <w:iCs/>
        </w:rPr>
        <w:t>, para. 203</w:t>
      </w:r>
      <w:r w:rsidR="00D32A01">
        <w:t xml:space="preserve">; </w:t>
      </w:r>
      <w:r w:rsidRPr="00BC05AA" w:rsidR="00D32A01">
        <w:rPr>
          <w:i/>
          <w:iCs/>
        </w:rPr>
        <w:t>s</w:t>
      </w:r>
      <w:r w:rsidRPr="00BC05AA" w:rsidR="0098219A">
        <w:rPr>
          <w:i/>
          <w:iCs/>
        </w:rPr>
        <w:t>ee generally</w:t>
      </w:r>
      <w:r w:rsidR="0098219A">
        <w:t xml:space="preserve"> </w:t>
      </w:r>
      <w:r w:rsidRPr="0098219A" w:rsidR="0098219A">
        <w:rPr>
          <w:i/>
          <w:iCs/>
        </w:rPr>
        <w:t>3.7 GHz Report and Order</w:t>
      </w:r>
      <w:r w:rsidRPr="0098219A" w:rsidR="0098219A">
        <w:t>,</w:t>
      </w:r>
      <w:r w:rsidR="0098219A">
        <w:rPr>
          <w:i/>
          <w:iCs/>
        </w:rPr>
        <w:t xml:space="preserve"> </w:t>
      </w:r>
      <w:r w:rsidR="0098219A">
        <w:t xml:space="preserve">35 FCC Rcd at 2391-467, paras. 110-331 </w:t>
      </w:r>
      <w:r w:rsidRPr="0098219A" w:rsidR="0098219A">
        <w:t xml:space="preserve"> </w:t>
      </w:r>
      <w:r w:rsidR="00D32A01">
        <w:t xml:space="preserve">(outlining </w:t>
      </w:r>
      <w:r w:rsidRPr="0098219A" w:rsidR="0098219A">
        <w:t>the</w:t>
      </w:r>
      <w:r w:rsidR="0098219A">
        <w:t xml:space="preserve"> </w:t>
      </w:r>
      <w:r w:rsidRPr="0098219A" w:rsidR="0098219A">
        <w:t>process for</w:t>
      </w:r>
      <w:r w:rsidR="0098219A">
        <w:t xml:space="preserve"> </w:t>
      </w:r>
      <w:r w:rsidRPr="0098219A" w:rsidR="0098219A">
        <w:t>transitioning incumbent operations out of the 3.7–3.98 GHz band</w:t>
      </w:r>
      <w:r w:rsidR="00D32A01">
        <w:t>)</w:t>
      </w:r>
      <w:r w:rsidR="0098219A">
        <w:t>.</w:t>
      </w:r>
    </w:p>
  </w:footnote>
  <w:footnote w:id="10">
    <w:p w:rsidR="001F795E" w:rsidP="005B509A" w14:paraId="472ABE13" w14:textId="6D46C888">
      <w:pPr>
        <w:pStyle w:val="FootnoteText"/>
        <w:spacing w:after="120"/>
      </w:pPr>
      <w:r>
        <w:rPr>
          <w:rStyle w:val="FootnoteReference"/>
        </w:rPr>
        <w:footnoteRef/>
      </w:r>
      <w:r>
        <w:t xml:space="preserve"> </w:t>
      </w:r>
      <w:r w:rsidR="004776C1">
        <w:rPr>
          <w:i/>
        </w:rPr>
        <w:t>Auction 107 Procedures Public Notice</w:t>
      </w:r>
      <w:r w:rsidR="004B1A13">
        <w:t xml:space="preserve">, 35 FCC Rcd </w:t>
      </w:r>
      <w:r w:rsidR="004776C1">
        <w:t xml:space="preserve">at </w:t>
      </w:r>
      <w:r w:rsidR="004B1A13">
        <w:t>8453</w:t>
      </w:r>
      <w:r>
        <w:t>,</w:t>
      </w:r>
      <w:r w:rsidR="00BC6DA8">
        <w:t xml:space="preserve"> </w:t>
      </w:r>
      <w:r>
        <w:t xml:space="preserve">para. </w:t>
      </w:r>
      <w:r w:rsidR="00BC6DA8">
        <w:t>1</w:t>
      </w:r>
      <w:r w:rsidR="004776C1">
        <w:t>6</w:t>
      </w:r>
      <w:r w:rsidR="00BC6DA8">
        <w:t>4</w:t>
      </w:r>
      <w:r>
        <w:t>.</w:t>
      </w:r>
    </w:p>
  </w:footnote>
  <w:footnote w:id="11">
    <w:p w:rsidR="001F795E" w:rsidRPr="00D764A7" w:rsidP="00CC16B7" w14:paraId="06A72C1B" w14:textId="46DACBA5">
      <w:pPr>
        <w:pStyle w:val="FootnoteText"/>
        <w:widowControl w:val="0"/>
        <w:spacing w:after="120"/>
      </w:pPr>
      <w:r w:rsidRPr="00D764A7">
        <w:rPr>
          <w:rStyle w:val="FootnoteReference"/>
        </w:rPr>
        <w:footnoteRef/>
      </w:r>
      <w:r w:rsidRPr="00D764A7">
        <w:t xml:space="preserve"> </w:t>
      </w:r>
      <w:r w:rsidRPr="00A82458">
        <w:t>47 CFR</w:t>
      </w:r>
      <w:r>
        <w:t xml:space="preserve"> </w:t>
      </w:r>
      <w:r w:rsidRPr="00D764A7">
        <w:t>§ 1.2112(b)</w:t>
      </w:r>
      <w:r w:rsidR="00117E4E">
        <w:t>(2)</w:t>
      </w:r>
      <w:r w:rsidRPr="00D764A7">
        <w:t>.</w:t>
      </w:r>
    </w:p>
  </w:footnote>
  <w:footnote w:id="12">
    <w:p w:rsidR="001F795E" w:rsidP="00117E4E" w14:paraId="5AC6C5C7" w14:textId="4AE255A1">
      <w:pPr>
        <w:pStyle w:val="FootnoteText"/>
        <w:spacing w:after="120"/>
      </w:pPr>
      <w:r>
        <w:rPr>
          <w:rStyle w:val="FootnoteReference"/>
        </w:rPr>
        <w:footnoteRef/>
      </w:r>
      <w:r>
        <w:t xml:space="preserve"> </w:t>
      </w:r>
      <w:r w:rsidRPr="00C766D2">
        <w:rPr>
          <w:i/>
        </w:rPr>
        <w:t>See Auction 10</w:t>
      </w:r>
      <w:r w:rsidR="00117E4E">
        <w:rPr>
          <w:i/>
        </w:rPr>
        <w:t>7</w:t>
      </w:r>
      <w:r w:rsidRPr="00C766D2">
        <w:rPr>
          <w:i/>
        </w:rPr>
        <w:t xml:space="preserve"> Procedures Public Notice</w:t>
      </w:r>
      <w:r w:rsidR="004B1A13">
        <w:t xml:space="preserve">, 35 FCC Rcd </w:t>
      </w:r>
      <w:r w:rsidR="00BC6DA8">
        <w:t xml:space="preserve">at </w:t>
      </w:r>
      <w:r w:rsidR="004B1A13">
        <w:t>8437-38</w:t>
      </w:r>
      <w:r>
        <w:t>, paras. 9</w:t>
      </w:r>
      <w:r w:rsidR="00117E4E">
        <w:t>5</w:t>
      </w:r>
      <w:r>
        <w:t>-10</w:t>
      </w:r>
      <w:r w:rsidR="00117E4E">
        <w:t>2</w:t>
      </w:r>
      <w:r>
        <w:t>.</w:t>
      </w:r>
    </w:p>
  </w:footnote>
  <w:footnote w:id="13">
    <w:p w:rsidR="00117E4E" w14:paraId="4FDCA177" w14:textId="67FBEE35">
      <w:pPr>
        <w:pStyle w:val="FootnoteText"/>
      </w:pPr>
      <w:r>
        <w:rPr>
          <w:rStyle w:val="FootnoteReference"/>
        </w:rPr>
        <w:footnoteRef/>
      </w:r>
      <w:r>
        <w:t xml:space="preserve"> </w:t>
      </w:r>
      <w:r w:rsidRPr="003A6B7E">
        <w:rPr>
          <w:i/>
          <w:iCs/>
        </w:rPr>
        <w:t>See id.</w:t>
      </w:r>
      <w:r>
        <w:t xml:space="preserve"> at </w:t>
      </w:r>
      <w:r w:rsidR="004B1A13">
        <w:t>8408-09</w:t>
      </w:r>
      <w:r w:rsidR="003A6B7E">
        <w:t>, paras. 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P="00BA3DAB" w14:paraId="33702333" w14:textId="77777777">
    <w:pPr>
      <w:pStyle w:val="Header1"/>
      <w:tabs>
        <w:tab w:val="left" w:pos="2700"/>
        <w:tab w:val="left" w:pos="3060"/>
      </w:tabs>
      <w:spacing w:before="360" w:line="228" w:lineRule="auto"/>
      <w:ind w:left="180" w:firstLine="189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62294343" r:id="rId2"/>
      </w:pict>
    </w:r>
    <w:r>
      <w:rPr>
        <w:rFonts w:ascii="CG Times (W1)" w:hAnsi="CG Times (W1)"/>
        <w:sz w:val="28"/>
      </w:rPr>
      <w:t>Federal Communications Commission</w:t>
    </w:r>
  </w:p>
  <w:p w:rsidR="001F795E" w:rsidP="00BA3DAB" w14:paraId="70032661" w14:textId="13EC081B">
    <w:pPr>
      <w:tabs>
        <w:tab w:val="left" w:pos="3240"/>
        <w:tab w:val="left" w:pos="3510"/>
      </w:tabs>
      <w:rPr>
        <w:rFonts w:ascii="CG Times (W1)" w:hAnsi="CG Times (W1)"/>
        <w:sz w:val="28"/>
      </w:rPr>
    </w:pPr>
    <w:r>
      <w:rPr>
        <w:rFonts w:ascii="CG Times (W1)" w:hAnsi="CG Times (W1)"/>
        <w:sz w:val="28"/>
      </w:rPr>
      <w:tab/>
    </w:r>
    <w:r>
      <w:rPr>
        <w:rFonts w:ascii="CG Times (W1)" w:hAnsi="CG Times (W1)"/>
        <w:sz w:val="28"/>
      </w:rPr>
      <w:tab/>
      <w:t>Washington, D.C. 20554</w:t>
    </w:r>
  </w:p>
  <w:p w:rsidR="001F795E" w:rsidRPr="003172B5" w:rsidP="00BA3DAB" w14:paraId="43E442B0" w14:textId="5710A42F">
    <w:pPr>
      <w:tabs>
        <w:tab w:val="left" w:pos="3960"/>
      </w:tabs>
      <w:ind w:left="2880" w:firstLine="720"/>
      <w:rPr>
        <w:sz w:val="24"/>
        <w:szCs w:val="24"/>
      </w:rPr>
    </w:pPr>
    <w:r>
      <w:rPr>
        <w:rFonts w:ascii="CG Times (W1)" w:hAnsi="CG Times (W1)"/>
        <w:sz w:val="24"/>
        <w:szCs w:val="24"/>
      </w:rPr>
      <w:tab/>
    </w:r>
    <w:r w:rsidR="00804060">
      <w:rPr>
        <w:rFonts w:ascii="CG Times (W1)" w:hAnsi="CG Times (W1)"/>
        <w:sz w:val="24"/>
        <w:szCs w:val="24"/>
      </w:rPr>
      <w:t xml:space="preserve">September </w:t>
    </w:r>
    <w:r w:rsidR="007A6E02">
      <w:rPr>
        <w:rFonts w:ascii="CG Times (W1)" w:hAnsi="CG Times (W1)"/>
        <w:sz w:val="24"/>
        <w:szCs w:val="24"/>
      </w:rPr>
      <w:t>22</w:t>
    </w:r>
    <w:r>
      <w:rPr>
        <w:rFonts w:ascii="CG Times (W1)" w:hAnsi="CG Times (W1)"/>
        <w:sz w:val="24"/>
        <w:szCs w:val="24"/>
      </w:rPr>
      <w:t>,</w:t>
    </w:r>
    <w:r w:rsidRPr="003172B5">
      <w:rPr>
        <w:rFonts w:ascii="CG Times (W1)" w:hAnsi="CG Times (W1)"/>
        <w:sz w:val="24"/>
        <w:szCs w:val="24"/>
      </w:rPr>
      <w:t xml:space="preserve"> </w:t>
    </w:r>
    <w:r w:rsidR="003F4514">
      <w:rPr>
        <w:rFonts w:ascii="CG Times (W1)" w:hAnsi="CG Times (W1)"/>
        <w:sz w:val="24"/>
        <w:szCs w:val="24"/>
      </w:rPr>
      <w:t>2020</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P="00737389" w14:paraId="3E612E46" w14:textId="77777777">
    <w:pPr>
      <w:pStyle w:val="Header1"/>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795E" w:rsidP="00217145" w14:paraId="725A9D48" w14:textId="6C82DC48">
    <w:pPr>
      <w:pStyle w:val="Header1"/>
      <w:tabs>
        <w:tab w:val="left" w:pos="1453"/>
        <w:tab w:val="clear" w:pos="4680"/>
        <w:tab w:val="clear" w:pos="9360"/>
      </w:tabs>
      <w:spacing w:before="360" w:line="22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D24D6"/>
    <w:multiLevelType w:val="hybridMultilevel"/>
    <w:tmpl w:val="A7920F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380F6A"/>
    <w:multiLevelType w:val="hybridMultilevel"/>
    <w:tmpl w:val="F8F0B2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0F40D5A"/>
    <w:multiLevelType w:val="hybridMultilevel"/>
    <w:tmpl w:val="467C50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5E043D"/>
    <w:multiLevelType w:val="hybridMultilevel"/>
    <w:tmpl w:val="ADE6F3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6614BF2"/>
    <w:multiLevelType w:val="hybridMultilevel"/>
    <w:tmpl w:val="93F8F6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A7E03B1"/>
    <w:multiLevelType w:val="hybridMultilevel"/>
    <w:tmpl w:val="7CF8C7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CD3744F"/>
    <w:multiLevelType w:val="hybridMultilevel"/>
    <w:tmpl w:val="855211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10F7B5A"/>
    <w:multiLevelType w:val="hybridMultilevel"/>
    <w:tmpl w:val="ED927E1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399D6D62"/>
    <w:multiLevelType w:val="hybridMultilevel"/>
    <w:tmpl w:val="32929508"/>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1">
    <w:nsid w:val="3C695AD4"/>
    <w:multiLevelType w:val="hybridMultilevel"/>
    <w:tmpl w:val="73BC6D4A"/>
    <w:lvl w:ilvl="0">
      <w:start w:val="1"/>
      <w:numFmt w:val="upperLetter"/>
      <w:pStyle w:val="Heading2"/>
      <w:lvlText w:val="%1."/>
      <w:lvlJc w:val="left"/>
      <w:pPr>
        <w:ind w:left="1080" w:hanging="360"/>
      </w:pPr>
      <w:rPr>
        <w:rFonts w:hint="default"/>
        <w:b/>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4566153"/>
    <w:multiLevelType w:val="hybridMultilevel"/>
    <w:tmpl w:val="E092F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46C24CB"/>
    <w:multiLevelType w:val="hybridMultilevel"/>
    <w:tmpl w:val="75CCB70A"/>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4">
    <w:nsid w:val="4B16466F"/>
    <w:multiLevelType w:val="hybridMultilevel"/>
    <w:tmpl w:val="546E4FE8"/>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88C32B3"/>
    <w:multiLevelType w:val="hybridMultilevel"/>
    <w:tmpl w:val="74925EF0"/>
    <w:lvl w:ilvl="0">
      <w:start w:val="1"/>
      <w:numFmt w:val="bullet"/>
      <w:lvlText w:val=""/>
      <w:lvlJc w:val="left"/>
      <w:pPr>
        <w:ind w:left="1440" w:hanging="10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B54F21"/>
    <w:multiLevelType w:val="hybridMultilevel"/>
    <w:tmpl w:val="4098635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1182925"/>
    <w:multiLevelType w:val="singleLevel"/>
    <w:tmpl w:val="D180CED0"/>
    <w:lvl w:ilvl="0">
      <w:start w:val="1"/>
      <w:numFmt w:val="bullet"/>
      <w:pStyle w:val="ParaNum"/>
      <w:lvlText w:val=""/>
      <w:lvlJc w:val="left"/>
      <w:pPr>
        <w:tabs>
          <w:tab w:val="num" w:pos="1080"/>
        </w:tabs>
        <w:ind w:left="0" w:firstLine="720"/>
      </w:pPr>
      <w:rPr>
        <w:rFonts w:ascii="Symbol" w:hAnsi="Symbol" w:hint="default"/>
      </w:rPr>
    </w:lvl>
  </w:abstractNum>
  <w:abstractNum w:abstractNumId="18">
    <w:nsid w:val="77570C44"/>
    <w:multiLevelType w:val="hybridMultilevel"/>
    <w:tmpl w:val="0D0E372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9">
    <w:nsid w:val="79A9264E"/>
    <w:multiLevelType w:val="hybridMultilevel"/>
    <w:tmpl w:val="750A62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7"/>
  </w:num>
  <w:num w:numId="3">
    <w:abstractNumId w:val="16"/>
  </w:num>
  <w:num w:numId="4">
    <w:abstractNumId w:val="18"/>
  </w:num>
  <w:num w:numId="5">
    <w:abstractNumId w:val="13"/>
  </w:num>
  <w:num w:numId="6">
    <w:abstractNumId w:val="12"/>
  </w:num>
  <w:num w:numId="7">
    <w:abstractNumId w:val="14"/>
  </w:num>
  <w:num w:numId="8">
    <w:abstractNumId w:val="9"/>
  </w:num>
  <w:num w:numId="9">
    <w:abstractNumId w:val="4"/>
  </w:num>
  <w:num w:numId="10">
    <w:abstractNumId w:val="3"/>
  </w:num>
  <w:num w:numId="11">
    <w:abstractNumId w:val="15"/>
  </w:num>
  <w:num w:numId="12">
    <w:abstractNumId w:val="8"/>
  </w:num>
  <w:num w:numId="13">
    <w:abstractNumId w:val="7"/>
  </w:num>
  <w:num w:numId="14">
    <w:abstractNumId w:val="10"/>
  </w:num>
  <w:num w:numId="15">
    <w:abstractNumId w:val="6"/>
  </w:num>
  <w:num w:numId="16">
    <w:abstractNumId w:val="1"/>
  </w:num>
  <w:num w:numId="17">
    <w:abstractNumId w:val="5"/>
  </w:num>
  <w:num w:numId="18">
    <w:abstractNumId w:val="2"/>
  </w:num>
  <w:num w:numId="19">
    <w:abstractNumId w:val="0"/>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04"/>
    <w:rsid w:val="00000CA1"/>
    <w:rsid w:val="00003429"/>
    <w:rsid w:val="00010054"/>
    <w:rsid w:val="00010224"/>
    <w:rsid w:val="00013546"/>
    <w:rsid w:val="000146AD"/>
    <w:rsid w:val="00014FEE"/>
    <w:rsid w:val="0001604B"/>
    <w:rsid w:val="00021F7E"/>
    <w:rsid w:val="0002241E"/>
    <w:rsid w:val="0002288A"/>
    <w:rsid w:val="00027897"/>
    <w:rsid w:val="00027CB9"/>
    <w:rsid w:val="00030D4C"/>
    <w:rsid w:val="000334C4"/>
    <w:rsid w:val="00033FF2"/>
    <w:rsid w:val="00035334"/>
    <w:rsid w:val="0003548B"/>
    <w:rsid w:val="000400E9"/>
    <w:rsid w:val="00040849"/>
    <w:rsid w:val="000470B2"/>
    <w:rsid w:val="0005638A"/>
    <w:rsid w:val="00056C1F"/>
    <w:rsid w:val="0006068E"/>
    <w:rsid w:val="000649C6"/>
    <w:rsid w:val="00065141"/>
    <w:rsid w:val="0006515A"/>
    <w:rsid w:val="00070AF5"/>
    <w:rsid w:val="00072683"/>
    <w:rsid w:val="00077DB6"/>
    <w:rsid w:val="00080128"/>
    <w:rsid w:val="00085F61"/>
    <w:rsid w:val="000864A0"/>
    <w:rsid w:val="0008663D"/>
    <w:rsid w:val="0009034B"/>
    <w:rsid w:val="000A2799"/>
    <w:rsid w:val="000A2D2A"/>
    <w:rsid w:val="000A3AD4"/>
    <w:rsid w:val="000A4A59"/>
    <w:rsid w:val="000A56C3"/>
    <w:rsid w:val="000B08CF"/>
    <w:rsid w:val="000B1769"/>
    <w:rsid w:val="000C5066"/>
    <w:rsid w:val="000C6587"/>
    <w:rsid w:val="000D7B1E"/>
    <w:rsid w:val="000F4876"/>
    <w:rsid w:val="000F7805"/>
    <w:rsid w:val="00101D55"/>
    <w:rsid w:val="00110915"/>
    <w:rsid w:val="00111FDA"/>
    <w:rsid w:val="001150EC"/>
    <w:rsid w:val="00117E4E"/>
    <w:rsid w:val="0012222F"/>
    <w:rsid w:val="00124CC7"/>
    <w:rsid w:val="00126D60"/>
    <w:rsid w:val="00134381"/>
    <w:rsid w:val="001403D3"/>
    <w:rsid w:val="00141D95"/>
    <w:rsid w:val="00154D9C"/>
    <w:rsid w:val="00154F49"/>
    <w:rsid w:val="001550A5"/>
    <w:rsid w:val="0015553E"/>
    <w:rsid w:val="00157652"/>
    <w:rsid w:val="00160604"/>
    <w:rsid w:val="00162B34"/>
    <w:rsid w:val="00174E87"/>
    <w:rsid w:val="0017583D"/>
    <w:rsid w:val="001773EF"/>
    <w:rsid w:val="0019030F"/>
    <w:rsid w:val="00194C36"/>
    <w:rsid w:val="001962FF"/>
    <w:rsid w:val="001978D5"/>
    <w:rsid w:val="001A07B6"/>
    <w:rsid w:val="001A34F3"/>
    <w:rsid w:val="001A5661"/>
    <w:rsid w:val="001A5713"/>
    <w:rsid w:val="001A5EEF"/>
    <w:rsid w:val="001A6F60"/>
    <w:rsid w:val="001B2D3E"/>
    <w:rsid w:val="001B4262"/>
    <w:rsid w:val="001B44A1"/>
    <w:rsid w:val="001B45D8"/>
    <w:rsid w:val="001B60A1"/>
    <w:rsid w:val="001C2D79"/>
    <w:rsid w:val="001C6CA3"/>
    <w:rsid w:val="001D5F31"/>
    <w:rsid w:val="001E0344"/>
    <w:rsid w:val="001E040A"/>
    <w:rsid w:val="001E5FC6"/>
    <w:rsid w:val="001E6D97"/>
    <w:rsid w:val="001E7B18"/>
    <w:rsid w:val="001F02FD"/>
    <w:rsid w:val="001F5EE8"/>
    <w:rsid w:val="001F5FCC"/>
    <w:rsid w:val="001F64F8"/>
    <w:rsid w:val="001F795E"/>
    <w:rsid w:val="00201CCE"/>
    <w:rsid w:val="00204837"/>
    <w:rsid w:val="00217145"/>
    <w:rsid w:val="0021770A"/>
    <w:rsid w:val="002204B6"/>
    <w:rsid w:val="00221BC8"/>
    <w:rsid w:val="00223D53"/>
    <w:rsid w:val="00225C13"/>
    <w:rsid w:val="002277AC"/>
    <w:rsid w:val="00236F27"/>
    <w:rsid w:val="00237B60"/>
    <w:rsid w:val="00241618"/>
    <w:rsid w:val="00242B9C"/>
    <w:rsid w:val="00242B9D"/>
    <w:rsid w:val="002517D5"/>
    <w:rsid w:val="002520C9"/>
    <w:rsid w:val="0025550F"/>
    <w:rsid w:val="002565A8"/>
    <w:rsid w:val="00256E5A"/>
    <w:rsid w:val="002574EA"/>
    <w:rsid w:val="00257BCF"/>
    <w:rsid w:val="00257D82"/>
    <w:rsid w:val="00260F45"/>
    <w:rsid w:val="00261516"/>
    <w:rsid w:val="002626A4"/>
    <w:rsid w:val="00281438"/>
    <w:rsid w:val="0028195A"/>
    <w:rsid w:val="00282AB7"/>
    <w:rsid w:val="0028449A"/>
    <w:rsid w:val="00285F24"/>
    <w:rsid w:val="00286B37"/>
    <w:rsid w:val="00287925"/>
    <w:rsid w:val="00293E22"/>
    <w:rsid w:val="002951D3"/>
    <w:rsid w:val="002A0B25"/>
    <w:rsid w:val="002A40DE"/>
    <w:rsid w:val="002A78BF"/>
    <w:rsid w:val="002B32E2"/>
    <w:rsid w:val="002B5EC2"/>
    <w:rsid w:val="002C0562"/>
    <w:rsid w:val="002C05D2"/>
    <w:rsid w:val="002C0642"/>
    <w:rsid w:val="002C07F3"/>
    <w:rsid w:val="002C0A4E"/>
    <w:rsid w:val="002C3212"/>
    <w:rsid w:val="002D041C"/>
    <w:rsid w:val="002D146E"/>
    <w:rsid w:val="002D526E"/>
    <w:rsid w:val="002D5DE2"/>
    <w:rsid w:val="002D6906"/>
    <w:rsid w:val="002D7081"/>
    <w:rsid w:val="002D74D7"/>
    <w:rsid w:val="002E01F2"/>
    <w:rsid w:val="002E29A0"/>
    <w:rsid w:val="002E3718"/>
    <w:rsid w:val="002F2F40"/>
    <w:rsid w:val="002F466C"/>
    <w:rsid w:val="002F52C3"/>
    <w:rsid w:val="002F6031"/>
    <w:rsid w:val="002F7580"/>
    <w:rsid w:val="002F7C7D"/>
    <w:rsid w:val="003029FE"/>
    <w:rsid w:val="00306FF7"/>
    <w:rsid w:val="00311A42"/>
    <w:rsid w:val="003172B5"/>
    <w:rsid w:val="00322377"/>
    <w:rsid w:val="0032336D"/>
    <w:rsid w:val="00325400"/>
    <w:rsid w:val="003254CD"/>
    <w:rsid w:val="00326BC4"/>
    <w:rsid w:val="00331281"/>
    <w:rsid w:val="003316AE"/>
    <w:rsid w:val="003316B1"/>
    <w:rsid w:val="00331C1F"/>
    <w:rsid w:val="00333020"/>
    <w:rsid w:val="00336E12"/>
    <w:rsid w:val="00336FCC"/>
    <w:rsid w:val="0033780C"/>
    <w:rsid w:val="0034002F"/>
    <w:rsid w:val="0034543A"/>
    <w:rsid w:val="00345990"/>
    <w:rsid w:val="00362561"/>
    <w:rsid w:val="003638BC"/>
    <w:rsid w:val="0036511F"/>
    <w:rsid w:val="00367CE2"/>
    <w:rsid w:val="003738B2"/>
    <w:rsid w:val="0038159A"/>
    <w:rsid w:val="0038509F"/>
    <w:rsid w:val="00385A61"/>
    <w:rsid w:val="003861D5"/>
    <w:rsid w:val="00386852"/>
    <w:rsid w:val="00393FED"/>
    <w:rsid w:val="003941D6"/>
    <w:rsid w:val="003964A7"/>
    <w:rsid w:val="003A1062"/>
    <w:rsid w:val="003A2690"/>
    <w:rsid w:val="003A3F47"/>
    <w:rsid w:val="003A6B7E"/>
    <w:rsid w:val="003A6B94"/>
    <w:rsid w:val="003A773E"/>
    <w:rsid w:val="003A796D"/>
    <w:rsid w:val="003B34A1"/>
    <w:rsid w:val="003B5151"/>
    <w:rsid w:val="003C14C4"/>
    <w:rsid w:val="003C243B"/>
    <w:rsid w:val="003C2552"/>
    <w:rsid w:val="003C35C7"/>
    <w:rsid w:val="003C555B"/>
    <w:rsid w:val="003C77A2"/>
    <w:rsid w:val="003D3E38"/>
    <w:rsid w:val="003D5331"/>
    <w:rsid w:val="003D549B"/>
    <w:rsid w:val="003D5B56"/>
    <w:rsid w:val="003D77FF"/>
    <w:rsid w:val="003D7F64"/>
    <w:rsid w:val="003E3BA1"/>
    <w:rsid w:val="003F14DC"/>
    <w:rsid w:val="003F4514"/>
    <w:rsid w:val="003F6A62"/>
    <w:rsid w:val="00403A2F"/>
    <w:rsid w:val="00403F2B"/>
    <w:rsid w:val="00411244"/>
    <w:rsid w:val="0041157D"/>
    <w:rsid w:val="004147B8"/>
    <w:rsid w:val="004148BB"/>
    <w:rsid w:val="004168CF"/>
    <w:rsid w:val="004217B5"/>
    <w:rsid w:val="00423C73"/>
    <w:rsid w:val="00423FE9"/>
    <w:rsid w:val="00424629"/>
    <w:rsid w:val="004276F0"/>
    <w:rsid w:val="00433237"/>
    <w:rsid w:val="004334C5"/>
    <w:rsid w:val="00435180"/>
    <w:rsid w:val="00436896"/>
    <w:rsid w:val="00437F36"/>
    <w:rsid w:val="00441BC9"/>
    <w:rsid w:val="00446802"/>
    <w:rsid w:val="00447E0C"/>
    <w:rsid w:val="00460B38"/>
    <w:rsid w:val="00467848"/>
    <w:rsid w:val="004714C8"/>
    <w:rsid w:val="0047762C"/>
    <w:rsid w:val="004776C1"/>
    <w:rsid w:val="00483503"/>
    <w:rsid w:val="00484ED1"/>
    <w:rsid w:val="00485870"/>
    <w:rsid w:val="00487C15"/>
    <w:rsid w:val="004916D2"/>
    <w:rsid w:val="00494266"/>
    <w:rsid w:val="0049681A"/>
    <w:rsid w:val="00497A13"/>
    <w:rsid w:val="004A027C"/>
    <w:rsid w:val="004A77E8"/>
    <w:rsid w:val="004B0046"/>
    <w:rsid w:val="004B0977"/>
    <w:rsid w:val="004B098F"/>
    <w:rsid w:val="004B1A13"/>
    <w:rsid w:val="004B305F"/>
    <w:rsid w:val="004B3636"/>
    <w:rsid w:val="004B5F5A"/>
    <w:rsid w:val="004B75F1"/>
    <w:rsid w:val="004B7DF1"/>
    <w:rsid w:val="004C3BFD"/>
    <w:rsid w:val="004C4363"/>
    <w:rsid w:val="004D10EF"/>
    <w:rsid w:val="004D2F7C"/>
    <w:rsid w:val="004D32C9"/>
    <w:rsid w:val="004D53D0"/>
    <w:rsid w:val="004D5423"/>
    <w:rsid w:val="004D6525"/>
    <w:rsid w:val="004E1578"/>
    <w:rsid w:val="004E5250"/>
    <w:rsid w:val="004E7CAD"/>
    <w:rsid w:val="004F05F0"/>
    <w:rsid w:val="004F08CE"/>
    <w:rsid w:val="004F4771"/>
    <w:rsid w:val="004F48FD"/>
    <w:rsid w:val="004F63A9"/>
    <w:rsid w:val="00501646"/>
    <w:rsid w:val="00510E3F"/>
    <w:rsid w:val="00511464"/>
    <w:rsid w:val="005133AA"/>
    <w:rsid w:val="00523133"/>
    <w:rsid w:val="00523648"/>
    <w:rsid w:val="005240F9"/>
    <w:rsid w:val="005244CA"/>
    <w:rsid w:val="00535666"/>
    <w:rsid w:val="00541A1F"/>
    <w:rsid w:val="00545BC6"/>
    <w:rsid w:val="00546994"/>
    <w:rsid w:val="00557D6A"/>
    <w:rsid w:val="00560D3F"/>
    <w:rsid w:val="00561BF5"/>
    <w:rsid w:val="00562940"/>
    <w:rsid w:val="00562DC1"/>
    <w:rsid w:val="00563B7F"/>
    <w:rsid w:val="0056720E"/>
    <w:rsid w:val="005712E5"/>
    <w:rsid w:val="005727C2"/>
    <w:rsid w:val="00577FD7"/>
    <w:rsid w:val="0058068B"/>
    <w:rsid w:val="00583241"/>
    <w:rsid w:val="00583E4E"/>
    <w:rsid w:val="00585AB3"/>
    <w:rsid w:val="00587101"/>
    <w:rsid w:val="0059171D"/>
    <w:rsid w:val="005A2D84"/>
    <w:rsid w:val="005A4C64"/>
    <w:rsid w:val="005B109B"/>
    <w:rsid w:val="005B3FDD"/>
    <w:rsid w:val="005B509A"/>
    <w:rsid w:val="005D4C95"/>
    <w:rsid w:val="005D7394"/>
    <w:rsid w:val="005E06B2"/>
    <w:rsid w:val="005E4559"/>
    <w:rsid w:val="005F11DA"/>
    <w:rsid w:val="005F150E"/>
    <w:rsid w:val="005F2F71"/>
    <w:rsid w:val="005F5EA7"/>
    <w:rsid w:val="00600F77"/>
    <w:rsid w:val="00607739"/>
    <w:rsid w:val="006100A2"/>
    <w:rsid w:val="006167EE"/>
    <w:rsid w:val="00617F23"/>
    <w:rsid w:val="006258A2"/>
    <w:rsid w:val="0062603B"/>
    <w:rsid w:val="00627F28"/>
    <w:rsid w:val="006306F5"/>
    <w:rsid w:val="00630C56"/>
    <w:rsid w:val="00633102"/>
    <w:rsid w:val="00636E8E"/>
    <w:rsid w:val="0064077E"/>
    <w:rsid w:val="00643462"/>
    <w:rsid w:val="00643BA2"/>
    <w:rsid w:val="0064530E"/>
    <w:rsid w:val="0064688F"/>
    <w:rsid w:val="00650F6F"/>
    <w:rsid w:val="006511EE"/>
    <w:rsid w:val="00652F60"/>
    <w:rsid w:val="00667F8F"/>
    <w:rsid w:val="006714A0"/>
    <w:rsid w:val="006744E9"/>
    <w:rsid w:val="00674D57"/>
    <w:rsid w:val="00685407"/>
    <w:rsid w:val="006916FE"/>
    <w:rsid w:val="00692484"/>
    <w:rsid w:val="0069319F"/>
    <w:rsid w:val="006955A3"/>
    <w:rsid w:val="00695ED5"/>
    <w:rsid w:val="006A72AA"/>
    <w:rsid w:val="006B1428"/>
    <w:rsid w:val="006B79D4"/>
    <w:rsid w:val="006C00FB"/>
    <w:rsid w:val="006C2476"/>
    <w:rsid w:val="006C2B4D"/>
    <w:rsid w:val="006C45F0"/>
    <w:rsid w:val="006D025C"/>
    <w:rsid w:val="006D07EF"/>
    <w:rsid w:val="006D0EC3"/>
    <w:rsid w:val="006D0FC9"/>
    <w:rsid w:val="006D2A28"/>
    <w:rsid w:val="006E01AD"/>
    <w:rsid w:val="006E4C51"/>
    <w:rsid w:val="006E6973"/>
    <w:rsid w:val="006E6EFE"/>
    <w:rsid w:val="006E6F8D"/>
    <w:rsid w:val="006E767F"/>
    <w:rsid w:val="006F174E"/>
    <w:rsid w:val="00701BB5"/>
    <w:rsid w:val="00705E46"/>
    <w:rsid w:val="007117BC"/>
    <w:rsid w:val="0071520F"/>
    <w:rsid w:val="007160A2"/>
    <w:rsid w:val="0071612E"/>
    <w:rsid w:val="00716593"/>
    <w:rsid w:val="007170F1"/>
    <w:rsid w:val="007171E7"/>
    <w:rsid w:val="00720D9E"/>
    <w:rsid w:val="007215BA"/>
    <w:rsid w:val="007238BA"/>
    <w:rsid w:val="0072731A"/>
    <w:rsid w:val="007343B7"/>
    <w:rsid w:val="00737389"/>
    <w:rsid w:val="007479F4"/>
    <w:rsid w:val="007554FF"/>
    <w:rsid w:val="00770965"/>
    <w:rsid w:val="00772222"/>
    <w:rsid w:val="00772F99"/>
    <w:rsid w:val="00773178"/>
    <w:rsid w:val="00777717"/>
    <w:rsid w:val="0078112A"/>
    <w:rsid w:val="00790265"/>
    <w:rsid w:val="007922C0"/>
    <w:rsid w:val="00793CA9"/>
    <w:rsid w:val="007A1639"/>
    <w:rsid w:val="007A6C65"/>
    <w:rsid w:val="007A6E02"/>
    <w:rsid w:val="007B28C1"/>
    <w:rsid w:val="007B7E24"/>
    <w:rsid w:val="007C3B66"/>
    <w:rsid w:val="007C3D8E"/>
    <w:rsid w:val="007C79BB"/>
    <w:rsid w:val="007D28F6"/>
    <w:rsid w:val="007D3982"/>
    <w:rsid w:val="007E1769"/>
    <w:rsid w:val="007E2D56"/>
    <w:rsid w:val="007E2EB3"/>
    <w:rsid w:val="007E524A"/>
    <w:rsid w:val="007E6F75"/>
    <w:rsid w:val="007F53DA"/>
    <w:rsid w:val="00801512"/>
    <w:rsid w:val="00803AC8"/>
    <w:rsid w:val="00804060"/>
    <w:rsid w:val="00807EC0"/>
    <w:rsid w:val="008116CD"/>
    <w:rsid w:val="008117C7"/>
    <w:rsid w:val="008147AF"/>
    <w:rsid w:val="008148AD"/>
    <w:rsid w:val="008157FB"/>
    <w:rsid w:val="008268F6"/>
    <w:rsid w:val="00827998"/>
    <w:rsid w:val="00832A48"/>
    <w:rsid w:val="00832AEF"/>
    <w:rsid w:val="008424F3"/>
    <w:rsid w:val="0084392B"/>
    <w:rsid w:val="0084517F"/>
    <w:rsid w:val="008469D2"/>
    <w:rsid w:val="00850C44"/>
    <w:rsid w:val="008510E3"/>
    <w:rsid w:val="008512F3"/>
    <w:rsid w:val="00856D74"/>
    <w:rsid w:val="00861508"/>
    <w:rsid w:val="00865396"/>
    <w:rsid w:val="00865A71"/>
    <w:rsid w:val="00866246"/>
    <w:rsid w:val="008666C3"/>
    <w:rsid w:val="00877328"/>
    <w:rsid w:val="008834AD"/>
    <w:rsid w:val="008843B5"/>
    <w:rsid w:val="0088540E"/>
    <w:rsid w:val="0088773B"/>
    <w:rsid w:val="00890EF7"/>
    <w:rsid w:val="00894777"/>
    <w:rsid w:val="008A012D"/>
    <w:rsid w:val="008A159E"/>
    <w:rsid w:val="008A1B36"/>
    <w:rsid w:val="008A6518"/>
    <w:rsid w:val="008A676C"/>
    <w:rsid w:val="008B2B13"/>
    <w:rsid w:val="008B5F44"/>
    <w:rsid w:val="008B7C0B"/>
    <w:rsid w:val="008C14EE"/>
    <w:rsid w:val="008C6D5E"/>
    <w:rsid w:val="008C75E5"/>
    <w:rsid w:val="008D09DF"/>
    <w:rsid w:val="008D0EE1"/>
    <w:rsid w:val="008D1AB6"/>
    <w:rsid w:val="008D1D0D"/>
    <w:rsid w:val="008D44E3"/>
    <w:rsid w:val="008E19FE"/>
    <w:rsid w:val="008E7808"/>
    <w:rsid w:val="008F51F1"/>
    <w:rsid w:val="008F5BDA"/>
    <w:rsid w:val="00904AC0"/>
    <w:rsid w:val="009053AA"/>
    <w:rsid w:val="009060D6"/>
    <w:rsid w:val="00916F07"/>
    <w:rsid w:val="00916FE9"/>
    <w:rsid w:val="009176AE"/>
    <w:rsid w:val="00922F10"/>
    <w:rsid w:val="00925EF2"/>
    <w:rsid w:val="009275D1"/>
    <w:rsid w:val="00932002"/>
    <w:rsid w:val="009321A5"/>
    <w:rsid w:val="009404B2"/>
    <w:rsid w:val="00942F70"/>
    <w:rsid w:val="00945A5E"/>
    <w:rsid w:val="0094699C"/>
    <w:rsid w:val="00953F96"/>
    <w:rsid w:val="009562C4"/>
    <w:rsid w:val="0097407E"/>
    <w:rsid w:val="0097686C"/>
    <w:rsid w:val="00977046"/>
    <w:rsid w:val="0098219A"/>
    <w:rsid w:val="00983C6D"/>
    <w:rsid w:val="009918AE"/>
    <w:rsid w:val="00991AEA"/>
    <w:rsid w:val="00995A0E"/>
    <w:rsid w:val="00996814"/>
    <w:rsid w:val="00996D2C"/>
    <w:rsid w:val="0099720F"/>
    <w:rsid w:val="009B21AC"/>
    <w:rsid w:val="009B2871"/>
    <w:rsid w:val="009B566E"/>
    <w:rsid w:val="009C2D4D"/>
    <w:rsid w:val="009D121A"/>
    <w:rsid w:val="009D1F94"/>
    <w:rsid w:val="009D25C3"/>
    <w:rsid w:val="009D6496"/>
    <w:rsid w:val="009D664E"/>
    <w:rsid w:val="009E0171"/>
    <w:rsid w:val="009E0BE0"/>
    <w:rsid w:val="009E22E5"/>
    <w:rsid w:val="009E3EA3"/>
    <w:rsid w:val="009E6DEF"/>
    <w:rsid w:val="009F07BC"/>
    <w:rsid w:val="009F28C7"/>
    <w:rsid w:val="009F3645"/>
    <w:rsid w:val="009F4239"/>
    <w:rsid w:val="009F53F3"/>
    <w:rsid w:val="009F6306"/>
    <w:rsid w:val="00A037D5"/>
    <w:rsid w:val="00A0438B"/>
    <w:rsid w:val="00A06854"/>
    <w:rsid w:val="00A13D2D"/>
    <w:rsid w:val="00A212E0"/>
    <w:rsid w:val="00A266E3"/>
    <w:rsid w:val="00A272FE"/>
    <w:rsid w:val="00A337AC"/>
    <w:rsid w:val="00A404B0"/>
    <w:rsid w:val="00A40E90"/>
    <w:rsid w:val="00A42196"/>
    <w:rsid w:val="00A4487F"/>
    <w:rsid w:val="00A44FCD"/>
    <w:rsid w:val="00A45024"/>
    <w:rsid w:val="00A46704"/>
    <w:rsid w:val="00A4797C"/>
    <w:rsid w:val="00A520C5"/>
    <w:rsid w:val="00A64AE2"/>
    <w:rsid w:val="00A65B88"/>
    <w:rsid w:val="00A82458"/>
    <w:rsid w:val="00A82E9C"/>
    <w:rsid w:val="00A832CE"/>
    <w:rsid w:val="00A83D88"/>
    <w:rsid w:val="00A84E41"/>
    <w:rsid w:val="00A85B43"/>
    <w:rsid w:val="00A87745"/>
    <w:rsid w:val="00A87CE7"/>
    <w:rsid w:val="00A90AA0"/>
    <w:rsid w:val="00A92CD4"/>
    <w:rsid w:val="00A94281"/>
    <w:rsid w:val="00A94F80"/>
    <w:rsid w:val="00A950D8"/>
    <w:rsid w:val="00AA01FF"/>
    <w:rsid w:val="00AB0A3A"/>
    <w:rsid w:val="00AB22D3"/>
    <w:rsid w:val="00AB2931"/>
    <w:rsid w:val="00AB2F50"/>
    <w:rsid w:val="00AB3FA5"/>
    <w:rsid w:val="00AB5F45"/>
    <w:rsid w:val="00AB63C7"/>
    <w:rsid w:val="00AB790B"/>
    <w:rsid w:val="00AC5425"/>
    <w:rsid w:val="00AD62A7"/>
    <w:rsid w:val="00AD63C3"/>
    <w:rsid w:val="00AE2943"/>
    <w:rsid w:val="00AE5877"/>
    <w:rsid w:val="00B043AB"/>
    <w:rsid w:val="00B04D5D"/>
    <w:rsid w:val="00B051F4"/>
    <w:rsid w:val="00B0712B"/>
    <w:rsid w:val="00B071C7"/>
    <w:rsid w:val="00B114F7"/>
    <w:rsid w:val="00B12D04"/>
    <w:rsid w:val="00B21FB7"/>
    <w:rsid w:val="00B23E60"/>
    <w:rsid w:val="00B24773"/>
    <w:rsid w:val="00B25586"/>
    <w:rsid w:val="00B27A17"/>
    <w:rsid w:val="00B357E8"/>
    <w:rsid w:val="00B35854"/>
    <w:rsid w:val="00B35F2B"/>
    <w:rsid w:val="00B409EA"/>
    <w:rsid w:val="00B4374E"/>
    <w:rsid w:val="00B4748B"/>
    <w:rsid w:val="00B504B7"/>
    <w:rsid w:val="00B53497"/>
    <w:rsid w:val="00B55317"/>
    <w:rsid w:val="00B55487"/>
    <w:rsid w:val="00B61746"/>
    <w:rsid w:val="00B624FB"/>
    <w:rsid w:val="00B6268F"/>
    <w:rsid w:val="00B629A2"/>
    <w:rsid w:val="00B631AB"/>
    <w:rsid w:val="00B672FF"/>
    <w:rsid w:val="00B72CF8"/>
    <w:rsid w:val="00B74094"/>
    <w:rsid w:val="00B80D68"/>
    <w:rsid w:val="00B8136D"/>
    <w:rsid w:val="00B839B3"/>
    <w:rsid w:val="00B926D8"/>
    <w:rsid w:val="00B93067"/>
    <w:rsid w:val="00B93860"/>
    <w:rsid w:val="00B93E18"/>
    <w:rsid w:val="00B96B53"/>
    <w:rsid w:val="00BA2542"/>
    <w:rsid w:val="00BA3DAB"/>
    <w:rsid w:val="00BA7AC4"/>
    <w:rsid w:val="00BB1C03"/>
    <w:rsid w:val="00BB25DF"/>
    <w:rsid w:val="00BB3946"/>
    <w:rsid w:val="00BC05AA"/>
    <w:rsid w:val="00BC395C"/>
    <w:rsid w:val="00BC6DA8"/>
    <w:rsid w:val="00BC7262"/>
    <w:rsid w:val="00BC7EE0"/>
    <w:rsid w:val="00BD109E"/>
    <w:rsid w:val="00BD3AF7"/>
    <w:rsid w:val="00BE211C"/>
    <w:rsid w:val="00BE7FF7"/>
    <w:rsid w:val="00C0065E"/>
    <w:rsid w:val="00C02EA2"/>
    <w:rsid w:val="00C042DB"/>
    <w:rsid w:val="00C046D5"/>
    <w:rsid w:val="00C066EB"/>
    <w:rsid w:val="00C10797"/>
    <w:rsid w:val="00C12D2A"/>
    <w:rsid w:val="00C133EF"/>
    <w:rsid w:val="00C149EB"/>
    <w:rsid w:val="00C151F1"/>
    <w:rsid w:val="00C16CA7"/>
    <w:rsid w:val="00C2211D"/>
    <w:rsid w:val="00C22AFA"/>
    <w:rsid w:val="00C27C44"/>
    <w:rsid w:val="00C308FD"/>
    <w:rsid w:val="00C31F1C"/>
    <w:rsid w:val="00C3544D"/>
    <w:rsid w:val="00C419A9"/>
    <w:rsid w:val="00C463B7"/>
    <w:rsid w:val="00C47E89"/>
    <w:rsid w:val="00C57E5A"/>
    <w:rsid w:val="00C601F9"/>
    <w:rsid w:val="00C635BE"/>
    <w:rsid w:val="00C6531A"/>
    <w:rsid w:val="00C65451"/>
    <w:rsid w:val="00C65C01"/>
    <w:rsid w:val="00C66531"/>
    <w:rsid w:val="00C66EEF"/>
    <w:rsid w:val="00C67868"/>
    <w:rsid w:val="00C72DC9"/>
    <w:rsid w:val="00C762C5"/>
    <w:rsid w:val="00C7669D"/>
    <w:rsid w:val="00C766D2"/>
    <w:rsid w:val="00C767A5"/>
    <w:rsid w:val="00C77EF2"/>
    <w:rsid w:val="00C801B2"/>
    <w:rsid w:val="00C82B6E"/>
    <w:rsid w:val="00C85356"/>
    <w:rsid w:val="00C9129F"/>
    <w:rsid w:val="00C93675"/>
    <w:rsid w:val="00CA1380"/>
    <w:rsid w:val="00CA76D7"/>
    <w:rsid w:val="00CA77FC"/>
    <w:rsid w:val="00CA7A15"/>
    <w:rsid w:val="00CB0890"/>
    <w:rsid w:val="00CB7E1F"/>
    <w:rsid w:val="00CC16B7"/>
    <w:rsid w:val="00CC746C"/>
    <w:rsid w:val="00CD07FC"/>
    <w:rsid w:val="00CD1915"/>
    <w:rsid w:val="00CD1968"/>
    <w:rsid w:val="00CD769C"/>
    <w:rsid w:val="00CE15EF"/>
    <w:rsid w:val="00CE637A"/>
    <w:rsid w:val="00CF0E02"/>
    <w:rsid w:val="00CF6ACA"/>
    <w:rsid w:val="00CF6FE4"/>
    <w:rsid w:val="00D03EB1"/>
    <w:rsid w:val="00D0535A"/>
    <w:rsid w:val="00D11CF0"/>
    <w:rsid w:val="00D128AD"/>
    <w:rsid w:val="00D12B27"/>
    <w:rsid w:val="00D12E91"/>
    <w:rsid w:val="00D152EB"/>
    <w:rsid w:val="00D15F2B"/>
    <w:rsid w:val="00D217E1"/>
    <w:rsid w:val="00D23F00"/>
    <w:rsid w:val="00D24400"/>
    <w:rsid w:val="00D24FE1"/>
    <w:rsid w:val="00D32838"/>
    <w:rsid w:val="00D32A01"/>
    <w:rsid w:val="00D34B94"/>
    <w:rsid w:val="00D61CCC"/>
    <w:rsid w:val="00D6269C"/>
    <w:rsid w:val="00D6307B"/>
    <w:rsid w:val="00D640D6"/>
    <w:rsid w:val="00D641D3"/>
    <w:rsid w:val="00D64D7D"/>
    <w:rsid w:val="00D66737"/>
    <w:rsid w:val="00D67636"/>
    <w:rsid w:val="00D70E2E"/>
    <w:rsid w:val="00D71A55"/>
    <w:rsid w:val="00D73824"/>
    <w:rsid w:val="00D74514"/>
    <w:rsid w:val="00D764A7"/>
    <w:rsid w:val="00D8077C"/>
    <w:rsid w:val="00D81BF1"/>
    <w:rsid w:val="00D95AF6"/>
    <w:rsid w:val="00D971E8"/>
    <w:rsid w:val="00DA08A6"/>
    <w:rsid w:val="00DA416B"/>
    <w:rsid w:val="00DA4D02"/>
    <w:rsid w:val="00DA7341"/>
    <w:rsid w:val="00DB0F1A"/>
    <w:rsid w:val="00DB69ED"/>
    <w:rsid w:val="00DC0FB9"/>
    <w:rsid w:val="00DC27CE"/>
    <w:rsid w:val="00DC35FA"/>
    <w:rsid w:val="00DC36DE"/>
    <w:rsid w:val="00DC3D30"/>
    <w:rsid w:val="00DC3E28"/>
    <w:rsid w:val="00DC6218"/>
    <w:rsid w:val="00DD31CE"/>
    <w:rsid w:val="00DD63DB"/>
    <w:rsid w:val="00DE242F"/>
    <w:rsid w:val="00DE2A0F"/>
    <w:rsid w:val="00DE4FD0"/>
    <w:rsid w:val="00DF040A"/>
    <w:rsid w:val="00DF0714"/>
    <w:rsid w:val="00DF34DC"/>
    <w:rsid w:val="00DF3E56"/>
    <w:rsid w:val="00DF4BC2"/>
    <w:rsid w:val="00DF4E9E"/>
    <w:rsid w:val="00DF57DA"/>
    <w:rsid w:val="00DF6CEA"/>
    <w:rsid w:val="00E00835"/>
    <w:rsid w:val="00E04D8C"/>
    <w:rsid w:val="00E07D58"/>
    <w:rsid w:val="00E1001B"/>
    <w:rsid w:val="00E12C26"/>
    <w:rsid w:val="00E12D34"/>
    <w:rsid w:val="00E12DDD"/>
    <w:rsid w:val="00E144BF"/>
    <w:rsid w:val="00E145C9"/>
    <w:rsid w:val="00E16586"/>
    <w:rsid w:val="00E21D69"/>
    <w:rsid w:val="00E2453B"/>
    <w:rsid w:val="00E25F39"/>
    <w:rsid w:val="00E272C1"/>
    <w:rsid w:val="00E30D96"/>
    <w:rsid w:val="00E3148A"/>
    <w:rsid w:val="00E34762"/>
    <w:rsid w:val="00E379BA"/>
    <w:rsid w:val="00E406C7"/>
    <w:rsid w:val="00E47912"/>
    <w:rsid w:val="00E47FB4"/>
    <w:rsid w:val="00E55B68"/>
    <w:rsid w:val="00E56FFB"/>
    <w:rsid w:val="00E60045"/>
    <w:rsid w:val="00E61438"/>
    <w:rsid w:val="00E631AB"/>
    <w:rsid w:val="00E63479"/>
    <w:rsid w:val="00E64295"/>
    <w:rsid w:val="00E66265"/>
    <w:rsid w:val="00E66A9B"/>
    <w:rsid w:val="00E73561"/>
    <w:rsid w:val="00E74C8D"/>
    <w:rsid w:val="00E750D1"/>
    <w:rsid w:val="00E766FB"/>
    <w:rsid w:val="00E82564"/>
    <w:rsid w:val="00E8346D"/>
    <w:rsid w:val="00E8452B"/>
    <w:rsid w:val="00E90717"/>
    <w:rsid w:val="00E91FB6"/>
    <w:rsid w:val="00E9454B"/>
    <w:rsid w:val="00E96E07"/>
    <w:rsid w:val="00E96F0F"/>
    <w:rsid w:val="00EA39F6"/>
    <w:rsid w:val="00EA4705"/>
    <w:rsid w:val="00EA4CA2"/>
    <w:rsid w:val="00EA5BF9"/>
    <w:rsid w:val="00EA605E"/>
    <w:rsid w:val="00EB22B2"/>
    <w:rsid w:val="00EB3198"/>
    <w:rsid w:val="00EB56BA"/>
    <w:rsid w:val="00EB5A08"/>
    <w:rsid w:val="00EC4F36"/>
    <w:rsid w:val="00ED1AC6"/>
    <w:rsid w:val="00ED3A2E"/>
    <w:rsid w:val="00EE188E"/>
    <w:rsid w:val="00EE4BD3"/>
    <w:rsid w:val="00EF2E7E"/>
    <w:rsid w:val="00EF411F"/>
    <w:rsid w:val="00EF5830"/>
    <w:rsid w:val="00EF64CA"/>
    <w:rsid w:val="00EF77DD"/>
    <w:rsid w:val="00F02908"/>
    <w:rsid w:val="00F040B3"/>
    <w:rsid w:val="00F04E38"/>
    <w:rsid w:val="00F130D6"/>
    <w:rsid w:val="00F148A3"/>
    <w:rsid w:val="00F14FED"/>
    <w:rsid w:val="00F15428"/>
    <w:rsid w:val="00F2276C"/>
    <w:rsid w:val="00F24A7E"/>
    <w:rsid w:val="00F25534"/>
    <w:rsid w:val="00F31F39"/>
    <w:rsid w:val="00F3211F"/>
    <w:rsid w:val="00F329A0"/>
    <w:rsid w:val="00F363B0"/>
    <w:rsid w:val="00F40A31"/>
    <w:rsid w:val="00F43E36"/>
    <w:rsid w:val="00F445C4"/>
    <w:rsid w:val="00F454B6"/>
    <w:rsid w:val="00F45D50"/>
    <w:rsid w:val="00F50628"/>
    <w:rsid w:val="00F50ACD"/>
    <w:rsid w:val="00F53C72"/>
    <w:rsid w:val="00F57A31"/>
    <w:rsid w:val="00F604D0"/>
    <w:rsid w:val="00F63C3D"/>
    <w:rsid w:val="00F664AB"/>
    <w:rsid w:val="00F7277F"/>
    <w:rsid w:val="00F74DF6"/>
    <w:rsid w:val="00F772E3"/>
    <w:rsid w:val="00F77751"/>
    <w:rsid w:val="00F81933"/>
    <w:rsid w:val="00F853F3"/>
    <w:rsid w:val="00F85F72"/>
    <w:rsid w:val="00F913B0"/>
    <w:rsid w:val="00F92976"/>
    <w:rsid w:val="00F92A10"/>
    <w:rsid w:val="00F9569E"/>
    <w:rsid w:val="00F9647D"/>
    <w:rsid w:val="00F965ED"/>
    <w:rsid w:val="00F96E21"/>
    <w:rsid w:val="00FA5A38"/>
    <w:rsid w:val="00FB29B1"/>
    <w:rsid w:val="00FB64BC"/>
    <w:rsid w:val="00FC056A"/>
    <w:rsid w:val="00FC28EC"/>
    <w:rsid w:val="00FC2B60"/>
    <w:rsid w:val="00FC3168"/>
    <w:rsid w:val="00FC43C8"/>
    <w:rsid w:val="00FC76DB"/>
    <w:rsid w:val="00FC7A36"/>
    <w:rsid w:val="00FC7FC5"/>
    <w:rsid w:val="00FD0613"/>
    <w:rsid w:val="00FD4CBC"/>
    <w:rsid w:val="00FD542C"/>
    <w:rsid w:val="00FD6093"/>
    <w:rsid w:val="00FD67E5"/>
    <w:rsid w:val="00FE08B6"/>
    <w:rsid w:val="00FE317F"/>
    <w:rsid w:val="00FF2019"/>
    <w:rsid w:val="00FF7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5E90C7A-7EBA-4D73-95D4-F51A4228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97"/>
  </w:style>
  <w:style w:type="paragraph" w:styleId="Heading1">
    <w:name w:val="heading 1"/>
    <w:basedOn w:val="Normal"/>
    <w:next w:val="Normal"/>
    <w:link w:val="Heading1Char"/>
    <w:uiPriority w:val="9"/>
    <w:rsid w:val="00B53497"/>
    <w:pPr>
      <w:keepNext/>
      <w:keepLines/>
      <w:spacing w:before="240" w:after="0"/>
      <w:outlineLvl w:val="0"/>
    </w:pPr>
    <w:rPr>
      <w:rFonts w:ascii="Times New Roman" w:hAnsi="Times New Roman" w:eastAsiaTheme="majorEastAsia" w:cstheme="majorBidi"/>
      <w:b/>
      <w:szCs w:val="32"/>
    </w:rPr>
  </w:style>
  <w:style w:type="paragraph" w:styleId="Heading2">
    <w:name w:val="heading 2"/>
    <w:aliases w:val="Heading 2 Char Char1,Heading 2 Char Char1 Char Char,Heading 2 Char Char3 Char,Heading 2 Char1,Heading 2 Char1 Char,Heading 2 Char1 Char Char,Heading 2 Char1 Char Char Char,Heading 2 Char2,UNDERRUBRIK 1-2 Char,h2 Char"/>
    <w:basedOn w:val="Normal"/>
    <w:next w:val="Normal"/>
    <w:link w:val="Heading2Char"/>
    <w:autoRedefine/>
    <w:qFormat/>
    <w:rsid w:val="00AD63C3"/>
    <w:pPr>
      <w:keepNext/>
      <w:numPr>
        <w:numId w:val="1"/>
      </w:numPr>
      <w:spacing w:after="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Normal"/>
    <w:link w:val="Heading3Char"/>
    <w:uiPriority w:val="9"/>
    <w:unhideWhenUsed/>
    <w:qFormat/>
    <w:rsid w:val="002951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60604"/>
    <w:pPr>
      <w:spacing w:line="240" w:lineRule="auto"/>
    </w:pPr>
    <w:rPr>
      <w:sz w:val="20"/>
      <w:szCs w:val="20"/>
    </w:rPr>
  </w:style>
  <w:style w:type="character" w:customStyle="1" w:styleId="CommentTextChar">
    <w:name w:val="Comment Text Char"/>
    <w:basedOn w:val="DefaultParagraphFont"/>
    <w:link w:val="CommentText"/>
    <w:uiPriority w:val="99"/>
    <w:rsid w:val="00160604"/>
    <w:rPr>
      <w:sz w:val="20"/>
      <w:szCs w:val="20"/>
    </w:rPr>
  </w:style>
  <w:style w:type="paragraph" w:customStyle="1" w:styleId="FootnoteTextCharChar1">
    <w:name w:val="Footnote Text Char Char1"/>
    <w:basedOn w:val="Normal"/>
    <w:next w:val="FootnoteText"/>
    <w:link w:val="FootnoteTextChar"/>
    <w:unhideWhenUsed/>
    <w:rsid w:val="00160604"/>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f Char"/>
    <w:basedOn w:val="DefaultParagraphFont"/>
    <w:link w:val="FootnoteTextCharChar1"/>
    <w:rsid w:val="00160604"/>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160604"/>
    <w:rPr>
      <w:vertAlign w:val="superscript"/>
    </w:rPr>
  </w:style>
  <w:style w:type="character" w:customStyle="1" w:styleId="Hyperlink1">
    <w:name w:val="Hyperlink1"/>
    <w:basedOn w:val="DefaultParagraphFont"/>
    <w:uiPriority w:val="99"/>
    <w:unhideWhenUsed/>
    <w:rsid w:val="00160604"/>
    <w:rPr>
      <w:color w:val="0563C1"/>
      <w:u w:val="single"/>
    </w:rPr>
  </w:style>
  <w:style w:type="paragraph" w:customStyle="1" w:styleId="Header1">
    <w:name w:val="Header1"/>
    <w:basedOn w:val="Normal"/>
    <w:next w:val="Header"/>
    <w:link w:val="HeaderChar"/>
    <w:uiPriority w:val="99"/>
    <w:unhideWhenUsed/>
    <w:rsid w:val="00160604"/>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60604"/>
  </w:style>
  <w:style w:type="paragraph" w:customStyle="1" w:styleId="Footer1">
    <w:name w:val="Footer1"/>
    <w:basedOn w:val="Normal"/>
    <w:next w:val="Footer"/>
    <w:link w:val="FooterChar"/>
    <w:uiPriority w:val="99"/>
    <w:unhideWhenUsed/>
    <w:rsid w:val="0016060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60604"/>
  </w:style>
  <w:style w:type="character" w:styleId="CommentReference">
    <w:name w:val="annotation reference"/>
    <w:basedOn w:val="DefaultParagraphFont"/>
    <w:semiHidden/>
    <w:unhideWhenUsed/>
    <w:rsid w:val="00160604"/>
    <w:rPr>
      <w:sz w:val="16"/>
      <w:szCs w:val="16"/>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basedOn w:val="Normal"/>
    <w:link w:val="FootnoteTextChar1"/>
    <w:unhideWhenUsed/>
    <w:qFormat/>
    <w:rsid w:val="00160604"/>
    <w:pPr>
      <w:spacing w:after="0" w:line="240" w:lineRule="auto"/>
    </w:pPr>
    <w:rPr>
      <w:sz w:val="20"/>
      <w:szCs w:val="20"/>
    </w:rPr>
  </w:style>
  <w:style w:type="character" w:customStyle="1" w:styleId="FootnoteTextChar1">
    <w:name w:val="Footnote Text Char1"/>
    <w:aliases w:val="Footnote Text Char Char Char,Footnote Text Char Char3 Char Char Char Char Char,Footnote Text Char1 Char1 Char Char,Footnote Text Char2 Char,Footnote Text Char3 Char1 Char Char Char Char,Footnote Text Char4 Char Char Char Char,f Char1"/>
    <w:basedOn w:val="DefaultParagraphFont"/>
    <w:link w:val="FootnoteText"/>
    <w:uiPriority w:val="99"/>
    <w:semiHidden/>
    <w:rsid w:val="00160604"/>
    <w:rPr>
      <w:sz w:val="20"/>
      <w:szCs w:val="20"/>
    </w:rPr>
  </w:style>
  <w:style w:type="character" w:styleId="Hyperlink">
    <w:name w:val="Hyperlink"/>
    <w:basedOn w:val="DefaultParagraphFont"/>
    <w:uiPriority w:val="99"/>
    <w:unhideWhenUsed/>
    <w:rsid w:val="00160604"/>
    <w:rPr>
      <w:color w:val="0563C1" w:themeColor="hyperlink"/>
      <w:u w:val="single"/>
    </w:rPr>
  </w:style>
  <w:style w:type="paragraph" w:styleId="Header">
    <w:name w:val="header"/>
    <w:basedOn w:val="Normal"/>
    <w:link w:val="HeaderChar1"/>
    <w:uiPriority w:val="99"/>
    <w:unhideWhenUsed/>
    <w:rsid w:val="0016060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60604"/>
  </w:style>
  <w:style w:type="paragraph" w:styleId="Footer">
    <w:name w:val="footer"/>
    <w:basedOn w:val="Normal"/>
    <w:link w:val="FooterChar1"/>
    <w:uiPriority w:val="99"/>
    <w:unhideWhenUsed/>
    <w:rsid w:val="0016060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60604"/>
  </w:style>
  <w:style w:type="paragraph" w:styleId="BalloonText">
    <w:name w:val="Balloon Text"/>
    <w:basedOn w:val="Normal"/>
    <w:link w:val="BalloonTextChar"/>
    <w:uiPriority w:val="99"/>
    <w:semiHidden/>
    <w:unhideWhenUsed/>
    <w:rsid w:val="0016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04"/>
    <w:rPr>
      <w:rFonts w:ascii="Segoe UI" w:hAnsi="Segoe UI" w:cs="Segoe UI"/>
      <w:sz w:val="18"/>
      <w:szCs w:val="18"/>
    </w:rPr>
  </w:style>
  <w:style w:type="paragraph" w:styleId="ListParagraph">
    <w:name w:val="List Paragraph"/>
    <w:basedOn w:val="Normal"/>
    <w:uiPriority w:val="34"/>
    <w:qFormat/>
    <w:rsid w:val="00BB1C03"/>
    <w:pPr>
      <w:ind w:left="720"/>
      <w:contextualSpacing/>
    </w:pPr>
  </w:style>
  <w:style w:type="paragraph" w:styleId="CommentSubject">
    <w:name w:val="annotation subject"/>
    <w:basedOn w:val="CommentText"/>
    <w:next w:val="CommentText"/>
    <w:link w:val="CommentSubjectChar"/>
    <w:uiPriority w:val="99"/>
    <w:semiHidden/>
    <w:unhideWhenUsed/>
    <w:rsid w:val="00C66EEF"/>
    <w:rPr>
      <w:b/>
      <w:bCs/>
    </w:rPr>
  </w:style>
  <w:style w:type="character" w:customStyle="1" w:styleId="CommentSubjectChar">
    <w:name w:val="Comment Subject Char"/>
    <w:basedOn w:val="CommentTextChar"/>
    <w:link w:val="CommentSubject"/>
    <w:uiPriority w:val="99"/>
    <w:semiHidden/>
    <w:rsid w:val="00C66EEF"/>
    <w:rPr>
      <w:b/>
      <w:bCs/>
      <w:sz w:val="20"/>
      <w:szCs w:val="20"/>
    </w:rPr>
  </w:style>
  <w:style w:type="paragraph" w:styleId="Revision">
    <w:name w:val="Revision"/>
    <w:hidden/>
    <w:uiPriority w:val="99"/>
    <w:semiHidden/>
    <w:rsid w:val="00C66EEF"/>
    <w:pPr>
      <w:spacing w:after="0" w:line="240" w:lineRule="auto"/>
    </w:pPr>
  </w:style>
  <w:style w:type="character" w:customStyle="1" w:styleId="UnresolvedMention1">
    <w:name w:val="Unresolved Mention1"/>
    <w:basedOn w:val="DefaultParagraphFont"/>
    <w:uiPriority w:val="99"/>
    <w:semiHidden/>
    <w:unhideWhenUsed/>
    <w:rsid w:val="001550A5"/>
    <w:rPr>
      <w:color w:val="808080"/>
      <w:shd w:val="clear" w:color="auto" w:fill="E6E6E6"/>
    </w:rPr>
  </w:style>
  <w:style w:type="character" w:customStyle="1" w:styleId="Heading2Char">
    <w:name w:val="Heading 2 Char"/>
    <w:aliases w:val="Heading 2 Char Char1 Char,Heading 2 Char Char1 Char Char Char,Heading 2 Char Char3 Char Char,Heading 2 Char1 Char Char Char Char,Heading 2 Char1 Char Char Char1,Heading 2 Char1 Char Char1,UNDERRUBRIK 1-2 Char Char,h2 Char Char"/>
    <w:basedOn w:val="DefaultParagraphFont"/>
    <w:link w:val="Heading2"/>
    <w:rsid w:val="00AD63C3"/>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217E1"/>
    <w:pPr>
      <w:widowControl w:val="0"/>
      <w:numPr>
        <w:numId w:val="2"/>
      </w:numPr>
      <w:spacing w:after="120" w:line="240" w:lineRule="auto"/>
    </w:pPr>
    <w:rPr>
      <w:rFonts w:ascii="Times New Roman" w:eastAsia="Times New Roman" w:hAnsi="Times New Roman" w:cs="Times New Roman"/>
      <w:snapToGrid w:val="0"/>
      <w:kern w:val="28"/>
      <w:sz w:val="20"/>
      <w:szCs w:val="20"/>
    </w:rPr>
  </w:style>
  <w:style w:type="character" w:customStyle="1" w:styleId="ParaNumChar">
    <w:name w:val="ParaNum Char"/>
    <w:link w:val="ParaNum"/>
    <w:rsid w:val="00D217E1"/>
    <w:rPr>
      <w:rFonts w:ascii="Times New Roman" w:eastAsia="Times New Roman" w:hAnsi="Times New Roman" w:cs="Times New Roman"/>
      <w:snapToGrid w:val="0"/>
      <w:kern w:val="28"/>
      <w:sz w:val="20"/>
      <w:szCs w:val="20"/>
    </w:rPr>
  </w:style>
  <w:style w:type="character" w:customStyle="1" w:styleId="ParaNumCharChar1">
    <w:name w:val="ParaNum Char Char1"/>
    <w:locked/>
    <w:rsid w:val="00E91FB6"/>
    <w:rPr>
      <w:snapToGrid w:val="0"/>
      <w:kern w:val="28"/>
      <w:sz w:val="22"/>
    </w:rPr>
  </w:style>
  <w:style w:type="character" w:styleId="FollowedHyperlink">
    <w:name w:val="FollowedHyperlink"/>
    <w:basedOn w:val="DefaultParagraphFont"/>
    <w:uiPriority w:val="99"/>
    <w:semiHidden/>
    <w:unhideWhenUsed/>
    <w:rsid w:val="00423FE9"/>
    <w:rPr>
      <w:color w:val="954F72" w:themeColor="followedHyperlink"/>
      <w:u w:val="single"/>
    </w:rPr>
  </w:style>
  <w:style w:type="character" w:customStyle="1" w:styleId="Heading1Char">
    <w:name w:val="Heading 1 Char"/>
    <w:basedOn w:val="DefaultParagraphFont"/>
    <w:link w:val="Heading1"/>
    <w:uiPriority w:val="9"/>
    <w:rsid w:val="00B53497"/>
    <w:rPr>
      <w:rFonts w:ascii="Times New Roman" w:hAnsi="Times New Roman" w:eastAsiaTheme="majorEastAsia" w:cstheme="majorBidi"/>
      <w:b/>
      <w:szCs w:val="32"/>
    </w:rPr>
  </w:style>
  <w:style w:type="paragraph" w:styleId="TOCHeading">
    <w:name w:val="TOC Heading"/>
    <w:basedOn w:val="Heading1"/>
    <w:next w:val="Normal"/>
    <w:uiPriority w:val="39"/>
    <w:unhideWhenUsed/>
    <w:qFormat/>
    <w:rsid w:val="003D5331"/>
    <w:pPr>
      <w:outlineLvl w:val="9"/>
    </w:pPr>
  </w:style>
  <w:style w:type="paragraph" w:styleId="TOC2">
    <w:name w:val="toc 2"/>
    <w:basedOn w:val="Normal"/>
    <w:next w:val="Normal"/>
    <w:autoRedefine/>
    <w:uiPriority w:val="39"/>
    <w:unhideWhenUsed/>
    <w:rsid w:val="00523133"/>
    <w:pPr>
      <w:tabs>
        <w:tab w:val="left" w:pos="720"/>
        <w:tab w:val="left" w:pos="1080"/>
        <w:tab w:val="right" w:leader="dot" w:pos="9350"/>
      </w:tabs>
      <w:spacing w:after="100"/>
      <w:ind w:left="720"/>
    </w:pPr>
  </w:style>
  <w:style w:type="paragraph" w:styleId="TOC1">
    <w:name w:val="toc 1"/>
    <w:basedOn w:val="Normal"/>
    <w:next w:val="Normal"/>
    <w:autoRedefine/>
    <w:uiPriority w:val="39"/>
    <w:unhideWhenUsed/>
    <w:rsid w:val="00B357E8"/>
    <w:pPr>
      <w:tabs>
        <w:tab w:val="left" w:pos="720"/>
        <w:tab w:val="right" w:leader="dot" w:pos="9350"/>
      </w:tabs>
      <w:spacing w:after="100"/>
    </w:pPr>
    <w:rPr>
      <w:rFonts w:ascii="Times New Roman" w:eastAsia="Calibri" w:hAnsi="Times New Roman" w:cs="Times New Roman"/>
      <w:b/>
      <w:noProof/>
    </w:rPr>
  </w:style>
  <w:style w:type="paragraph" w:styleId="TOC3">
    <w:name w:val="toc 3"/>
    <w:basedOn w:val="Normal"/>
    <w:next w:val="Normal"/>
    <w:autoRedefine/>
    <w:uiPriority w:val="39"/>
    <w:unhideWhenUsed/>
    <w:rsid w:val="003D5331"/>
    <w:pPr>
      <w:spacing w:after="100"/>
      <w:ind w:left="440"/>
    </w:pPr>
    <w:rPr>
      <w:rFonts w:eastAsiaTheme="minorEastAsia" w:cs="Times New Roman"/>
    </w:rPr>
  </w:style>
  <w:style w:type="paragraph" w:styleId="NoSpacing">
    <w:name w:val="No Spacing"/>
    <w:uiPriority w:val="1"/>
    <w:qFormat/>
    <w:rsid w:val="00F02908"/>
    <w:pPr>
      <w:spacing w:after="0" w:line="240" w:lineRule="auto"/>
    </w:pPr>
  </w:style>
  <w:style w:type="character" w:customStyle="1" w:styleId="Heading3Char">
    <w:name w:val="Heading 3 Char"/>
    <w:basedOn w:val="DefaultParagraphFont"/>
    <w:link w:val="Heading3"/>
    <w:uiPriority w:val="9"/>
    <w:rsid w:val="002951D3"/>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865A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deralregister.gov/documents/2020/08/28/2020-18804/auction-of-flexible-use-service-licenses-in-the-37-398-ghz-band-for-next-generation-wireless" TargetMode="External" /><Relationship Id="rId11" Type="http://schemas.openxmlformats.org/officeDocument/2006/relationships/hyperlink" Target="https://www.fcc.gov/document/fcc-establishes-bidding-procedures-december-c-band-auction-0" TargetMode="External" /><Relationship Id="rId12" Type="http://schemas.openxmlformats.org/officeDocument/2006/relationships/hyperlink" Target="http://www.fcc.gov/document/fcc-expands-flexible-use-c-band-5g-0" TargetMode="External" /><Relationship Id="rId13" Type="http://schemas.openxmlformats.org/officeDocument/2006/relationships/header" Target="header3.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http://www.fcc.gov/auction/107/education" TargetMode="External" /><Relationship Id="rId8" Type="http://schemas.openxmlformats.org/officeDocument/2006/relationships/hyperlink" Target="https://www.fcc.gov/auction/107" TargetMode="External" /><Relationship Id="rId9" Type="http://schemas.openxmlformats.org/officeDocument/2006/relationships/hyperlink" Target="https://www.fcc.gov/document/auction-104-lptv-and-tv-translator-permits-procedures-and-deadline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