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0783" w:rsidRPr="0031542D" w:rsidP="00C80783" w14:paraId="44E57538" w14:textId="77777777">
      <w:pPr>
        <w:jc w:val="center"/>
        <w:rPr>
          <w:b/>
          <w:color w:val="000000"/>
          <w:szCs w:val="22"/>
        </w:rPr>
      </w:pPr>
      <w:r w:rsidRPr="0031542D">
        <w:rPr>
          <w:b/>
          <w:color w:val="000000"/>
          <w:szCs w:val="22"/>
        </w:rPr>
        <w:t>Before the</w:t>
      </w:r>
    </w:p>
    <w:p w:rsidR="00C80783" w:rsidRPr="0031542D" w:rsidP="00C80783" w14:paraId="31CEB9DD"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C80783" w:rsidRPr="0031542D" w:rsidP="00C80783" w14:paraId="62BD28ED"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244BC126" w14:textId="77777777" w:rsidTr="007868CC">
        <w:tblPrEx>
          <w:tblW w:w="0" w:type="auto"/>
          <w:tblLayout w:type="fixed"/>
          <w:tblLook w:val="0000"/>
        </w:tblPrEx>
        <w:tc>
          <w:tcPr>
            <w:tcW w:w="4518" w:type="dxa"/>
          </w:tcPr>
          <w:p w:rsidR="00C80783" w:rsidRPr="0031542D" w:rsidP="007868CC" w14:paraId="0DD7FD8B" w14:textId="77777777">
            <w:pPr>
              <w:tabs>
                <w:tab w:val="center" w:pos="4680"/>
              </w:tabs>
              <w:suppressAutoHyphens/>
              <w:rPr>
                <w:color w:val="000000"/>
                <w:spacing w:val="-2"/>
                <w:szCs w:val="22"/>
              </w:rPr>
            </w:pPr>
          </w:p>
          <w:p w:rsidR="00C80783" w:rsidRPr="0031542D" w:rsidP="007868CC" w14:paraId="3226711F" w14:textId="77777777">
            <w:pPr>
              <w:tabs>
                <w:tab w:val="center" w:pos="4680"/>
              </w:tabs>
              <w:suppressAutoHyphens/>
              <w:rPr>
                <w:color w:val="000000"/>
                <w:spacing w:val="-2"/>
                <w:szCs w:val="22"/>
              </w:rPr>
            </w:pPr>
            <w:r w:rsidRPr="0031542D">
              <w:rPr>
                <w:color w:val="000000"/>
                <w:spacing w:val="-2"/>
                <w:szCs w:val="22"/>
              </w:rPr>
              <w:t>In the Matter of</w:t>
            </w:r>
          </w:p>
          <w:p w:rsidR="00C80783" w:rsidRPr="0031542D" w:rsidP="007868CC" w14:paraId="07CE91E0" w14:textId="77777777">
            <w:pPr>
              <w:tabs>
                <w:tab w:val="center" w:pos="4680"/>
              </w:tabs>
              <w:suppressAutoHyphens/>
              <w:rPr>
                <w:color w:val="000000"/>
                <w:spacing w:val="-2"/>
                <w:szCs w:val="22"/>
              </w:rPr>
            </w:pPr>
          </w:p>
          <w:p w:rsidR="00C80783" w:rsidRPr="0031542D" w:rsidP="007868CC" w14:paraId="1ABEE929" w14:textId="77777777">
            <w:pPr>
              <w:tabs>
                <w:tab w:val="center" w:pos="4680"/>
              </w:tabs>
              <w:suppressAutoHyphens/>
              <w:rPr>
                <w:color w:val="000000" w:themeColor="text1"/>
              </w:rPr>
            </w:pPr>
            <w:r>
              <w:rPr>
                <w:color w:val="000000"/>
                <w:spacing w:val="-2"/>
              </w:rPr>
              <w:t xml:space="preserve">Unidos Para </w:t>
            </w:r>
            <w:r>
              <w:rPr>
                <w:color w:val="000000"/>
                <w:spacing w:val="-2"/>
              </w:rPr>
              <w:t>Cristos</w:t>
            </w:r>
            <w:r>
              <w:rPr>
                <w:color w:val="000000"/>
                <w:spacing w:val="-2"/>
              </w:rPr>
              <w:t>, Inc.</w:t>
            </w:r>
          </w:p>
          <w:p w:rsidR="00C80783" w:rsidRPr="0031542D" w:rsidP="007868CC" w14:paraId="290398DF" w14:textId="77777777">
            <w:pPr>
              <w:tabs>
                <w:tab w:val="center" w:pos="4680"/>
              </w:tabs>
              <w:suppressAutoHyphens/>
              <w:rPr>
                <w:color w:val="000000" w:themeColor="text1"/>
              </w:rPr>
            </w:pPr>
            <w:r w:rsidRPr="5DB6E33C">
              <w:rPr>
                <w:color w:val="000000"/>
                <w:spacing w:val="-2"/>
              </w:rPr>
              <w:t xml:space="preserve">Licensee </w:t>
            </w:r>
            <w:r>
              <w:rPr>
                <w:color w:val="000000"/>
                <w:spacing w:val="-2"/>
              </w:rPr>
              <w:t>KIJN(AM), Farwell, Texas</w:t>
            </w:r>
          </w:p>
          <w:p w:rsidR="00C80783" w:rsidRPr="0031542D" w:rsidP="007868CC" w14:paraId="0A0C67B9" w14:textId="77777777">
            <w:pPr>
              <w:tabs>
                <w:tab w:val="center" w:pos="4680"/>
              </w:tabs>
              <w:suppressAutoHyphens/>
              <w:rPr>
                <w:color w:val="000000"/>
                <w:spacing w:val="-2"/>
                <w:szCs w:val="22"/>
              </w:rPr>
            </w:pPr>
          </w:p>
        </w:tc>
        <w:tc>
          <w:tcPr>
            <w:tcW w:w="630" w:type="dxa"/>
          </w:tcPr>
          <w:p w:rsidR="00C80783" w:rsidRPr="0031542D" w:rsidP="007868CC" w14:paraId="18F3ED57" w14:textId="77777777">
            <w:pPr>
              <w:tabs>
                <w:tab w:val="center" w:pos="4680"/>
              </w:tabs>
              <w:suppressAutoHyphens/>
              <w:rPr>
                <w:b/>
                <w:color w:val="000000"/>
                <w:spacing w:val="-2"/>
                <w:szCs w:val="22"/>
              </w:rPr>
            </w:pPr>
          </w:p>
          <w:p w:rsidR="00C80783" w:rsidRPr="0031542D" w:rsidP="007868CC" w14:paraId="60E4E0DF" w14:textId="77777777">
            <w:pPr>
              <w:tabs>
                <w:tab w:val="center" w:pos="4680"/>
              </w:tabs>
              <w:suppressAutoHyphens/>
              <w:rPr>
                <w:b/>
                <w:color w:val="000000"/>
                <w:spacing w:val="-2"/>
                <w:szCs w:val="22"/>
              </w:rPr>
            </w:pPr>
            <w:r w:rsidRPr="0031542D">
              <w:rPr>
                <w:b/>
                <w:color w:val="000000"/>
                <w:spacing w:val="-2"/>
                <w:szCs w:val="22"/>
              </w:rPr>
              <w:t xml:space="preserve">  )</w:t>
            </w:r>
          </w:p>
          <w:p w:rsidR="00C80783" w:rsidRPr="0031542D" w:rsidP="007868CC" w14:paraId="4793A2AD" w14:textId="77777777">
            <w:pPr>
              <w:tabs>
                <w:tab w:val="center" w:pos="4680"/>
              </w:tabs>
              <w:suppressAutoHyphens/>
              <w:rPr>
                <w:b/>
                <w:color w:val="000000"/>
                <w:spacing w:val="-2"/>
                <w:szCs w:val="22"/>
              </w:rPr>
            </w:pPr>
            <w:r w:rsidRPr="0031542D">
              <w:rPr>
                <w:b/>
                <w:color w:val="000000"/>
                <w:spacing w:val="-2"/>
                <w:szCs w:val="22"/>
              </w:rPr>
              <w:t xml:space="preserve">  )</w:t>
            </w:r>
          </w:p>
          <w:p w:rsidR="00C80783" w:rsidRPr="0031542D" w:rsidP="007868CC" w14:paraId="05D4B49F" w14:textId="77777777">
            <w:pPr>
              <w:tabs>
                <w:tab w:val="center" w:pos="4680"/>
              </w:tabs>
              <w:suppressAutoHyphens/>
              <w:rPr>
                <w:b/>
                <w:color w:val="000000"/>
                <w:spacing w:val="-2"/>
                <w:szCs w:val="22"/>
              </w:rPr>
            </w:pPr>
            <w:r w:rsidRPr="0031542D">
              <w:rPr>
                <w:b/>
                <w:color w:val="000000"/>
                <w:spacing w:val="-2"/>
                <w:szCs w:val="22"/>
              </w:rPr>
              <w:t xml:space="preserve">  )</w:t>
            </w:r>
          </w:p>
          <w:p w:rsidR="00C80783" w:rsidRPr="0031542D" w:rsidP="007868CC" w14:paraId="4C21EF35" w14:textId="77777777">
            <w:pPr>
              <w:tabs>
                <w:tab w:val="center" w:pos="4680"/>
              </w:tabs>
              <w:suppressAutoHyphens/>
              <w:rPr>
                <w:b/>
                <w:color w:val="000000"/>
                <w:spacing w:val="-2"/>
                <w:szCs w:val="22"/>
              </w:rPr>
            </w:pPr>
            <w:r w:rsidRPr="0031542D">
              <w:rPr>
                <w:b/>
                <w:color w:val="000000"/>
                <w:spacing w:val="-2"/>
                <w:szCs w:val="22"/>
              </w:rPr>
              <w:t xml:space="preserve">  )</w:t>
            </w:r>
          </w:p>
          <w:p w:rsidR="00C80783" w:rsidRPr="0031542D" w:rsidP="007868CC" w14:paraId="4CE2ADFA"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C80783" w:rsidRPr="0031542D" w:rsidP="007868CC" w14:paraId="2F3934FA" w14:textId="77777777">
            <w:pPr>
              <w:tabs>
                <w:tab w:val="center" w:pos="4680"/>
              </w:tabs>
              <w:suppressAutoHyphens/>
              <w:rPr>
                <w:color w:val="000000"/>
                <w:spacing w:val="-2"/>
                <w:szCs w:val="22"/>
              </w:rPr>
            </w:pPr>
          </w:p>
          <w:p w:rsidR="00C80783" w:rsidRPr="0031542D" w:rsidP="007868CC" w14:paraId="40B2168A" w14:textId="77777777">
            <w:pPr>
              <w:rPr>
                <w:color w:val="000000"/>
                <w:spacing w:val="-2"/>
                <w:szCs w:val="22"/>
              </w:rPr>
            </w:pPr>
          </w:p>
          <w:p w:rsidR="00C80783" w:rsidP="007868CC" w14:paraId="0B177D0F" w14:textId="77777777">
            <w:pPr>
              <w:ind w:left="612"/>
              <w:rPr>
                <w:color w:val="000000"/>
                <w:spacing w:val="-2"/>
                <w:szCs w:val="22"/>
              </w:rPr>
            </w:pPr>
          </w:p>
          <w:p w:rsidR="00C80783" w:rsidRPr="00FF4F31" w:rsidP="007868CC" w14:paraId="1F256285" w14:textId="77777777">
            <w:pPr>
              <w:ind w:left="612"/>
              <w:rPr>
                <w:highlight w:val="yellow"/>
              </w:rPr>
            </w:pPr>
            <w:r>
              <w:rPr>
                <w:color w:val="000000"/>
                <w:spacing w:val="-2"/>
              </w:rPr>
              <w:t>Facility ID 4931</w:t>
            </w:r>
          </w:p>
          <w:p w:rsidR="00C80783" w:rsidRPr="00AE61F7" w:rsidP="007868CC" w14:paraId="78415963" w14:textId="77777777">
            <w:pPr>
              <w:ind w:left="612"/>
              <w:rPr>
                <w:color w:val="000000" w:themeColor="text1"/>
                <w:szCs w:val="22"/>
              </w:rPr>
            </w:pPr>
            <w:r w:rsidRPr="00AE61F7">
              <w:rPr>
                <w:color w:val="000000"/>
                <w:spacing w:val="-2"/>
                <w:szCs w:val="22"/>
              </w:rPr>
              <w:t>FRN:</w:t>
            </w:r>
            <w:r w:rsidRPr="009014DF">
              <w:rPr>
                <w:color w:val="000000"/>
                <w:spacing w:val="-2"/>
                <w:szCs w:val="22"/>
              </w:rPr>
              <w:t xml:space="preserve">  </w:t>
            </w:r>
            <w:r>
              <w:rPr>
                <w:color w:val="000000"/>
                <w:spacing w:val="-2"/>
                <w:szCs w:val="22"/>
              </w:rPr>
              <w:t>0019429083</w:t>
            </w:r>
          </w:p>
          <w:p w:rsidR="00C80783" w:rsidRPr="0031542D" w:rsidP="007868CC" w14:paraId="7E0F1955" w14:textId="77777777">
            <w:pPr>
              <w:rPr>
                <w:color w:val="000000"/>
                <w:szCs w:val="22"/>
              </w:rPr>
            </w:pPr>
          </w:p>
        </w:tc>
      </w:tr>
    </w:tbl>
    <w:p w:rsidR="00C80783" w:rsidRPr="0031542D" w:rsidP="00C80783" w14:paraId="093D9E9B" w14:textId="77777777">
      <w:pPr>
        <w:pStyle w:val="StyleBoldCentered"/>
        <w:widowControl/>
        <w:rPr>
          <w:rFonts w:ascii="Times New Roman" w:hAnsi="Times New Roman"/>
          <w:color w:val="000000"/>
        </w:rPr>
      </w:pPr>
      <w:r w:rsidRPr="0031542D">
        <w:rPr>
          <w:rFonts w:ascii="Times New Roman" w:hAnsi="Times New Roman"/>
          <w:color w:val="000000"/>
        </w:rPr>
        <w:t>ORDER</w:t>
      </w:r>
      <w:r>
        <w:rPr>
          <w:rFonts w:ascii="Times New Roman" w:hAnsi="Times New Roman"/>
          <w:color w:val="000000"/>
        </w:rPr>
        <w:t xml:space="preserve"> to pay or To show cause</w:t>
      </w:r>
      <w:r w:rsidRPr="0031542D">
        <w:rPr>
          <w:rFonts w:ascii="Times New Roman" w:hAnsi="Times New Roman"/>
          <w:color w:val="000000"/>
        </w:rPr>
        <w:t xml:space="preserve"> </w:t>
      </w:r>
    </w:p>
    <w:p w:rsidR="00C80783" w:rsidRPr="0031542D" w:rsidP="00C80783" w14:paraId="1BFA64F2" w14:textId="77777777">
      <w:pPr>
        <w:pStyle w:val="BodyText"/>
        <w:tabs>
          <w:tab w:val="left" w:pos="4680"/>
        </w:tabs>
        <w:jc w:val="center"/>
        <w:rPr>
          <w:color w:val="000000"/>
          <w:sz w:val="22"/>
          <w:szCs w:val="22"/>
          <w:u w:val="none"/>
        </w:rPr>
      </w:pPr>
    </w:p>
    <w:p w:rsidR="00C80783" w:rsidRPr="00037DB0" w:rsidP="00C80783" w14:paraId="6FFF5A13" w14:textId="50F23A6E">
      <w:pPr>
        <w:tabs>
          <w:tab w:val="left" w:pos="720"/>
          <w:tab w:val="right" w:pos="9360"/>
        </w:tabs>
        <w:suppressAutoHyphens/>
        <w:spacing w:line="227" w:lineRule="auto"/>
        <w:rPr>
          <w:spacing w:val="-2"/>
          <w:szCs w:val="22"/>
        </w:rPr>
      </w:pPr>
      <w:r w:rsidRPr="5DB6E33C">
        <w:rPr>
          <w:b/>
          <w:bCs/>
          <w:spacing w:val="-2"/>
        </w:rPr>
        <w:t xml:space="preserve">Adopted:  </w:t>
      </w:r>
      <w:r w:rsidR="00FD7100">
        <w:rPr>
          <w:b/>
          <w:bCs/>
          <w:spacing w:val="-2"/>
        </w:rPr>
        <w:t>January</w:t>
      </w:r>
      <w:r w:rsidR="00396280">
        <w:rPr>
          <w:b/>
          <w:bCs/>
          <w:spacing w:val="-2"/>
        </w:rPr>
        <w:t xml:space="preserve"> </w:t>
      </w:r>
      <w:r w:rsidR="00703623">
        <w:rPr>
          <w:b/>
          <w:bCs/>
          <w:spacing w:val="-2"/>
        </w:rPr>
        <w:t>28</w:t>
      </w:r>
      <w:r>
        <w:rPr>
          <w:b/>
          <w:bCs/>
          <w:spacing w:val="-2"/>
        </w:rPr>
        <w:t>, 20</w:t>
      </w:r>
      <w:r w:rsidR="00FD7100">
        <w:rPr>
          <w:b/>
          <w:bCs/>
          <w:spacing w:val="-2"/>
        </w:rPr>
        <w:t>20</w:t>
      </w:r>
      <w:r w:rsidRPr="00037DB0">
        <w:rPr>
          <w:b/>
          <w:spacing w:val="-2"/>
          <w:szCs w:val="22"/>
        </w:rPr>
        <w:tab/>
      </w:r>
      <w:r w:rsidRPr="5DB6E33C">
        <w:rPr>
          <w:b/>
          <w:bCs/>
          <w:spacing w:val="-2"/>
        </w:rPr>
        <w:t xml:space="preserve">Released:  </w:t>
      </w:r>
      <w:r w:rsidR="00FD7100">
        <w:rPr>
          <w:b/>
          <w:bCs/>
          <w:spacing w:val="-2"/>
        </w:rPr>
        <w:t>January</w:t>
      </w:r>
      <w:r>
        <w:rPr>
          <w:b/>
          <w:bCs/>
          <w:spacing w:val="-2"/>
        </w:rPr>
        <w:t xml:space="preserve"> </w:t>
      </w:r>
      <w:r w:rsidR="00703623">
        <w:rPr>
          <w:b/>
          <w:bCs/>
          <w:spacing w:val="-2"/>
        </w:rPr>
        <w:t>28</w:t>
      </w:r>
      <w:r w:rsidRPr="5DB6E33C">
        <w:rPr>
          <w:b/>
          <w:bCs/>
          <w:spacing w:val="-2"/>
        </w:rPr>
        <w:t>, 20</w:t>
      </w:r>
      <w:r w:rsidR="00FD7100">
        <w:rPr>
          <w:b/>
          <w:bCs/>
          <w:spacing w:val="-2"/>
        </w:rPr>
        <w:t>20</w:t>
      </w:r>
    </w:p>
    <w:p w:rsidR="00C80783" w:rsidRPr="0031542D" w:rsidP="00C80783" w14:paraId="322F73A7" w14:textId="77777777">
      <w:pPr>
        <w:pStyle w:val="BodyText"/>
        <w:tabs>
          <w:tab w:val="left" w:pos="4680"/>
        </w:tabs>
        <w:jc w:val="center"/>
        <w:rPr>
          <w:color w:val="000000"/>
          <w:sz w:val="22"/>
          <w:szCs w:val="22"/>
          <w:u w:val="none"/>
        </w:rPr>
      </w:pPr>
    </w:p>
    <w:p w:rsidR="00C80783" w:rsidRPr="006D73F2" w:rsidP="00C80783" w14:paraId="6174A51C" w14:textId="77777777">
      <w:pPr>
        <w:tabs>
          <w:tab w:val="left" w:pos="720"/>
          <w:tab w:val="left" w:pos="5760"/>
        </w:tabs>
        <w:suppressAutoHyphens/>
        <w:spacing w:line="227" w:lineRule="auto"/>
        <w:rPr>
          <w:spacing w:val="-2"/>
          <w:szCs w:val="22"/>
        </w:rPr>
      </w:pPr>
      <w:r w:rsidRPr="006D73F2">
        <w:rPr>
          <w:spacing w:val="-2"/>
          <w:szCs w:val="22"/>
        </w:rPr>
        <w:t xml:space="preserve">By the Chief, </w:t>
      </w:r>
      <w:r>
        <w:rPr>
          <w:spacing w:val="-2"/>
          <w:szCs w:val="22"/>
        </w:rPr>
        <w:t>Media Bureau and the Managing Director, Office of Managing Director:</w:t>
      </w:r>
    </w:p>
    <w:p w:rsidR="00C80783" w:rsidRPr="0031542D" w:rsidP="00C80783" w14:paraId="52EEFC09" w14:textId="77777777">
      <w:pPr>
        <w:pStyle w:val="BodyText"/>
        <w:tabs>
          <w:tab w:val="left" w:pos="4680"/>
        </w:tabs>
        <w:rPr>
          <w:b w:val="0"/>
          <w:color w:val="000000"/>
          <w:sz w:val="22"/>
          <w:szCs w:val="22"/>
          <w:u w:val="none"/>
        </w:rPr>
      </w:pPr>
    </w:p>
    <w:p w:rsidR="00C80783" w:rsidRPr="0031542D" w:rsidP="00C80783" w14:paraId="3547CF72" w14:textId="77777777">
      <w:pPr>
        <w:pStyle w:val="Heading1"/>
        <w:rPr>
          <w:color w:val="000000"/>
        </w:rPr>
      </w:pPr>
      <w:r w:rsidRPr="0031542D">
        <w:rPr>
          <w:color w:val="000000"/>
        </w:rPr>
        <w:t>INTRODUCTION</w:t>
      </w:r>
    </w:p>
    <w:p w:rsidR="00C80783" w:rsidRPr="00AA7AC6" w:rsidP="00C80783" w14:paraId="1EEE0AA7" w14:textId="77777777">
      <w:pPr>
        <w:pStyle w:val="ParaNum"/>
        <w:rPr>
          <w:spacing w:val="-2"/>
        </w:rPr>
      </w:pPr>
      <w:r>
        <w:t xml:space="preserve">By this Order to Pay or to Show Cause, we initiate a proceeding to revoke the license held by </w:t>
      </w:r>
      <w:r>
        <w:rPr>
          <w:color w:val="000000"/>
          <w:spacing w:val="-2"/>
        </w:rPr>
        <w:t xml:space="preserve">Unidos Para </w:t>
      </w:r>
      <w:r>
        <w:rPr>
          <w:color w:val="000000"/>
          <w:spacing w:val="-2"/>
        </w:rPr>
        <w:t>Cristos</w:t>
      </w:r>
      <w:r>
        <w:t xml:space="preserve">, Inc. (Licensee) for KIJN(FM), Farwell, Texas (Station), for failure to pay delinquent regulatory fees and associated interest, administrative costs, and penalties owed to the Commission.  For the reasons set forth below, we direct Licensee to pay the overdue regulatory fees, including any associated interest, penalties, and administrative costs, or show cause why the payment demanded is inapplicable or should otherwise be waived or deferred.  </w:t>
      </w:r>
    </w:p>
    <w:p w:rsidR="00C80783" w:rsidRPr="0031542D" w:rsidP="00C80783" w14:paraId="2D1B7206" w14:textId="77777777">
      <w:pPr>
        <w:pStyle w:val="Heading1"/>
        <w:rPr>
          <w:color w:val="000000"/>
        </w:rPr>
      </w:pPr>
      <w:r w:rsidRPr="0031542D">
        <w:rPr>
          <w:color w:val="000000"/>
        </w:rPr>
        <w:t>DISCUSSION</w:t>
      </w:r>
    </w:p>
    <w:p w:rsidR="00C80783" w:rsidRPr="00FD2ADC" w:rsidP="00C80783" w14:paraId="10F2235A" w14:textId="77777777">
      <w:pPr>
        <w:pStyle w:val="ParaNum"/>
        <w:rPr>
          <w:spacing w:val="-2"/>
        </w:rPr>
      </w:pPr>
      <w:r w:rsidRPr="009F02C1">
        <w:t>Under Section 9 of the</w:t>
      </w:r>
      <w:r w:rsidRPr="00FD2ADC">
        <w:rPr>
          <w:szCs w:val="24"/>
        </w:rPr>
        <w:t xml:space="preserve"> Communications Act of 1934, as amended (Act), </w:t>
      </w:r>
      <w:r w:rsidRPr="009F02C1">
        <w:t>and the Commission’s rules</w:t>
      </w:r>
      <w:r>
        <w:t xml:space="preserve"> (Rules)</w:t>
      </w:r>
      <w:r w:rsidRPr="009F02C1">
        <w:t>, the Commission is required to “assess and collect regulatory fees” to recover the costs of certain regulatory activities.</w:t>
      </w:r>
      <w:r>
        <w:rPr>
          <w:rStyle w:val="FootnoteReference"/>
          <w:szCs w:val="22"/>
        </w:rPr>
        <w:footnoteReference w:id="2"/>
      </w:r>
      <w:r w:rsidRPr="009F02C1">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3"/>
      </w:r>
      <w:r w:rsidRPr="009F02C1">
        <w:t xml:space="preserve">  </w:t>
      </w:r>
    </w:p>
    <w:p w:rsidR="00C80783" w:rsidRPr="0028716D" w:rsidP="00C80783" w14:paraId="3442FF00" w14:textId="0BD5E2A2">
      <w:pPr>
        <w:pStyle w:val="ParaNum"/>
        <w:rPr>
          <w:spacing w:val="-2"/>
        </w:rPr>
      </w:pPr>
      <w:r w:rsidRPr="002B4DF7">
        <w:t xml:space="preserve">For fiscal year (FY) </w:t>
      </w:r>
      <w:r>
        <w:t>201</w:t>
      </w:r>
      <w:r w:rsidR="00FD0982">
        <w:t>3</w:t>
      </w:r>
      <w:r>
        <w:t xml:space="preserve">, the deadline for paying regulatory fees was </w:t>
      </w:r>
      <w:r w:rsidRPr="00A87E36">
        <w:rPr>
          <w:szCs w:val="22"/>
        </w:rPr>
        <w:t>September 20, 2013;</w:t>
      </w:r>
      <w:r>
        <w:rPr>
          <w:rStyle w:val="FootnoteReference"/>
          <w:szCs w:val="22"/>
        </w:rPr>
        <w:footnoteReference w:id="4"/>
      </w:r>
      <w:r w:rsidRPr="00A87E36">
        <w:rPr>
          <w:szCs w:val="22"/>
        </w:rPr>
        <w:t xml:space="preserve"> </w:t>
      </w:r>
      <w:r w:rsidRPr="792E1126">
        <w:t xml:space="preserve">for FY </w:t>
      </w:r>
      <w:r>
        <w:t>2014</w:t>
      </w:r>
      <w:r w:rsidRPr="792E1126">
        <w:t xml:space="preserve">, it was </w:t>
      </w:r>
      <w:r w:rsidRPr="00E938BF">
        <w:rPr>
          <w:szCs w:val="22"/>
        </w:rPr>
        <w:t>September</w:t>
      </w:r>
      <w:r>
        <w:rPr>
          <w:szCs w:val="22"/>
        </w:rPr>
        <w:t xml:space="preserve"> 23</w:t>
      </w:r>
      <w:r w:rsidRPr="00E938BF">
        <w:rPr>
          <w:szCs w:val="22"/>
        </w:rPr>
        <w:t xml:space="preserve">, </w:t>
      </w:r>
      <w:r>
        <w:rPr>
          <w:szCs w:val="22"/>
        </w:rPr>
        <w:t>2014;</w:t>
      </w:r>
      <w:r>
        <w:rPr>
          <w:rStyle w:val="FootnoteReference"/>
          <w:szCs w:val="22"/>
        </w:rPr>
        <w:footnoteReference w:id="5"/>
      </w:r>
      <w:r w:rsidRPr="008A536E">
        <w:rPr>
          <w:szCs w:val="22"/>
        </w:rPr>
        <w:t xml:space="preserve"> </w:t>
      </w:r>
      <w:r>
        <w:rPr>
          <w:szCs w:val="22"/>
        </w:rPr>
        <w:t>for FY 2015, it was September 24, 2015;</w:t>
      </w:r>
      <w:r>
        <w:rPr>
          <w:rStyle w:val="FootnoteReference"/>
          <w:szCs w:val="22"/>
        </w:rPr>
        <w:footnoteReference w:id="6"/>
      </w:r>
      <w:r>
        <w:rPr>
          <w:szCs w:val="22"/>
        </w:rPr>
        <w:t xml:space="preserve"> for FY 2016, it was September 27, 2016;</w:t>
      </w:r>
      <w:r>
        <w:rPr>
          <w:rStyle w:val="FootnoteReference"/>
          <w:szCs w:val="22"/>
        </w:rPr>
        <w:footnoteReference w:id="7"/>
      </w:r>
      <w:r>
        <w:rPr>
          <w:szCs w:val="22"/>
        </w:rPr>
        <w:t xml:space="preserve"> for FY 2017, it was September 26, 2017;</w:t>
      </w:r>
      <w:r>
        <w:rPr>
          <w:rStyle w:val="FootnoteReference"/>
          <w:szCs w:val="22"/>
        </w:rPr>
        <w:footnoteReference w:id="8"/>
      </w:r>
      <w:r>
        <w:rPr>
          <w:szCs w:val="22"/>
        </w:rPr>
        <w:t xml:space="preserve"> </w:t>
      </w:r>
      <w:r w:rsidRPr="792E1126">
        <w:t xml:space="preserve">for FY </w:t>
      </w:r>
      <w:r>
        <w:t>2018</w:t>
      </w:r>
      <w:r w:rsidRPr="792E1126">
        <w:t xml:space="preserve">, it was </w:t>
      </w:r>
      <w:r w:rsidRPr="004371FB">
        <w:t xml:space="preserve">September </w:t>
      </w:r>
      <w:r>
        <w:t>25,</w:t>
      </w:r>
      <w:r w:rsidRPr="004371FB">
        <w:t xml:space="preserve"> </w:t>
      </w:r>
      <w:r>
        <w:t>2018</w:t>
      </w:r>
      <w:r w:rsidR="00FD7100">
        <w:t>;</w:t>
      </w:r>
      <w:r>
        <w:rPr>
          <w:rStyle w:val="FootnoteReference"/>
          <w:szCs w:val="22"/>
        </w:rPr>
        <w:footnoteReference w:id="9"/>
      </w:r>
      <w:r>
        <w:rPr>
          <w:szCs w:val="22"/>
        </w:rPr>
        <w:t xml:space="preserve"> </w:t>
      </w:r>
      <w:r w:rsidR="00FD7100">
        <w:rPr>
          <w:szCs w:val="22"/>
        </w:rPr>
        <w:t>and for FY 2019, it was September 27, 2019.</w:t>
      </w:r>
      <w:r>
        <w:rPr>
          <w:rStyle w:val="FootnoteReference"/>
          <w:szCs w:val="22"/>
        </w:rPr>
        <w:footnoteReference w:id="10"/>
      </w:r>
      <w:r w:rsidRPr="792E1126">
        <w:t xml:space="preserve">  When </w:t>
      </w:r>
      <w:r>
        <w:t>Licensee</w:t>
      </w:r>
      <w:r w:rsidRPr="792E1126">
        <w:t xml:space="preserve"> failed to pay</w:t>
      </w:r>
      <w:r>
        <w:t xml:space="preserve"> </w:t>
      </w:r>
      <w:r w:rsidRPr="009F02C1">
        <w:t xml:space="preserve">its regulatory fees by </w:t>
      </w:r>
      <w:r w:rsidRPr="009F02C1">
        <w:t>these deadlines</w:t>
      </w:r>
      <w:r w:rsidRPr="792E1126">
        <w:t>, the Commission assessed charges that included the statutory late</w:t>
      </w:r>
      <w:r>
        <w:t xml:space="preserve"> </w:t>
      </w:r>
      <w:r w:rsidRPr="792E1126">
        <w:t>paymen</w:t>
      </w:r>
      <w:r>
        <w:t>t penalty required by</w:t>
      </w:r>
      <w:r w:rsidRPr="792E1126">
        <w:rPr>
          <w:rStyle w:val="FootnoteReference"/>
        </w:rPr>
        <w:t xml:space="preserve"> </w:t>
      </w:r>
      <w:r w:rsidRPr="792E1126">
        <w:t>the Act</w:t>
      </w:r>
      <w:r>
        <w:rPr>
          <w:rStyle w:val="FootnoteReference"/>
        </w:rPr>
        <w:footnoteReference w:id="11"/>
      </w:r>
      <w:r w:rsidRPr="792E1126">
        <w:t xml:space="preserve"> and </w:t>
      </w:r>
      <w:r w:rsidRPr="00352F08">
        <w:t>Sections 1.1157(c)(1) and 1.1164 of</w:t>
      </w:r>
      <w:r w:rsidRPr="792E1126">
        <w:t xml:space="preserve"> the </w:t>
      </w:r>
      <w:r>
        <w:t>Rules</w:t>
      </w:r>
      <w:r w:rsidRPr="792E1126">
        <w:t>,</w:t>
      </w:r>
      <w:r>
        <w:rPr>
          <w:rStyle w:val="FootnoteReference"/>
        </w:rPr>
        <w:footnoteReference w:id="12"/>
      </w:r>
      <w:r w:rsidRPr="792E1126">
        <w:t xml:space="preserve"> and interest, penalties, and </w:t>
      </w:r>
      <w:r>
        <w:t xml:space="preserve">administrative costs </w:t>
      </w:r>
      <w:r w:rsidRPr="0028716D">
        <w:t>required by Section 3717 of Title 31 of the U.S. Code and Section 1.1940 of the Rules.</w:t>
      </w:r>
      <w:r>
        <w:rPr>
          <w:rStyle w:val="FootnoteReference"/>
        </w:rPr>
        <w:footnoteReference w:id="13"/>
      </w:r>
      <w:r w:rsidRPr="0028716D">
        <w:rPr>
          <w:sz w:val="24"/>
          <w:szCs w:val="24"/>
        </w:rPr>
        <w:t xml:space="preserve">  </w:t>
      </w:r>
    </w:p>
    <w:p w:rsidR="00C80783" w:rsidRPr="00EF15C7" w:rsidP="00C80783" w14:paraId="093D6B89" w14:textId="7EC1DA7B">
      <w:pPr>
        <w:pStyle w:val="ParaNum"/>
        <w:rPr>
          <w:spacing w:val="-2"/>
        </w:rPr>
      </w:pPr>
      <w:r>
        <w:rPr>
          <w:szCs w:val="24"/>
        </w:rPr>
        <w:t>The Commission’s records show that Licensee currently has unpaid regulatory fees of $2,247.08 for FY 2013; $2,167.76 for FY 2014; $2,145.31 for FY 2015; $1,936.24 for FY 2016; $2,059.24 for FY 2017; $</w:t>
      </w:r>
      <w:r w:rsidR="002966E5">
        <w:rPr>
          <w:szCs w:val="24"/>
        </w:rPr>
        <w:t>1,721.68</w:t>
      </w:r>
      <w:r>
        <w:rPr>
          <w:szCs w:val="24"/>
        </w:rPr>
        <w:t xml:space="preserve"> for FY 2018</w:t>
      </w:r>
      <w:r w:rsidR="002966E5">
        <w:rPr>
          <w:szCs w:val="24"/>
        </w:rPr>
        <w:t xml:space="preserve"> and $1,871.60 for FY 2019</w:t>
      </w:r>
      <w:r>
        <w:rPr>
          <w:szCs w:val="24"/>
        </w:rPr>
        <w:t xml:space="preserve">.  Additional charges will continue to accrue on these debts until they are paid in full.  </w:t>
      </w:r>
      <w:r w:rsidRPr="00B32BFC">
        <w:rPr>
          <w:szCs w:val="24"/>
        </w:rPr>
        <w:t>Demand Letter</w:t>
      </w:r>
      <w:r>
        <w:rPr>
          <w:szCs w:val="24"/>
        </w:rPr>
        <w:t>s,</w:t>
      </w:r>
      <w:r w:rsidRPr="00853173">
        <w:rPr>
          <w:szCs w:val="24"/>
        </w:rPr>
        <w:t xml:space="preserve"> </w:t>
      </w:r>
      <w:r>
        <w:rPr>
          <w:szCs w:val="24"/>
        </w:rPr>
        <w:t>which demanded payment of Licensee’s delinquent regulatory fees,</w:t>
      </w:r>
      <w:r w:rsidRPr="00B32BFC">
        <w:rPr>
          <w:szCs w:val="24"/>
        </w:rPr>
        <w:t xml:space="preserve"> </w:t>
      </w:r>
      <w:r>
        <w:rPr>
          <w:szCs w:val="24"/>
        </w:rPr>
        <w:t>were</w:t>
      </w:r>
      <w:r w:rsidRPr="00B32BFC">
        <w:rPr>
          <w:szCs w:val="24"/>
        </w:rPr>
        <w:t xml:space="preserve"> </w:t>
      </w:r>
      <w:r>
        <w:rPr>
          <w:szCs w:val="24"/>
        </w:rPr>
        <w:t xml:space="preserve">previously </w:t>
      </w:r>
      <w:r w:rsidRPr="00B32BFC">
        <w:rPr>
          <w:szCs w:val="24"/>
        </w:rPr>
        <w:t xml:space="preserve">sent to </w:t>
      </w:r>
      <w:r>
        <w:rPr>
          <w:szCs w:val="24"/>
        </w:rPr>
        <w:t>Licen</w:t>
      </w:r>
      <w:bookmarkStart w:id="1" w:name="_GoBack"/>
      <w:bookmarkEnd w:id="1"/>
      <w:r>
        <w:rPr>
          <w:szCs w:val="24"/>
        </w:rPr>
        <w:t>see</w:t>
      </w:r>
      <w:r w:rsidRPr="00B32BFC">
        <w:rPr>
          <w:szCs w:val="24"/>
        </w:rPr>
        <w:t>.</w:t>
      </w:r>
      <w:r>
        <w:rPr>
          <w:rStyle w:val="FootnoteReference"/>
          <w:szCs w:val="24"/>
        </w:rPr>
        <w:footnoteReference w:id="14"/>
      </w:r>
      <w:r w:rsidRPr="00B32BFC">
        <w:rPr>
          <w:szCs w:val="24"/>
        </w:rPr>
        <w:t xml:space="preserve">  </w:t>
      </w:r>
      <w:r>
        <w:rPr>
          <w:szCs w:val="24"/>
        </w:rPr>
        <w:t>When Licensee</w:t>
      </w:r>
      <w:r w:rsidRPr="00B32BFC">
        <w:rPr>
          <w:szCs w:val="24"/>
        </w:rPr>
        <w:t xml:space="preserve"> did </w:t>
      </w:r>
      <w:r>
        <w:rPr>
          <w:szCs w:val="24"/>
        </w:rPr>
        <w:t>not pay</w:t>
      </w:r>
      <w:r w:rsidRPr="00EF15C7">
        <w:rPr>
          <w:szCs w:val="24"/>
        </w:rPr>
        <w:t xml:space="preserve"> </w:t>
      </w:r>
      <w:r>
        <w:rPr>
          <w:szCs w:val="24"/>
        </w:rPr>
        <w:t xml:space="preserve">its unpaid </w:t>
      </w:r>
      <w:r w:rsidRPr="00EF15C7">
        <w:rPr>
          <w:szCs w:val="24"/>
        </w:rPr>
        <w:t>regulatory fee</w:t>
      </w:r>
      <w:r>
        <w:rPr>
          <w:szCs w:val="24"/>
        </w:rPr>
        <w:t xml:space="preserve"> debts, the Commission </w:t>
      </w:r>
      <w:r w:rsidRPr="00EF15C7">
        <w:rPr>
          <w:szCs w:val="24"/>
        </w:rPr>
        <w:t xml:space="preserve">transferred </w:t>
      </w:r>
      <w:r w:rsidR="00CF27B1">
        <w:rPr>
          <w:szCs w:val="24"/>
        </w:rPr>
        <w:t xml:space="preserve">most of </w:t>
      </w:r>
      <w:r>
        <w:rPr>
          <w:szCs w:val="24"/>
        </w:rPr>
        <w:t>that debt to</w:t>
      </w:r>
      <w:r w:rsidRPr="00EF15C7">
        <w:rPr>
          <w:szCs w:val="24"/>
        </w:rPr>
        <w:t xml:space="preserve"> the Secretary of Treasury </w:t>
      </w:r>
      <w:r>
        <w:rPr>
          <w:szCs w:val="24"/>
        </w:rPr>
        <w:t xml:space="preserve">at the Treasury Department </w:t>
      </w:r>
      <w:r w:rsidRPr="00EF15C7">
        <w:rPr>
          <w:szCs w:val="24"/>
        </w:rPr>
        <w:t>for collection.</w:t>
      </w:r>
      <w:r>
        <w:rPr>
          <w:rStyle w:val="FootnoteReference"/>
          <w:szCs w:val="24"/>
        </w:rPr>
        <w:footnoteReference w:id="15"/>
      </w:r>
      <w:r w:rsidRPr="00EF15C7">
        <w:rPr>
          <w:szCs w:val="24"/>
        </w:rPr>
        <w:t xml:space="preserve">  </w:t>
      </w:r>
      <w:r>
        <w:rPr>
          <w:szCs w:val="24"/>
        </w:rPr>
        <w:t>At the Commission’s request, and in order to consolidate the collection process, the Secretary of the Treasury has returned all of the previously transferred regulatory fee debt to the Commission for further collection.</w:t>
      </w:r>
    </w:p>
    <w:p w:rsidR="00C80783" w:rsidRPr="003E185A" w:rsidP="00C80783" w14:paraId="145313A8" w14:textId="77777777">
      <w:pPr>
        <w:pStyle w:val="ParaNum"/>
        <w:widowControl/>
        <w:rPr>
          <w:spacing w:val="-2"/>
        </w:rPr>
      </w:pPr>
      <w:r>
        <w:rPr>
          <w:szCs w:val="24"/>
        </w:rPr>
        <w:t>In addition to financial penalties, Section 9A(c)(4) of the Act,</w:t>
      </w:r>
      <w:r>
        <w:rPr>
          <w:rStyle w:val="FootnoteReference"/>
          <w:szCs w:val="24"/>
        </w:rPr>
        <w:footnoteReference w:id="16"/>
      </w:r>
      <w:r>
        <w:rPr>
          <w:szCs w:val="24"/>
        </w:rPr>
        <w:t xml:space="preserve"> and Section 1.1164(f) of the Rules</w:t>
      </w:r>
      <w:r>
        <w:rPr>
          <w:rStyle w:val="FootnoteReference"/>
          <w:szCs w:val="24"/>
        </w:rPr>
        <w:footnoteReference w:id="17"/>
      </w:r>
      <w:r>
        <w:rPr>
          <w:szCs w:val="24"/>
        </w:rPr>
        <w:t xml:space="preserve"> grant the FCC the authority to revoke authorizations for failure to pay regulatory fees (or related interest and penalties) in a timely fashion. </w:t>
      </w:r>
      <w:r w:rsidRPr="008B4A78">
        <w:rPr>
          <w:szCs w:val="24"/>
        </w:rPr>
        <w:t xml:space="preserve"> Accordingly, we require </w:t>
      </w:r>
      <w:r>
        <w:rPr>
          <w:szCs w:val="24"/>
        </w:rPr>
        <w:t>Licensee</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debt</w:t>
      </w:r>
      <w:r w:rsidRPr="008B4A78">
        <w:rPr>
          <w:szCs w:val="24"/>
        </w:rPr>
        <w:t xml:space="preserve"> has been made in accordance with Section 1.1164(a) of the Rules,</w:t>
      </w:r>
      <w:r>
        <w:rPr>
          <w:rStyle w:val="FootnoteReference"/>
          <w:szCs w:val="24"/>
        </w:rPr>
        <w:footnoteReference w:id="18"/>
      </w:r>
      <w:r w:rsidRPr="008B4A78">
        <w:rPr>
          <w:szCs w:val="24"/>
        </w:rPr>
        <w:t xml:space="preserve"> or show cause why the payment is inapplicable or should be waived or deferred.</w:t>
      </w:r>
      <w:r>
        <w:rPr>
          <w:rStyle w:val="FootnoteReference"/>
          <w:szCs w:val="22"/>
        </w:rPr>
        <w:footnoteReference w:id="19"/>
      </w:r>
      <w:r>
        <w:t xml:space="preserve">  Licensee is hereby notified that f</w:t>
      </w:r>
      <w:r w:rsidRPr="008B4A78">
        <w:rPr>
          <w:szCs w:val="24"/>
        </w:rPr>
        <w:t xml:space="preserve">ailure to provide such evidence of payment or to show cause within the time specified may result in revocation of </w:t>
      </w:r>
      <w:r>
        <w:rPr>
          <w:szCs w:val="24"/>
        </w:rPr>
        <w:t>Licensee’s</w:t>
      </w:r>
      <w:r w:rsidRPr="008B4A78">
        <w:rPr>
          <w:szCs w:val="24"/>
        </w:rPr>
        <w:t xml:space="preserve"> license for</w:t>
      </w:r>
      <w:r>
        <w:rPr>
          <w:szCs w:val="24"/>
        </w:rPr>
        <w:t xml:space="preserve"> the Station</w:t>
      </w:r>
      <w:r w:rsidRPr="008B4A78">
        <w:rPr>
          <w:szCs w:val="24"/>
        </w:rPr>
        <w:t xml:space="preserve">.  </w:t>
      </w:r>
    </w:p>
    <w:p w:rsidR="00C80783" w:rsidRPr="008A536E" w:rsidP="00C80783" w14:paraId="5225BFF0" w14:textId="77777777">
      <w:pPr>
        <w:pStyle w:val="ParaNum"/>
        <w:widowControl/>
        <w:rPr>
          <w:spacing w:val="-2"/>
        </w:rPr>
      </w:pPr>
      <w:r>
        <w:rPr>
          <w:szCs w:val="24"/>
        </w:rPr>
        <w:t>Under Section 9A(c)(4)(C) of the Act and Section 1.1164(f),</w:t>
      </w:r>
      <w:r>
        <w:rPr>
          <w:rStyle w:val="FootnoteReference"/>
          <w:szCs w:val="24"/>
        </w:rPr>
        <w:footnoteReference w:id="20"/>
      </w:r>
      <w:r>
        <w:rPr>
          <w:szCs w:val="24"/>
        </w:rPr>
        <w:t xml:space="preserve"> an adjudicatory hearing will not be designated unless Licensee presents a substantial and material question of fact.  Further, disposition of any adjudicatory hearing will be based upon written evidence only, and Licensee will bear the burden to introduce evidence and to provide proof in any such hearing.</w:t>
      </w:r>
      <w:r>
        <w:rPr>
          <w:rStyle w:val="FootnoteReference"/>
          <w:szCs w:val="24"/>
        </w:rPr>
        <w:footnoteReference w:id="21"/>
      </w:r>
      <w:r>
        <w:rPr>
          <w:szCs w:val="24"/>
        </w:rPr>
        <w:t xml:space="preserve"> </w:t>
      </w:r>
    </w:p>
    <w:p w:rsidR="00C80783" w:rsidRPr="007D14BD" w:rsidP="00C80783" w14:paraId="0D4144F7" w14:textId="77777777">
      <w:pPr>
        <w:pStyle w:val="ParaNum"/>
        <w:widowControl/>
        <w:rPr>
          <w:spacing w:val="-2"/>
        </w:rPr>
      </w:pPr>
      <w:r>
        <w:rPr>
          <w:szCs w:val="24"/>
        </w:rPr>
        <w:t xml:space="preserve">To the extent that Licensee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C80783" w:rsidRPr="0031542D" w:rsidP="00C80783" w14:paraId="1BFF64FD" w14:textId="77777777">
      <w:pPr>
        <w:pStyle w:val="Heading1"/>
        <w:rPr>
          <w:color w:val="000000"/>
          <w:spacing w:val="-2"/>
        </w:rPr>
      </w:pPr>
      <w:r w:rsidRPr="0031542D">
        <w:rPr>
          <w:color w:val="000000"/>
        </w:rPr>
        <w:t>ORDERING CLAUSES</w:t>
      </w:r>
    </w:p>
    <w:p w:rsidR="00C80783" w:rsidRPr="00EC5ACC" w:rsidP="00C80783" w14:paraId="2FD20CA9" w14:textId="04DB979A">
      <w:pPr>
        <w:pStyle w:val="ParaNum"/>
        <w:widowControl/>
      </w:pPr>
      <w:r w:rsidRPr="00981F23">
        <w:t xml:space="preserve">Accordingly, </w:t>
      </w:r>
      <w:r w:rsidRPr="792E1126">
        <w:rPr>
          <w:b/>
          <w:bCs/>
        </w:rPr>
        <w:t>IT IS ORDERED</w:t>
      </w:r>
      <w:r>
        <w:t xml:space="preserve"> that, pursuant to Section 9A(c)(4) of the Act and S</w:t>
      </w:r>
      <w:r w:rsidRPr="00981F23">
        <w:t>ection</w:t>
      </w:r>
      <w:r>
        <w:t xml:space="preserve">s </w:t>
      </w:r>
      <w:r w:rsidRPr="00C01BE0">
        <w:t>0.61, 0.283, and 1.1164(f) of</w:t>
      </w:r>
      <w:r w:rsidRPr="00981F23">
        <w:t xml:space="preserve"> the</w:t>
      </w:r>
      <w:r>
        <w:t xml:space="preserve"> R</w:t>
      </w:r>
      <w:r w:rsidRPr="00981F23">
        <w:t>ules,</w:t>
      </w:r>
      <w:r>
        <w:rPr>
          <w:vertAlign w:val="superscript"/>
        </w:rPr>
        <w:footnoteReference w:id="22"/>
      </w:r>
      <w:r>
        <w:t xml:space="preserve"> </w:t>
      </w:r>
      <w:r>
        <w:rPr>
          <w:color w:val="000000"/>
          <w:spacing w:val="-2"/>
        </w:rPr>
        <w:t xml:space="preserve">Unidos Para </w:t>
      </w:r>
      <w:r>
        <w:rPr>
          <w:color w:val="000000"/>
          <w:spacing w:val="-2"/>
        </w:rPr>
        <w:t>Cristos</w:t>
      </w:r>
      <w:r>
        <w:t>, Inc.,</w:t>
      </w:r>
      <w:r w:rsidRPr="00981F23">
        <w:t xml:space="preserve"> is hereby </w:t>
      </w:r>
      <w:r w:rsidRPr="792E1126">
        <w:rPr>
          <w:b/>
          <w:bCs/>
        </w:rPr>
        <w:t xml:space="preserve">ORDERED TO PAY TO THE </w:t>
      </w:r>
      <w:r>
        <w:rPr>
          <w:b/>
          <w:bCs/>
        </w:rPr>
        <w:t xml:space="preserve">FEDERAL COMMUNICATIONS COMMISSION </w:t>
      </w:r>
      <w:r>
        <w:t xml:space="preserve">within sixty (60) calendar days of the date of this Order the outstanding regulatory fees for </w:t>
      </w:r>
      <w:r w:rsidR="00B7445A">
        <w:t>FY</w:t>
      </w:r>
      <w:r w:rsidR="007728C2">
        <w:t xml:space="preserve"> </w:t>
      </w:r>
      <w:r w:rsidR="00B7445A">
        <w:t>2013,</w:t>
      </w:r>
      <w:r>
        <w:t xml:space="preserve"> FY 2014, FY 2015, FY 2016, FY 2017, FY 2018</w:t>
      </w:r>
      <w:r w:rsidR="00B7445A">
        <w:t xml:space="preserve"> and FY 2019</w:t>
      </w:r>
      <w:r>
        <w:t xml:space="preserve">, </w:t>
      </w:r>
      <w:r w:rsidRPr="792E1126">
        <w:rPr>
          <w:b/>
          <w:bCs/>
        </w:rPr>
        <w:t>OR SHOW CAUSE</w:t>
      </w:r>
      <w:r>
        <w:t xml:space="preserve"> to the Commission within sixty (60) calendar days of the date of this Order why these regulatory fees are inapplicable or should otherwise be waived or deferred</w:t>
      </w:r>
      <w:r w:rsidRPr="00981F23">
        <w:t>.</w:t>
      </w:r>
      <w:r>
        <w:t xml:space="preserve">  </w:t>
      </w:r>
    </w:p>
    <w:p w:rsidR="00C80783" w:rsidRPr="00FB5148" w:rsidP="00C80783" w14:paraId="283C8590" w14:textId="77777777">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C80783" w:rsidP="00C80783" w14:paraId="34DCBACF" w14:textId="77777777">
      <w:pPr>
        <w:pStyle w:val="ParaNum"/>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C80783" w:rsidP="00C80783" w14:paraId="12F75458" w14:textId="77777777">
      <w:pPr>
        <w:pStyle w:val="ParaNum"/>
        <w:numPr>
          <w:ilvl w:val="0"/>
          <w:numId w:val="0"/>
        </w:numPr>
        <w:spacing w:after="0"/>
        <w:ind w:left="720"/>
        <w:rPr>
          <w:szCs w:val="22"/>
        </w:rPr>
      </w:pPr>
      <w:r>
        <w:rPr>
          <w:szCs w:val="22"/>
        </w:rPr>
        <w:t>OBI Field (skip one space between each information item)</w:t>
      </w:r>
    </w:p>
    <w:p w:rsidR="00C80783" w:rsidRPr="003A44A8" w:rsidP="00C80783" w14:paraId="356B6FD6" w14:textId="77777777">
      <w:pPr>
        <w:pStyle w:val="ParaNum"/>
        <w:numPr>
          <w:ilvl w:val="0"/>
          <w:numId w:val="0"/>
        </w:numPr>
        <w:spacing w:after="0"/>
        <w:ind w:left="720"/>
        <w:rPr>
          <w:i/>
          <w:iCs/>
          <w:szCs w:val="22"/>
        </w:rPr>
      </w:pPr>
    </w:p>
    <w:p w:rsidR="00C80783" w:rsidRPr="00FB5148" w:rsidP="00C80783" w14:paraId="75AE4399" w14:textId="77777777">
      <w:pPr>
        <w:pStyle w:val="ParaNum"/>
        <w:numPr>
          <w:ilvl w:val="0"/>
          <w:numId w:val="0"/>
        </w:numPr>
        <w:ind w:left="720"/>
        <w:rPr>
          <w:szCs w:val="22"/>
        </w:rPr>
      </w:pPr>
      <w:r>
        <w:rPr>
          <w:color w:val="000000"/>
          <w:spacing w:val="-2"/>
        </w:rPr>
        <w:t xml:space="preserve">Unidos Para </w:t>
      </w:r>
      <w:r>
        <w:rPr>
          <w:color w:val="000000"/>
          <w:spacing w:val="-2"/>
        </w:rPr>
        <w:t>Cristos</w:t>
      </w:r>
      <w:r>
        <w:t xml:space="preserve">, Inc., </w:t>
      </w:r>
      <w:r>
        <w:rPr>
          <w:szCs w:val="22"/>
        </w:rPr>
        <w:t xml:space="preserve">must provide the Payer FRN (if different than the FRN referenced above) and a contact phone number.  </w:t>
      </w:r>
      <w:r w:rsidRPr="00FB5148">
        <w:rPr>
          <w:szCs w:val="22"/>
        </w:rPr>
        <w:t> </w:t>
      </w:r>
    </w:p>
    <w:p w:rsidR="00C80783" w:rsidRPr="00EC5ACC" w:rsidP="00C80783" w14:paraId="39644323" w14:textId="77777777">
      <w:pPr>
        <w:spacing w:after="120" w:line="195" w:lineRule="atLeast"/>
        <w:ind w:left="720"/>
        <w:rPr>
          <w:color w:val="000000"/>
          <w:szCs w:val="22"/>
        </w:rPr>
      </w:pPr>
      <w:r>
        <w:rPr>
          <w:color w:val="000000"/>
          <w:spacing w:val="-2"/>
        </w:rPr>
        <w:t xml:space="preserve">Unidos Para </w:t>
      </w:r>
      <w:r>
        <w:rPr>
          <w:color w:val="000000"/>
          <w:spacing w:val="-2"/>
        </w:rPr>
        <w:t>Cristos</w:t>
      </w:r>
      <w:r>
        <w:t xml:space="preserve">, Inc., </w:t>
      </w:r>
      <w:r>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C80783" w:rsidRPr="007A510C" w:rsidP="00C80783" w14:paraId="5670679C" w14:textId="2E44312E">
      <w:pPr>
        <w:pStyle w:val="ParaNum"/>
        <w:rPr>
          <w:spacing w:val="-2"/>
        </w:rPr>
      </w:pPr>
      <w:r w:rsidRPr="00DE7769">
        <w:rPr>
          <w:b/>
        </w:rPr>
        <w:t>IT IS FURTHER ORDERED</w:t>
      </w:r>
      <w:r>
        <w:t xml:space="preserve"> that</w:t>
      </w:r>
      <w:r w:rsidRPr="00C41587">
        <w:t xml:space="preserve"> </w:t>
      </w:r>
      <w:r>
        <w:rPr>
          <w:color w:val="000000"/>
          <w:spacing w:val="-2"/>
        </w:rPr>
        <w:t xml:space="preserve">Unidos Para </w:t>
      </w:r>
      <w:r>
        <w:rPr>
          <w:color w:val="000000"/>
          <w:spacing w:val="-2"/>
        </w:rPr>
        <w:t>Cristos</w:t>
      </w:r>
      <w:r>
        <w:t>, Inc., 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r w:rsidRPr="00146FDA">
        <w:rPr>
          <w:szCs w:val="22"/>
        </w:rPr>
        <w:t xml:space="preserve">When completing the </w:t>
      </w:r>
      <w:r>
        <w:rPr>
          <w:szCs w:val="22"/>
        </w:rPr>
        <w:t xml:space="preserve">FCC </w:t>
      </w:r>
      <w:r w:rsidRPr="00146FDA">
        <w:rPr>
          <w:szCs w:val="22"/>
        </w:rPr>
        <w:t>Form 159,</w:t>
      </w:r>
      <w:r>
        <w:rPr>
          <w:szCs w:val="22"/>
        </w:rPr>
        <w:t xml:space="preserve"> </w:t>
      </w:r>
      <w:r>
        <w:rPr>
          <w:color w:val="000000"/>
          <w:spacing w:val="-2"/>
        </w:rPr>
        <w:t xml:space="preserve">Unidos Para </w:t>
      </w:r>
      <w:r>
        <w:rPr>
          <w:color w:val="000000"/>
          <w:spacing w:val="-2"/>
        </w:rPr>
        <w:t>Cristos</w:t>
      </w:r>
      <w:r>
        <w:t xml:space="preserve">, Inc., </w:t>
      </w:r>
      <w:r w:rsidRPr="00C936E7">
        <w:rPr>
          <w:szCs w:val="22"/>
        </w:rPr>
        <w:t xml:space="preserve">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sidRPr="00B7445A">
        <w:rPr>
          <w:szCs w:val="22"/>
        </w:rPr>
        <w:t>13</w:t>
      </w:r>
      <w:r w:rsidR="00CF27B1">
        <w:rPr>
          <w:szCs w:val="22"/>
        </w:rPr>
        <w:t>37</w:t>
      </w:r>
      <w:r w:rsidRPr="00B7445A">
        <w:rPr>
          <w:szCs w:val="22"/>
        </w:rPr>
        <w:t xml:space="preserve"> (for FY 2013), </w:t>
      </w:r>
      <w:r w:rsidR="00CF27B1">
        <w:rPr>
          <w:szCs w:val="22"/>
        </w:rPr>
        <w:t>1437</w:t>
      </w:r>
      <w:r w:rsidRPr="00B7445A">
        <w:rPr>
          <w:szCs w:val="22"/>
        </w:rPr>
        <w:t xml:space="preserve"> (for FY 2014), 15</w:t>
      </w:r>
      <w:r w:rsidR="00CF27B1">
        <w:rPr>
          <w:szCs w:val="22"/>
        </w:rPr>
        <w:t>1537</w:t>
      </w:r>
      <w:r w:rsidRPr="00B7445A">
        <w:rPr>
          <w:szCs w:val="22"/>
        </w:rPr>
        <w:t xml:space="preserve"> (for FY 2015), 16</w:t>
      </w:r>
      <w:r w:rsidR="00CF27B1">
        <w:rPr>
          <w:szCs w:val="22"/>
        </w:rPr>
        <w:t>37</w:t>
      </w:r>
      <w:r w:rsidRPr="00B7445A">
        <w:rPr>
          <w:szCs w:val="22"/>
        </w:rPr>
        <w:t xml:space="preserve"> (for FY 2016), 17</w:t>
      </w:r>
      <w:r w:rsidR="00CF27B1">
        <w:rPr>
          <w:szCs w:val="22"/>
        </w:rPr>
        <w:t>37</w:t>
      </w:r>
      <w:r w:rsidRPr="00B7445A">
        <w:rPr>
          <w:szCs w:val="22"/>
        </w:rPr>
        <w:t xml:space="preserve"> for FY 2017, 18</w:t>
      </w:r>
      <w:r w:rsidR="00CF27B1">
        <w:rPr>
          <w:szCs w:val="22"/>
        </w:rPr>
        <w:t>37</w:t>
      </w:r>
      <w:r w:rsidRPr="00B7445A">
        <w:rPr>
          <w:szCs w:val="22"/>
        </w:rPr>
        <w:t xml:space="preserve"> (for FY 2018)</w:t>
      </w:r>
      <w:r w:rsidR="00CF27B1">
        <w:rPr>
          <w:szCs w:val="22"/>
        </w:rPr>
        <w:t xml:space="preserve"> and 1937 (for FY 2019)</w:t>
      </w:r>
      <w:r w:rsidRPr="00B7445A">
        <w:rPr>
          <w:szCs w:val="22"/>
        </w:rPr>
        <w:t>.</w:t>
      </w:r>
    </w:p>
    <w:p w:rsidR="00C80783" w:rsidRPr="00981F23" w:rsidP="00C80783" w14:paraId="3143B9F8" w14:textId="77777777">
      <w:pPr>
        <w:pStyle w:val="ParaNum"/>
        <w:keepNext/>
        <w:keepLines/>
        <w:spacing w:after="0"/>
      </w:pPr>
      <w:r w:rsidRPr="792E1126">
        <w:rPr>
          <w:b/>
          <w:bCs/>
        </w:rPr>
        <w:t xml:space="preserve">IT IS FURTHER ORDERED </w:t>
      </w:r>
      <w:r>
        <w:t xml:space="preserve">that a copy of this Order shall be sent by registered mail, return receipt requested, to </w:t>
      </w:r>
      <w:r>
        <w:rPr>
          <w:color w:val="000000"/>
          <w:spacing w:val="-2"/>
        </w:rPr>
        <w:t xml:space="preserve">Unidos Para </w:t>
      </w:r>
      <w:r>
        <w:rPr>
          <w:color w:val="000000"/>
          <w:spacing w:val="-2"/>
        </w:rPr>
        <w:t>Cristos</w:t>
      </w:r>
      <w:r>
        <w:t>, Inc, 2909 North Prince, Clovis, NM 88101, and its counsel, Todd A. Steiner, Esq., PO Box 751, Woodstock, VA 22664</w:t>
      </w:r>
      <w:r w:rsidRPr="00BB4F6F">
        <w:rPr>
          <w:szCs w:val="22"/>
        </w:rPr>
        <w:t>.</w:t>
      </w:r>
    </w:p>
    <w:p w:rsidR="00C80783" w:rsidRPr="0031542D" w:rsidP="00C80783" w14:paraId="0E4220F6" w14:textId="77777777">
      <w:pPr>
        <w:keepNext/>
        <w:keepLines/>
        <w:rPr>
          <w:color w:val="000000"/>
        </w:rPr>
      </w:pPr>
    </w:p>
    <w:p w:rsidR="00C80783" w:rsidRPr="0031542D" w:rsidP="00C80783" w14:paraId="19F723E2" w14:textId="77777777">
      <w:pPr>
        <w:keepNext/>
        <w:keepLines/>
        <w:spacing w:before="240"/>
        <w:ind w:left="4320"/>
        <w:rPr>
          <w:color w:val="000000"/>
        </w:rPr>
      </w:pPr>
      <w:r w:rsidRPr="0031542D">
        <w:rPr>
          <w:color w:val="000000"/>
        </w:rPr>
        <w:t>FEDERAL COMMUNICATIONS COMMISSION</w:t>
      </w:r>
    </w:p>
    <w:p w:rsidR="00C80783" w:rsidRPr="0031542D" w:rsidP="00C80783" w14:paraId="39285684" w14:textId="77777777">
      <w:pPr>
        <w:keepNext/>
        <w:keepLines/>
        <w:ind w:left="4320"/>
        <w:rPr>
          <w:color w:val="000000"/>
        </w:rPr>
      </w:pPr>
    </w:p>
    <w:p w:rsidR="00C80783" w:rsidRPr="0031542D" w:rsidP="00C80783" w14:paraId="5B8BCF62" w14:textId="77777777">
      <w:pPr>
        <w:keepNext/>
        <w:keepLines/>
        <w:ind w:left="4320"/>
        <w:rPr>
          <w:color w:val="000000"/>
        </w:rPr>
      </w:pPr>
    </w:p>
    <w:p w:rsidR="00C80783" w:rsidRPr="0031542D" w:rsidP="00C80783" w14:paraId="1D9FBCBE" w14:textId="77777777">
      <w:pPr>
        <w:keepNext/>
        <w:keepLines/>
        <w:ind w:left="4320"/>
        <w:rPr>
          <w:color w:val="000000"/>
        </w:rPr>
      </w:pPr>
    </w:p>
    <w:p w:rsidR="00C80783" w:rsidP="00C80783" w14:paraId="14188C35"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C80783" w:rsidP="00C80783" w14:paraId="0CC7962A" w14:textId="77777777">
      <w:pPr>
        <w:ind w:left="4320"/>
      </w:pPr>
      <w:r>
        <w:t>Michelle M. Carey</w:t>
      </w:r>
    </w:p>
    <w:p w:rsidR="00C80783" w:rsidP="00C80783" w14:paraId="5FD8729E" w14:textId="77777777">
      <w:pPr>
        <w:ind w:left="4320"/>
      </w:pPr>
      <w:r>
        <w:t>Chief, Media Bureau</w:t>
      </w:r>
    </w:p>
    <w:p w:rsidR="00C80783" w:rsidP="00C80783" w14:paraId="0DB1FB6E" w14:textId="77777777">
      <w:pPr>
        <w:ind w:left="4320"/>
      </w:pPr>
    </w:p>
    <w:p w:rsidR="00C80783" w:rsidP="00C80783" w14:paraId="0007713F" w14:textId="77777777">
      <w:pPr>
        <w:ind w:left="4320"/>
      </w:pPr>
    </w:p>
    <w:p w:rsidR="00C80783" w:rsidP="00C80783" w14:paraId="38903FE6" w14:textId="77777777">
      <w:pPr>
        <w:ind w:left="4320"/>
      </w:pPr>
    </w:p>
    <w:p w:rsidR="00C80783" w:rsidP="00C80783" w14:paraId="10F0355F" w14:textId="77777777">
      <w:pPr>
        <w:ind w:left="4320"/>
      </w:pPr>
    </w:p>
    <w:p w:rsidR="00C80783" w:rsidP="00C80783" w14:paraId="6A3C4451" w14:textId="77777777">
      <w:pPr>
        <w:ind w:left="4320"/>
      </w:pPr>
      <w:r>
        <w:t>Mark Stephens, Managing Director</w:t>
      </w:r>
    </w:p>
    <w:p w:rsidR="00C80783" w:rsidRPr="00E11550" w:rsidP="00C80783" w14:paraId="2515CA38" w14:textId="77777777">
      <w:pPr>
        <w:ind w:left="4320"/>
      </w:pPr>
      <w:r>
        <w:t>Office of Managing Director</w:t>
      </w:r>
    </w:p>
    <w:p w:rsidR="00F72607" w14:paraId="4FFB844F" w14:textId="77777777"/>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7B756FB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634C7A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7961BB75"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0A633B" w:rsidRPr="00EF1757" w:rsidP="00537DB1" w14:paraId="3561759C"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2687ED3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191" w:rsidP="00C80783" w14:paraId="70D950BA" w14:textId="77777777">
      <w:r>
        <w:separator/>
      </w:r>
    </w:p>
  </w:footnote>
  <w:footnote w:type="continuationSeparator" w:id="1">
    <w:p w:rsidR="00452191" w:rsidP="00C80783" w14:paraId="441DF8A4" w14:textId="77777777">
      <w:r>
        <w:continuationSeparator/>
      </w:r>
    </w:p>
  </w:footnote>
  <w:footnote w:id="2">
    <w:p w:rsidR="00C80783" w:rsidRPr="004E0214" w:rsidP="00C80783" w14:paraId="35877D52" w14:textId="77777777">
      <w:pPr>
        <w:pStyle w:val="FootnoteText"/>
      </w:pPr>
      <w:r w:rsidRPr="004E0214">
        <w:rPr>
          <w:rStyle w:val="FootnoteReference"/>
        </w:rPr>
        <w:footnoteRef/>
      </w:r>
      <w:r w:rsidRPr="004E0214">
        <w:t xml:space="preserve"> 47 U.S.C. §</w:t>
      </w:r>
      <w:r>
        <w:t xml:space="preserve"> </w:t>
      </w:r>
      <w:r w:rsidRPr="004E0214">
        <w:t xml:space="preserve">159(a)(1); </w:t>
      </w:r>
      <w:r>
        <w:t xml:space="preserve">47 CFR </w:t>
      </w:r>
      <w:r w:rsidRPr="00141957">
        <w:t>§§</w:t>
      </w:r>
      <w:r>
        <w:t xml:space="preserve"> 1.1151-1.1167</w:t>
      </w:r>
      <w:r w:rsidRPr="004E0214">
        <w:t>.</w:t>
      </w:r>
      <w:r>
        <w:t xml:space="preserve">  </w:t>
      </w:r>
    </w:p>
  </w:footnote>
  <w:footnote w:id="3">
    <w:p w:rsidR="00C80783" w:rsidRPr="004E0214" w:rsidP="00C80783" w14:paraId="29DF87AF" w14:textId="7777777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4">
    <w:p w:rsidR="00C80783" w:rsidRPr="00A87E36" w:rsidP="00C80783" w14:paraId="686F156F" w14:textId="77777777">
      <w:pPr>
        <w:pStyle w:val="FootnoteText"/>
      </w:pPr>
      <w:r w:rsidRPr="00A87E36">
        <w:rPr>
          <w:rStyle w:val="FootnoteReference"/>
        </w:rPr>
        <w:footnoteRef/>
      </w:r>
      <w:r w:rsidRPr="00A87E36">
        <w:t xml:space="preserve"> </w:t>
      </w:r>
      <w:r w:rsidRPr="00A87E36">
        <w:rPr>
          <w:i/>
        </w:rPr>
        <w:t>See</w:t>
      </w:r>
      <w:r w:rsidRPr="00A87E36">
        <w:t xml:space="preserve"> </w:t>
      </w:r>
      <w:r w:rsidRPr="00A87E36">
        <w:rPr>
          <w:i/>
        </w:rPr>
        <w:t xml:space="preserve">Payment Methods and Procedures for Fiscal Year 2013 Regulatory Fees, </w:t>
      </w:r>
      <w:r w:rsidRPr="00A87E36">
        <w:t xml:space="preserve">Public Notice, 28 FCC </w:t>
      </w:r>
      <w:r w:rsidRPr="00A87E36">
        <w:t>Rcd</w:t>
      </w:r>
      <w:r w:rsidRPr="00A87E36">
        <w:t xml:space="preserve"> 12635 (OMD 2013).</w:t>
      </w:r>
    </w:p>
  </w:footnote>
  <w:footnote w:id="5">
    <w:p w:rsidR="00C80783" w:rsidRPr="00A87E36" w:rsidP="00C80783" w14:paraId="08963EA9" w14:textId="77777777">
      <w:pPr>
        <w:pStyle w:val="FootnoteText"/>
      </w:pPr>
      <w:r w:rsidRPr="00A87E36">
        <w:rPr>
          <w:rStyle w:val="FootnoteReference"/>
        </w:rPr>
        <w:footnoteRef/>
      </w:r>
      <w:r w:rsidRPr="00A87E36">
        <w:t xml:space="preserve"> </w:t>
      </w:r>
      <w:r w:rsidRPr="00A87E36">
        <w:rPr>
          <w:i/>
          <w:iCs/>
        </w:rPr>
        <w:t>See FY 2014 Regulatory Fees Due No Later Than September 23, 2014, 11:59 pm Eastern Time (ET)</w:t>
      </w:r>
      <w:r w:rsidRPr="00A87E36">
        <w:t xml:space="preserve">, Public Notice, 29 FCC </w:t>
      </w:r>
      <w:r w:rsidRPr="00A87E36">
        <w:t>Rcd</w:t>
      </w:r>
      <w:r w:rsidRPr="00A87E36">
        <w:t xml:space="preserve"> 10414 (OMD 2014).</w:t>
      </w:r>
    </w:p>
  </w:footnote>
  <w:footnote w:id="6">
    <w:p w:rsidR="00C80783" w:rsidRPr="00A87E36" w:rsidP="00C80783" w14:paraId="06EE8C20" w14:textId="77777777">
      <w:pPr>
        <w:pStyle w:val="FootnoteText"/>
      </w:pPr>
      <w:r w:rsidRPr="00A87E36">
        <w:rPr>
          <w:rStyle w:val="FootnoteReference"/>
        </w:rPr>
        <w:footnoteRef/>
      </w:r>
      <w:r w:rsidRPr="00A87E36">
        <w:t xml:space="preserve"> </w:t>
      </w:r>
      <w:r w:rsidRPr="00A87E36">
        <w:rPr>
          <w:i/>
          <w:iCs/>
        </w:rPr>
        <w:t>See</w:t>
      </w:r>
      <w:r w:rsidRPr="00A87E36">
        <w:t xml:space="preserve"> </w:t>
      </w:r>
      <w:r w:rsidRPr="00A87E36">
        <w:rPr>
          <w:i/>
          <w:iCs/>
        </w:rPr>
        <w:t xml:space="preserve">Payment Methods and Procedures for Fiscal Year 2015 Regulatory Fees, </w:t>
      </w:r>
      <w:r w:rsidRPr="00A87E36">
        <w:t xml:space="preserve">Public Notice, 30 FCC </w:t>
      </w:r>
      <w:r w:rsidRPr="00A87E36">
        <w:t>Rcd</w:t>
      </w:r>
      <w:r w:rsidRPr="00A87E36">
        <w:t xml:space="preserve"> 9941 (OMD 2015).</w:t>
      </w:r>
    </w:p>
  </w:footnote>
  <w:footnote w:id="7">
    <w:p w:rsidR="00C80783" w:rsidRPr="00A87E36" w:rsidP="00C80783" w14:paraId="088259FB" w14:textId="77777777">
      <w:pPr>
        <w:pStyle w:val="FootnoteText"/>
      </w:pPr>
      <w:r w:rsidRPr="00A87E36">
        <w:rPr>
          <w:rStyle w:val="FootnoteReference"/>
        </w:rPr>
        <w:footnoteRef/>
      </w:r>
      <w:r w:rsidRPr="00A87E36">
        <w:t xml:space="preserve"> </w:t>
      </w:r>
      <w:r w:rsidRPr="00A87E36">
        <w:rPr>
          <w:i/>
        </w:rPr>
        <w:t>See Payment Methods and Procedures for Fiscal Year 2016 Regulatory Fees</w:t>
      </w:r>
      <w:r w:rsidRPr="00A87E36">
        <w:t xml:space="preserve">, Public Notice, 2016 WL 4625515 (OMD Sep. 6, 2016).  </w:t>
      </w:r>
    </w:p>
  </w:footnote>
  <w:footnote w:id="8">
    <w:p w:rsidR="00C80783" w:rsidRPr="00A87E36" w:rsidP="00C80783" w14:paraId="0BC2A810" w14:textId="77777777">
      <w:pPr>
        <w:pStyle w:val="FootnoteText"/>
      </w:pPr>
      <w:r w:rsidRPr="00A87E36">
        <w:rPr>
          <w:rStyle w:val="FootnoteReference"/>
        </w:rPr>
        <w:footnoteRef/>
      </w:r>
      <w:r w:rsidRPr="00A87E36">
        <w:t xml:space="preserve"> </w:t>
      </w:r>
      <w:r w:rsidRPr="00A87E36">
        <w:rPr>
          <w:i/>
          <w:iCs/>
        </w:rPr>
        <w:t>See Payment Methods and Procedures for Fiscal Year 2017 Regulatory Fees</w:t>
      </w:r>
      <w:r w:rsidRPr="00A87E36">
        <w:t xml:space="preserve">, Public Notice, 2017 FCC LEXIS 2779 (2017).  </w:t>
      </w:r>
    </w:p>
  </w:footnote>
  <w:footnote w:id="9">
    <w:p w:rsidR="00C80783" w:rsidRPr="00A87E36" w:rsidP="00C80783" w14:paraId="45B611EE" w14:textId="77777777">
      <w:pPr>
        <w:widowControl/>
        <w:autoSpaceDE w:val="0"/>
        <w:autoSpaceDN w:val="0"/>
        <w:adjustRightInd w:val="0"/>
        <w:spacing w:after="120"/>
        <w:rPr>
          <w:rFonts w:ascii="TimesNewRomanPSMT" w:hAnsi="TimesNewRomanPSMT" w:cs="TimesNewRomanPSMT"/>
          <w:snapToGrid/>
          <w:color w:val="000000"/>
          <w:kern w:val="0"/>
          <w:sz w:val="20"/>
        </w:rPr>
      </w:pPr>
      <w:r w:rsidRPr="00A87E36">
        <w:rPr>
          <w:rStyle w:val="FootnoteReference"/>
        </w:rPr>
        <w:footnoteRef/>
      </w:r>
      <w:r w:rsidRPr="00A87E36">
        <w:rPr>
          <w:sz w:val="20"/>
        </w:rPr>
        <w:t xml:space="preserve"> </w:t>
      </w:r>
      <w:r w:rsidRPr="00A87E36">
        <w:rPr>
          <w:i/>
          <w:sz w:val="20"/>
        </w:rPr>
        <w:t xml:space="preserve">See </w:t>
      </w:r>
      <w:r w:rsidRPr="00A87E36">
        <w:rPr>
          <w:i/>
          <w:snapToGrid/>
          <w:color w:val="000000"/>
          <w:kern w:val="0"/>
          <w:sz w:val="20"/>
        </w:rPr>
        <w:t>Payment Methods and Procedures for Fiscal Year 2018 Regulatory Fees</w:t>
      </w:r>
      <w:r w:rsidRPr="00A87E36">
        <w:rPr>
          <w:snapToGrid/>
          <w:color w:val="000000"/>
          <w:kern w:val="0"/>
          <w:sz w:val="20"/>
        </w:rPr>
        <w:t xml:space="preserve">, Public Notice, </w:t>
      </w:r>
      <w:r w:rsidRPr="00A87E36">
        <w:rPr>
          <w:sz w:val="20"/>
        </w:rPr>
        <w:t xml:space="preserve">(rel. Aug. 30, </w:t>
      </w:r>
      <w:r w:rsidRPr="00A87E36">
        <w:rPr>
          <w:rStyle w:val="sssh"/>
        </w:rPr>
        <w:t>2018</w:t>
      </w:r>
      <w:r w:rsidRPr="00A87E36">
        <w:rPr>
          <w:sz w:val="20"/>
        </w:rPr>
        <w:t xml:space="preserve">), available at </w:t>
      </w:r>
      <w:hyperlink r:id="rId1" w:tgtFrame="_blank" w:history="1">
        <w:r w:rsidRPr="00A87E36">
          <w:rPr>
            <w:rStyle w:val="Hyperlink"/>
            <w:sz w:val="20"/>
          </w:rPr>
          <w:t>https://docs.fcc.gov/public/attachments/DOC-353883A1.pdf</w:t>
        </w:r>
      </w:hyperlink>
      <w:r w:rsidRPr="00A87E36">
        <w:rPr>
          <w:sz w:val="20"/>
        </w:rPr>
        <w:t>.</w:t>
      </w:r>
    </w:p>
  </w:footnote>
  <w:footnote w:id="10">
    <w:p w:rsidR="00FD7100" w14:paraId="3752F7CD" w14:textId="2C5AD7D5">
      <w:pPr>
        <w:pStyle w:val="FootnoteText"/>
      </w:pPr>
      <w:bookmarkStart w:id="0" w:name="_Hlk30165002"/>
      <w:r>
        <w:rPr>
          <w:rStyle w:val="FootnoteReference"/>
        </w:rPr>
        <w:footnoteRef/>
      </w:r>
      <w:r>
        <w:t xml:space="preserve"> </w:t>
      </w:r>
      <w:r w:rsidRPr="00C355F9">
        <w:rPr>
          <w:i/>
        </w:rPr>
        <w:t xml:space="preserve">See Regulatory Fee Filing Window </w:t>
      </w:r>
      <w:r w:rsidR="00C355F9">
        <w:rPr>
          <w:i/>
        </w:rPr>
        <w:t>I</w:t>
      </w:r>
      <w:r w:rsidRPr="00C355F9">
        <w:rPr>
          <w:i/>
        </w:rPr>
        <w:t>s Extended to Friday, September 27, 2019</w:t>
      </w:r>
      <w:r>
        <w:t xml:space="preserve">, Public Notice (rel. </w:t>
      </w:r>
      <w:r w:rsidR="002966E5">
        <w:t xml:space="preserve">Sept. 23, 2019), 2019 WL 4948565 (OMD Sep. 23, 2019). </w:t>
      </w:r>
      <w:bookmarkEnd w:id="0"/>
    </w:p>
  </w:footnote>
  <w:footnote w:id="11">
    <w:p w:rsidR="00C80783" w:rsidP="00C80783" w14:paraId="74DAA010" w14:textId="77777777">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2">
    <w:p w:rsidR="00C80783" w:rsidP="00C80783" w14:paraId="023B8665" w14:textId="77777777">
      <w:pPr>
        <w:pStyle w:val="FootnoteText"/>
      </w:pPr>
      <w:r>
        <w:rPr>
          <w:rStyle w:val="FootnoteReference"/>
        </w:rPr>
        <w:footnoteRef/>
      </w:r>
      <w:r>
        <w:t xml:space="preserve"> 47 CFR </w:t>
      </w:r>
      <w:r w:rsidRPr="00141957">
        <w:t>§§</w:t>
      </w:r>
      <w:r>
        <w:t xml:space="preserve"> 1.1157(c)(1), 1.1164.</w:t>
      </w:r>
    </w:p>
  </w:footnote>
  <w:footnote w:id="13">
    <w:p w:rsidR="00C80783" w:rsidP="00C80783" w14:paraId="409F787B" w14:textId="77777777">
      <w:pPr>
        <w:pStyle w:val="FootnoteText"/>
      </w:pPr>
      <w:r>
        <w:rPr>
          <w:rStyle w:val="FootnoteReference"/>
        </w:rPr>
        <w:footnoteRef/>
      </w:r>
      <w:r>
        <w:t xml:space="preserve"> 31 U.S.C. </w:t>
      </w:r>
      <w:r w:rsidRPr="008A536E">
        <w:rPr>
          <w:szCs w:val="22"/>
        </w:rPr>
        <w:t>§</w:t>
      </w:r>
      <w:r>
        <w:rPr>
          <w:szCs w:val="22"/>
        </w:rPr>
        <w:t xml:space="preserve"> 3717; 47 CFR § 1.1940.</w:t>
      </w:r>
    </w:p>
  </w:footnote>
  <w:footnote w:id="14">
    <w:p w:rsidR="00C80783" w:rsidP="00C80783" w14:paraId="40DDCB78" w14:textId="6DE78FE0">
      <w:pPr>
        <w:pStyle w:val="FootnoteText"/>
      </w:pPr>
      <w:r>
        <w:rPr>
          <w:rStyle w:val="FootnoteReference"/>
        </w:rPr>
        <w:footnoteRef/>
      </w:r>
      <w:r>
        <w:t xml:space="preserve"> In addition to these Demand Letters, the Bureau notified Licensee of its delinquency in paying the Station’s regulatory fees for FY 2013, and FY 2014</w:t>
      </w:r>
      <w:r>
        <w:rPr>
          <w:szCs w:val="24"/>
        </w:rPr>
        <w:t>.  Letter from Peter H. Doyle, Chief, Audio Division, Media Bureau, to Law Office of Todd Steiner, PLC (MB dated July 1, 2015).</w:t>
      </w:r>
    </w:p>
  </w:footnote>
  <w:footnote w:id="15">
    <w:p w:rsidR="00C80783" w:rsidP="00C80783" w14:paraId="17D3A1B3" w14:textId="77777777">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&amp; 901.1; </w:t>
      </w:r>
      <w:r w:rsidRPr="007F4AF9">
        <w:rPr>
          <w:szCs w:val="24"/>
        </w:rPr>
        <w:t>47 CFR § 1.1917.</w:t>
      </w:r>
    </w:p>
  </w:footnote>
  <w:footnote w:id="16">
    <w:p w:rsidR="00C80783" w:rsidRPr="00141957" w:rsidP="00C80783" w14:paraId="2CEF011B" w14:textId="713D42E4">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  As noted, </w:t>
      </w:r>
      <w:r w:rsidRPr="00BF634B">
        <w:rPr>
          <w:i/>
          <w:szCs w:val="22"/>
        </w:rPr>
        <w:t>supra</w:t>
      </w:r>
      <w:r>
        <w:rPr>
          <w:szCs w:val="22"/>
        </w:rPr>
        <w:t xml:space="preserve"> at note </w:t>
      </w:r>
      <w:r w:rsidR="00B85E57">
        <w:rPr>
          <w:szCs w:val="22"/>
        </w:rPr>
        <w:t>11</w:t>
      </w:r>
      <w:r>
        <w:rPr>
          <w:szCs w:val="22"/>
        </w:rPr>
        <w:t xml:space="preserve">, the RAY BAUM’S Act modified Section 9 of the Act and added a new Section 9A.  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 such action.</w:t>
      </w:r>
    </w:p>
  </w:footnote>
  <w:footnote w:id="17">
    <w:p w:rsidR="00C80783" w:rsidRPr="00141957" w:rsidP="00C80783" w14:paraId="680A41AC" w14:textId="77777777">
      <w:pPr>
        <w:pStyle w:val="FootnoteText"/>
      </w:pPr>
      <w:r w:rsidRPr="00141957">
        <w:rPr>
          <w:rStyle w:val="FootnoteReference"/>
        </w:rPr>
        <w:footnoteRef/>
      </w:r>
      <w:r w:rsidRPr="00141957">
        <w:t xml:space="preserve"> 47 CFR § 1.1164(f).</w:t>
      </w:r>
    </w:p>
  </w:footnote>
  <w:footnote w:id="18">
    <w:p w:rsidR="00C80783" w:rsidRPr="00141957" w:rsidP="00C80783" w14:paraId="6C864DA8" w14:textId="77777777">
      <w:pPr>
        <w:pStyle w:val="FootnoteText"/>
      </w:pPr>
      <w:r w:rsidRPr="00141957">
        <w:rPr>
          <w:rStyle w:val="FootnoteReference"/>
        </w:rPr>
        <w:footnoteRef/>
      </w:r>
      <w:r w:rsidRPr="00141957">
        <w:t xml:space="preserve"> 47 CFR § 1.1164(a).</w:t>
      </w:r>
    </w:p>
  </w:footnote>
  <w:footnote w:id="19">
    <w:p w:rsidR="00C80783" w:rsidRPr="007306CD" w:rsidP="00C80783" w14:paraId="775E0EA1" w14:textId="526690FF">
      <w:pPr>
        <w:widowControl/>
        <w:autoSpaceDE w:val="0"/>
        <w:autoSpaceDN w:val="0"/>
        <w:adjustRightInd w:val="0"/>
        <w:spacing w:after="120"/>
        <w:rPr>
          <w:rFonts w:ascii="TimesNewRomanPSMT" w:hAnsi="TimesNewRomanPSMT" w:cs="TimesNewRomanPSMT"/>
          <w:snapToGrid/>
          <w:kern w:val="0"/>
          <w:szCs w:val="22"/>
        </w:rPr>
      </w:pPr>
      <w:r>
        <w:rPr>
          <w:rStyle w:val="FootnoteReference"/>
        </w:rPr>
        <w:footnoteRef/>
      </w:r>
      <w:r>
        <w:t xml:space="preserve"> </w:t>
      </w:r>
      <w:r w:rsidRPr="00415E9E">
        <w:rPr>
          <w:sz w:val="20"/>
        </w:rPr>
        <w:t xml:space="preserve">The </w:t>
      </w:r>
      <w:r w:rsidRPr="00415E9E">
        <w:rPr>
          <w:snapToGrid/>
          <w:kern w:val="0"/>
          <w:sz w:val="20"/>
        </w:rPr>
        <w:t>Commission may waive, reduce, or defer payment of fee</w:t>
      </w:r>
      <w:r w:rsidR="00FD0982">
        <w:rPr>
          <w:snapToGrid/>
          <w:kern w:val="0"/>
          <w:sz w:val="20"/>
        </w:rPr>
        <w:t xml:space="preserve"> debt</w:t>
      </w:r>
      <w:r w:rsidRPr="00415E9E">
        <w:rPr>
          <w:snapToGrid/>
          <w:kern w:val="0"/>
          <w:sz w:val="20"/>
        </w:rPr>
        <w:t xml:space="preserve"> where good cause is shown and where waiver, reduction or deferral would promote the public interest.  </w:t>
      </w:r>
      <w:r>
        <w:rPr>
          <w:snapToGrid/>
          <w:kern w:val="0"/>
          <w:sz w:val="20"/>
        </w:rPr>
        <w:t>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w:t>
      </w:r>
      <w:r w:rsidRPr="004D6F96">
        <w:rPr>
          <w:kern w:val="0"/>
          <w:sz w:val="20"/>
        </w:rPr>
        <w:t xml:space="preserve"> financial documents as </w:t>
      </w:r>
      <w:r>
        <w:rPr>
          <w:snapToGrid/>
          <w:kern w:val="0"/>
          <w:sz w:val="20"/>
        </w:rPr>
        <w:t>are</w:t>
      </w:r>
      <w:r w:rsidRPr="004D6F96">
        <w:rPr>
          <w:kern w:val="0"/>
          <w:sz w:val="20"/>
        </w:rPr>
        <w:t xml:space="preserve"> necessary to </w:t>
      </w:r>
      <w:r>
        <w:rPr>
          <w:snapToGrid/>
          <w:kern w:val="0"/>
          <w:sz w:val="20"/>
        </w:rPr>
        <w:t xml:space="preserve">show that it lacks </w:t>
      </w:r>
      <w:r>
        <w:rPr>
          <w:snapToGrid/>
          <w:kern w:val="0"/>
          <w:sz w:val="20"/>
        </w:rPr>
        <w:t>sufficient</w:t>
      </w:r>
      <w:r>
        <w:rPr>
          <w:snapToGrid/>
          <w:kern w:val="0"/>
          <w:sz w:val="20"/>
        </w:rPr>
        <w:t xml:space="preserve"> funds to pay </w:t>
      </w:r>
      <w:r w:rsidRPr="004D6F96">
        <w:rPr>
          <w:kern w:val="0"/>
          <w:sz w:val="20"/>
        </w:rPr>
        <w:t xml:space="preserve">its </w:t>
      </w:r>
      <w:r>
        <w:rPr>
          <w:snapToGrid/>
          <w:kern w:val="0"/>
          <w:sz w:val="20"/>
        </w:rPr>
        <w:t xml:space="preserve">regulatory fees and maintain its service to the public. </w:t>
      </w:r>
      <w:r w:rsidRPr="004D6F96">
        <w:rPr>
          <w:kern w:val="0"/>
          <w:sz w:val="20"/>
        </w:rPr>
        <w:t xml:space="preserve"> </w:t>
      </w:r>
      <w:r w:rsidRPr="004D6F96">
        <w:rPr>
          <w:i/>
          <w:kern w:val="0"/>
          <w:sz w:val="20"/>
        </w:rPr>
        <w:t>Assessment and Collection of Regulatory Fees for Fiscal Year</w:t>
      </w:r>
      <w:r w:rsidRPr="0019002D">
        <w:rPr>
          <w:i/>
          <w:snapToGrid/>
          <w:kern w:val="0"/>
          <w:sz w:val="20"/>
        </w:rPr>
        <w:t xml:space="preserve"> 2019</w:t>
      </w:r>
      <w:r w:rsidRPr="004D6F96">
        <w:rPr>
          <w:kern w:val="0"/>
          <w:sz w:val="20"/>
        </w:rPr>
        <w:t>, MD Docket 19</w:t>
      </w:r>
      <w:r>
        <w:rPr>
          <w:snapToGrid/>
          <w:kern w:val="0"/>
          <w:sz w:val="20"/>
        </w:rPr>
        <w:t>-105, Report</w:t>
      </w:r>
      <w:r w:rsidRPr="004D6F96">
        <w:rPr>
          <w:kern w:val="0"/>
          <w:sz w:val="20"/>
        </w:rPr>
        <w:t xml:space="preserve"> and Order</w:t>
      </w:r>
      <w:r>
        <w:rPr>
          <w:snapToGrid/>
          <w:kern w:val="0"/>
          <w:sz w:val="20"/>
        </w:rPr>
        <w:t xml:space="preserve"> and Further Notice of Proposed Rulemaking, 2019 WL 4072476, at *16 (2019).</w:t>
      </w:r>
      <w:r w:rsidRPr="004D6F96">
        <w:rPr>
          <w:kern w:val="0"/>
          <w:sz w:val="20"/>
        </w:rPr>
        <w:t xml:space="preserve"> </w:t>
      </w:r>
    </w:p>
  </w:footnote>
  <w:footnote w:id="20">
    <w:p w:rsidR="00C80783" w:rsidP="00C80783" w14:paraId="6E642634" w14:textId="77777777">
      <w:pPr>
        <w:pStyle w:val="FootnoteText"/>
      </w:pPr>
      <w:r>
        <w:rPr>
          <w:rStyle w:val="FootnoteReference"/>
        </w:rPr>
        <w:footnoteRef/>
      </w:r>
      <w:r>
        <w:t xml:space="preserve"> 47 U.S.C. </w:t>
      </w:r>
      <w:r w:rsidRPr="00141957">
        <w:t>§</w:t>
      </w:r>
      <w:r>
        <w:t xml:space="preserve"> 159A(c)(4)(C)(</w:t>
      </w:r>
      <w:r>
        <w:t>i</w:t>
      </w:r>
      <w:r>
        <w:t xml:space="preserve">); </w:t>
      </w:r>
      <w:r>
        <w:rPr>
          <w:szCs w:val="24"/>
        </w:rPr>
        <w:t>47 CFR § 1.1164(f)(1).</w:t>
      </w:r>
    </w:p>
  </w:footnote>
  <w:footnote w:id="21">
    <w:p w:rsidR="00C80783" w:rsidP="00C80783" w14:paraId="131A9281" w14:textId="77777777">
      <w:pPr>
        <w:pStyle w:val="FootnoteText"/>
      </w:pPr>
      <w:r>
        <w:rPr>
          <w:rStyle w:val="FootnoteReference"/>
        </w:rPr>
        <w:footnoteRef/>
      </w:r>
      <w:r>
        <w:t xml:space="preserve"> 47 U.S.C. </w:t>
      </w:r>
      <w:r w:rsidRPr="00141957">
        <w:t>§</w:t>
      </w:r>
      <w:r>
        <w:t xml:space="preserve"> 159A(c)(4)(C)(ii); </w:t>
      </w:r>
      <w:r w:rsidRPr="00141957">
        <w:t>47 CFR § 1.1164</w:t>
      </w:r>
      <w:r>
        <w:t>(f)(2).</w:t>
      </w:r>
    </w:p>
  </w:footnote>
  <w:footnote w:id="22">
    <w:p w:rsidR="00C80783" w:rsidRPr="0031542D" w:rsidP="00C80783" w14:paraId="7D730AD8" w14:textId="77777777">
      <w:pPr>
        <w:pStyle w:val="FootnoteText"/>
        <w:rPr>
          <w:color w:val="000000"/>
        </w:rPr>
      </w:pPr>
      <w:r w:rsidRPr="0031542D">
        <w:rPr>
          <w:rStyle w:val="FootnoteReference"/>
          <w:color w:val="000000"/>
        </w:rPr>
        <w:footnoteRef/>
      </w:r>
      <w:r w:rsidRPr="0031542D">
        <w:rPr>
          <w:color w:val="000000"/>
          <w:lang w:val="es-ES"/>
        </w:rPr>
        <w:t xml:space="preserve"> </w:t>
      </w:r>
      <w:r w:rsidRPr="00141957">
        <w:t>47 U.S.C. § 159</w:t>
      </w:r>
      <w:r>
        <w:t>A(c)(4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771B37EB" w14:textId="244436B0">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FD0C4C">
      <w:rPr>
        <w:b/>
        <w:spacing w:val="-2"/>
      </w:rPr>
      <w:t>20</w:t>
    </w:r>
    <w:r w:rsidRPr="00D82C05">
      <w:rPr>
        <w:b/>
        <w:spacing w:val="-2"/>
      </w:rPr>
      <w:t>-</w:t>
    </w:r>
    <w:r w:rsidR="00ED36EA">
      <w:rPr>
        <w:b/>
        <w:spacing w:val="-2"/>
      </w:rPr>
      <w:t>111</w:t>
    </w:r>
  </w:p>
  <w:p w:rsidR="00D82C05" w:rsidRPr="00C544DF" w:rsidP="00D82C05" w14:paraId="6A3D24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7E1675EA" w14:textId="0F4CF062">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FD0C4C">
      <w:rPr>
        <w:b/>
        <w:spacing w:val="-2"/>
      </w:rPr>
      <w:t>20</w:t>
    </w:r>
    <w:r w:rsidRPr="00D82C05">
      <w:rPr>
        <w:b/>
        <w:spacing w:val="-2"/>
      </w:rPr>
      <w:t>-</w:t>
    </w:r>
    <w:r w:rsidR="00ED36EA">
      <w:rPr>
        <w:b/>
        <w:spacing w:val="-2"/>
      </w:rPr>
      <w:t>111</w:t>
    </w:r>
  </w:p>
  <w:p w:rsidR="00D82C05" w:rsidRPr="00C544DF" w:rsidP="00D82C05" w14:paraId="3EB69E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C80783"/>
    <w:rsid w:val="000071D5"/>
    <w:rsid w:val="000178C6"/>
    <w:rsid w:val="00037DB0"/>
    <w:rsid w:val="000731C3"/>
    <w:rsid w:val="000A633B"/>
    <w:rsid w:val="000B089D"/>
    <w:rsid w:val="000D3419"/>
    <w:rsid w:val="00141957"/>
    <w:rsid w:val="00146FDA"/>
    <w:rsid w:val="0019002D"/>
    <w:rsid w:val="002438B2"/>
    <w:rsid w:val="0028716D"/>
    <w:rsid w:val="002966E5"/>
    <w:rsid w:val="002B4DF7"/>
    <w:rsid w:val="0031542D"/>
    <w:rsid w:val="00352F08"/>
    <w:rsid w:val="00396280"/>
    <w:rsid w:val="003A44A8"/>
    <w:rsid w:val="003E185A"/>
    <w:rsid w:val="00415E9E"/>
    <w:rsid w:val="004371FB"/>
    <w:rsid w:val="00452191"/>
    <w:rsid w:val="004D6F96"/>
    <w:rsid w:val="004E0214"/>
    <w:rsid w:val="00530196"/>
    <w:rsid w:val="00537DB1"/>
    <w:rsid w:val="00575313"/>
    <w:rsid w:val="0058522A"/>
    <w:rsid w:val="006D73F2"/>
    <w:rsid w:val="00703623"/>
    <w:rsid w:val="007306CD"/>
    <w:rsid w:val="007728C2"/>
    <w:rsid w:val="007868CC"/>
    <w:rsid w:val="007A510C"/>
    <w:rsid w:val="007D14BD"/>
    <w:rsid w:val="007F4AF9"/>
    <w:rsid w:val="00853173"/>
    <w:rsid w:val="008A536E"/>
    <w:rsid w:val="008B4A78"/>
    <w:rsid w:val="008C5319"/>
    <w:rsid w:val="009014DF"/>
    <w:rsid w:val="00981F23"/>
    <w:rsid w:val="009E64A3"/>
    <w:rsid w:val="009F02C1"/>
    <w:rsid w:val="00A87E36"/>
    <w:rsid w:val="00AA7AC6"/>
    <w:rsid w:val="00AE61F7"/>
    <w:rsid w:val="00B32BFC"/>
    <w:rsid w:val="00B7445A"/>
    <w:rsid w:val="00B85E57"/>
    <w:rsid w:val="00BB4F6F"/>
    <w:rsid w:val="00BF634B"/>
    <w:rsid w:val="00C01BE0"/>
    <w:rsid w:val="00C355F9"/>
    <w:rsid w:val="00C41587"/>
    <w:rsid w:val="00C544DF"/>
    <w:rsid w:val="00C80783"/>
    <w:rsid w:val="00C936E7"/>
    <w:rsid w:val="00CF27B1"/>
    <w:rsid w:val="00D41092"/>
    <w:rsid w:val="00D82C05"/>
    <w:rsid w:val="00DE7769"/>
    <w:rsid w:val="00E11550"/>
    <w:rsid w:val="00E40B4C"/>
    <w:rsid w:val="00E938BF"/>
    <w:rsid w:val="00EA25ED"/>
    <w:rsid w:val="00EC5ACC"/>
    <w:rsid w:val="00ED36EA"/>
    <w:rsid w:val="00EF15C7"/>
    <w:rsid w:val="00EF1757"/>
    <w:rsid w:val="00F60397"/>
    <w:rsid w:val="00F72607"/>
    <w:rsid w:val="00FB5148"/>
    <w:rsid w:val="00FD0982"/>
    <w:rsid w:val="00FD0C4C"/>
    <w:rsid w:val="00FD2ADC"/>
    <w:rsid w:val="00FD62F9"/>
    <w:rsid w:val="00FD7100"/>
    <w:rsid w:val="00FF4F3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A7A3B0B-BE24-46AB-981A-E1A9E13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8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C8078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80783"/>
    <w:pPr>
      <w:keepNext/>
      <w:numPr>
        <w:ilvl w:val="1"/>
        <w:numId w:val="2"/>
      </w:numPr>
      <w:spacing w:after="120"/>
      <w:outlineLvl w:val="1"/>
    </w:pPr>
    <w:rPr>
      <w:b/>
    </w:rPr>
  </w:style>
  <w:style w:type="paragraph" w:styleId="Heading3">
    <w:name w:val="heading 3"/>
    <w:basedOn w:val="Normal"/>
    <w:next w:val="ParaNum"/>
    <w:link w:val="Heading3Char"/>
    <w:qFormat/>
    <w:rsid w:val="00C80783"/>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C80783"/>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C80783"/>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C8078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C8078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C80783"/>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8078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78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C8078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C8078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C8078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C8078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C8078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C8078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C8078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C80783"/>
    <w:rPr>
      <w:rFonts w:ascii="Times New Roman" w:eastAsia="Times New Roman" w:hAnsi="Times New Roman" w:cs="Times New Roman"/>
      <w:b/>
      <w:snapToGrid w:val="0"/>
      <w:kern w:val="28"/>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C8078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C80783"/>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C80783"/>
    <w:rPr>
      <w:rFonts w:ascii="Times New Roman" w:hAnsi="Times New Roman"/>
      <w:dstrike w:val="0"/>
      <w:color w:val="auto"/>
      <w:sz w:val="20"/>
      <w:vertAlign w:val="superscript"/>
    </w:rPr>
  </w:style>
  <w:style w:type="paragraph" w:styleId="Header">
    <w:name w:val="header"/>
    <w:basedOn w:val="Normal"/>
    <w:link w:val="HeaderChar"/>
    <w:autoRedefine/>
    <w:rsid w:val="00C80783"/>
    <w:pPr>
      <w:tabs>
        <w:tab w:val="center" w:pos="4680"/>
        <w:tab w:val="right" w:pos="9360"/>
      </w:tabs>
    </w:pPr>
    <w:rPr>
      <w:b/>
    </w:rPr>
  </w:style>
  <w:style w:type="character" w:customStyle="1" w:styleId="HeaderChar">
    <w:name w:val="Header Char"/>
    <w:basedOn w:val="DefaultParagraphFont"/>
    <w:link w:val="Header"/>
    <w:rsid w:val="00C80783"/>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C80783"/>
    <w:pPr>
      <w:tabs>
        <w:tab w:val="center" w:pos="4320"/>
        <w:tab w:val="right" w:pos="8640"/>
      </w:tabs>
    </w:pPr>
  </w:style>
  <w:style w:type="character" w:customStyle="1" w:styleId="FooterChar">
    <w:name w:val="Footer Char"/>
    <w:basedOn w:val="DefaultParagraphFont"/>
    <w:link w:val="Footer"/>
    <w:uiPriority w:val="99"/>
    <w:rsid w:val="00C80783"/>
    <w:rPr>
      <w:rFonts w:ascii="Times New Roman" w:eastAsia="Times New Roman" w:hAnsi="Times New Roman" w:cs="Times New Roman"/>
      <w:snapToGrid w:val="0"/>
      <w:kern w:val="28"/>
      <w:szCs w:val="20"/>
    </w:rPr>
  </w:style>
  <w:style w:type="character" w:styleId="PageNumber">
    <w:name w:val="page number"/>
    <w:basedOn w:val="DefaultParagraphFont"/>
    <w:rsid w:val="00C80783"/>
  </w:style>
  <w:style w:type="paragraph" w:customStyle="1" w:styleId="ParaNum">
    <w:name w:val="ParaNum"/>
    <w:basedOn w:val="Normal"/>
    <w:link w:val="ParaNumChar"/>
    <w:rsid w:val="00C80783"/>
    <w:pPr>
      <w:numPr>
        <w:numId w:val="1"/>
      </w:numPr>
      <w:tabs>
        <w:tab w:val="clear" w:pos="1080"/>
        <w:tab w:val="num" w:pos="1440"/>
      </w:tabs>
      <w:spacing w:after="120"/>
    </w:pPr>
  </w:style>
  <w:style w:type="paragraph" w:styleId="BodyText">
    <w:name w:val="Body Text"/>
    <w:aliases w:val="b"/>
    <w:basedOn w:val="Normal"/>
    <w:link w:val="BodyTextChar"/>
    <w:uiPriority w:val="99"/>
    <w:rsid w:val="00C80783"/>
    <w:rPr>
      <w:b/>
      <w:snapToGrid/>
      <w:kern w:val="0"/>
      <w:sz w:val="24"/>
      <w:u w:val="single"/>
    </w:rPr>
  </w:style>
  <w:style w:type="character" w:customStyle="1" w:styleId="BodyTextChar">
    <w:name w:val="Body Text Char"/>
    <w:aliases w:val="b Char"/>
    <w:basedOn w:val="DefaultParagraphFont"/>
    <w:link w:val="BodyText"/>
    <w:uiPriority w:val="99"/>
    <w:rsid w:val="00C80783"/>
    <w:rPr>
      <w:rFonts w:ascii="Times New Roman" w:eastAsia="Times New Roman" w:hAnsi="Times New Roman" w:cs="Times New Roman"/>
      <w:b/>
      <w:sz w:val="24"/>
      <w:szCs w:val="20"/>
      <w:u w:val="single"/>
    </w:rPr>
  </w:style>
  <w:style w:type="character" w:styleId="Hyperlink">
    <w:name w:val="Hyperlink"/>
    <w:rsid w:val="00C80783"/>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C80783"/>
    <w:rPr>
      <w:rFonts w:ascii="Times New Roman" w:eastAsia="Times New Roman" w:hAnsi="Times New Roman" w:cs="Times New Roman"/>
      <w:sz w:val="20"/>
      <w:szCs w:val="20"/>
    </w:rPr>
  </w:style>
  <w:style w:type="paragraph" w:customStyle="1" w:styleId="StyleBoldCentered">
    <w:name w:val="Style Bold Centered"/>
    <w:basedOn w:val="Normal"/>
    <w:rsid w:val="00C80783"/>
    <w:pPr>
      <w:jc w:val="center"/>
    </w:pPr>
    <w:rPr>
      <w:rFonts w:ascii="Times New Roman Bold" w:hAnsi="Times New Roman Bold"/>
      <w:b/>
      <w:bCs/>
      <w:caps/>
      <w:szCs w:val="22"/>
    </w:rPr>
  </w:style>
  <w:style w:type="character" w:styleId="CommentReference">
    <w:name w:val="annotation reference"/>
    <w:uiPriority w:val="99"/>
    <w:rsid w:val="00C80783"/>
    <w:rPr>
      <w:rFonts w:cs="Times New Roman"/>
      <w:sz w:val="16"/>
    </w:rPr>
  </w:style>
  <w:style w:type="paragraph" w:styleId="CommentText">
    <w:name w:val="annotation text"/>
    <w:basedOn w:val="Normal"/>
    <w:link w:val="CommentTextChar"/>
    <w:uiPriority w:val="99"/>
    <w:rsid w:val="00C80783"/>
    <w:rPr>
      <w:snapToGrid/>
      <w:kern w:val="0"/>
      <w:sz w:val="20"/>
    </w:rPr>
  </w:style>
  <w:style w:type="character" w:customStyle="1" w:styleId="CommentTextChar">
    <w:name w:val="Comment Text Char"/>
    <w:basedOn w:val="DefaultParagraphFont"/>
    <w:link w:val="CommentText"/>
    <w:uiPriority w:val="99"/>
    <w:rsid w:val="00C80783"/>
    <w:rPr>
      <w:rFonts w:ascii="Times New Roman" w:eastAsia="Times New Roman" w:hAnsi="Times New Roman" w:cs="Times New Roman"/>
      <w:sz w:val="20"/>
      <w:szCs w:val="20"/>
    </w:rPr>
  </w:style>
  <w:style w:type="character" w:customStyle="1" w:styleId="ParaNumChar">
    <w:name w:val="ParaNum Char"/>
    <w:link w:val="ParaNum"/>
    <w:locked/>
    <w:rsid w:val="00C80783"/>
    <w:rPr>
      <w:rFonts w:ascii="Times New Roman" w:eastAsia="Times New Roman" w:hAnsi="Times New Roman" w:cs="Times New Roman"/>
      <w:snapToGrid w:val="0"/>
      <w:kern w:val="28"/>
      <w:szCs w:val="20"/>
    </w:rPr>
  </w:style>
  <w:style w:type="character" w:customStyle="1" w:styleId="sssh">
    <w:name w:val="ss_sh"/>
    <w:basedOn w:val="DefaultParagraphFont"/>
    <w:rsid w:val="00C80783"/>
  </w:style>
  <w:style w:type="paragraph" w:styleId="BalloonText">
    <w:name w:val="Balloon Text"/>
    <w:basedOn w:val="Normal"/>
    <w:link w:val="BalloonTextChar"/>
    <w:uiPriority w:val="99"/>
    <w:semiHidden/>
    <w:unhideWhenUsed/>
    <w:rsid w:val="00C8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78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2966E5"/>
    <w:rPr>
      <w:b/>
      <w:bCs/>
      <w:snapToGrid w:val="0"/>
      <w:kern w:val="28"/>
    </w:rPr>
  </w:style>
  <w:style w:type="character" w:customStyle="1" w:styleId="CommentSubjectChar">
    <w:name w:val="Comment Subject Char"/>
    <w:basedOn w:val="CommentTextChar"/>
    <w:link w:val="CommentSubject"/>
    <w:uiPriority w:val="99"/>
    <w:semiHidden/>
    <w:rsid w:val="002966E5"/>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