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7007B" w:rsidRPr="00B20363" w:rsidP="0087007B" w14:paraId="7803AEAD" w14:textId="44148727">
      <w:pPr>
        <w:jc w:val="right"/>
        <w:rPr>
          <w:b/>
          <w:sz w:val="24"/>
        </w:rPr>
      </w:pPr>
      <w:r>
        <w:rPr>
          <w:b/>
          <w:sz w:val="24"/>
        </w:rPr>
        <w:t xml:space="preserve">DA </w:t>
      </w:r>
      <w:r w:rsidR="008D7F75">
        <w:rPr>
          <w:b/>
          <w:sz w:val="24"/>
        </w:rPr>
        <w:t>20-1120</w:t>
      </w:r>
    </w:p>
    <w:p w:rsidR="0087007B" w:rsidRPr="00B20363" w:rsidP="0087007B" w14:paraId="40512BD1" w14:textId="6E3E06D8">
      <w:pPr>
        <w:spacing w:before="60"/>
        <w:jc w:val="right"/>
        <w:rPr>
          <w:b/>
          <w:sz w:val="24"/>
        </w:rPr>
      </w:pPr>
      <w:r>
        <w:rPr>
          <w:b/>
          <w:sz w:val="24"/>
        </w:rPr>
        <w:t xml:space="preserve">Released:  </w:t>
      </w:r>
      <w:r w:rsidR="008D7F75">
        <w:rPr>
          <w:b/>
          <w:sz w:val="24"/>
        </w:rPr>
        <w:t>September 23, 2020</w:t>
      </w:r>
    </w:p>
    <w:p w:rsidR="0087007B" w:rsidP="0087007B" w14:paraId="050ACC44" w14:textId="77777777">
      <w:pPr>
        <w:jc w:val="right"/>
        <w:rPr>
          <w:sz w:val="24"/>
        </w:rPr>
      </w:pPr>
    </w:p>
    <w:p w:rsidR="0087007B" w:rsidRPr="00B54993" w:rsidP="00B54993" w14:paraId="0A4B104B" w14:textId="77777777">
      <w:pPr>
        <w:autoSpaceDE w:val="0"/>
        <w:autoSpaceDN w:val="0"/>
        <w:adjustRightInd w:val="0"/>
        <w:jc w:val="center"/>
        <w:rPr>
          <w:b/>
          <w:szCs w:val="22"/>
        </w:rPr>
      </w:pPr>
      <w:r>
        <w:rPr>
          <w:b/>
          <w:szCs w:val="22"/>
        </w:rPr>
        <w:t>CONSUMER AND GOVERNMENTAL AFFAIRS</w:t>
      </w:r>
      <w:r w:rsidR="005B123A">
        <w:rPr>
          <w:b/>
          <w:szCs w:val="22"/>
        </w:rPr>
        <w:t xml:space="preserve"> BUREAU SEEKS TO DETERMINE PARTIES’ CONTINUING INTEREST IN </w:t>
      </w:r>
      <w:r w:rsidR="006A76CE">
        <w:rPr>
          <w:b/>
          <w:szCs w:val="22"/>
        </w:rPr>
        <w:t xml:space="preserve">SPECIFIC </w:t>
      </w:r>
      <w:r w:rsidR="005B123A">
        <w:rPr>
          <w:b/>
          <w:szCs w:val="22"/>
        </w:rPr>
        <w:t xml:space="preserve">PETITIONS FOR </w:t>
      </w:r>
      <w:r w:rsidR="006A76CE">
        <w:rPr>
          <w:b/>
          <w:szCs w:val="22"/>
        </w:rPr>
        <w:t xml:space="preserve">PREEMPTION OF STATE CONSUMER PROTECTION REQUIREMENTS </w:t>
      </w:r>
    </w:p>
    <w:p w:rsidR="0087007B" w:rsidP="0087007B" w14:paraId="7CBCBA93" w14:textId="77777777">
      <w:pPr>
        <w:autoSpaceDE w:val="0"/>
        <w:autoSpaceDN w:val="0"/>
        <w:adjustRightInd w:val="0"/>
        <w:rPr>
          <w:b/>
          <w:szCs w:val="22"/>
        </w:rPr>
      </w:pPr>
    </w:p>
    <w:p w:rsidR="0087007B" w:rsidRPr="00AF0D71" w:rsidP="00C64BA0" w14:paraId="6F4E957B" w14:textId="77777777">
      <w:pPr>
        <w:ind w:left="3420"/>
        <w:rPr>
          <w:b/>
          <w:szCs w:val="22"/>
        </w:rPr>
      </w:pPr>
      <w:r>
        <w:rPr>
          <w:b/>
          <w:kern w:val="0"/>
          <w:sz w:val="23"/>
          <w:szCs w:val="23"/>
        </w:rPr>
        <w:t>CG Docket No. 02-278</w:t>
      </w:r>
    </w:p>
    <w:p w:rsidR="0087007B" w:rsidP="0087007B" w14:paraId="34C98818" w14:textId="77777777">
      <w:pPr>
        <w:jc w:val="center"/>
        <w:rPr>
          <w:b/>
          <w:szCs w:val="22"/>
        </w:rPr>
      </w:pPr>
    </w:p>
    <w:p w:rsidR="0087007B" w:rsidP="0087007B" w14:paraId="3276D6AA" w14:textId="77777777">
      <w:pPr>
        <w:rPr>
          <w:b/>
          <w:szCs w:val="22"/>
        </w:rPr>
      </w:pPr>
      <w:r>
        <w:rPr>
          <w:b/>
          <w:szCs w:val="22"/>
        </w:rPr>
        <w:t>Deadline for Responses:  45 days after publication in the Federal Register</w:t>
      </w:r>
    </w:p>
    <w:p w:rsidR="0087007B" w:rsidP="0087007B" w14:paraId="1415F859" w14:textId="77777777">
      <w:pPr>
        <w:rPr>
          <w:szCs w:val="22"/>
        </w:rPr>
      </w:pPr>
    </w:p>
    <w:p w:rsidR="005B3689" w:rsidRPr="0058168D" w:rsidP="0087007B" w14:paraId="29E537D7" w14:textId="14E9E605">
      <w:pPr>
        <w:autoSpaceDE w:val="0"/>
        <w:autoSpaceDN w:val="0"/>
        <w:adjustRightInd w:val="0"/>
        <w:rPr>
          <w:color w:val="010101"/>
          <w:szCs w:val="22"/>
        </w:rPr>
      </w:pPr>
      <w:r w:rsidRPr="0058168D">
        <w:rPr>
          <w:szCs w:val="22"/>
        </w:rPr>
        <w:tab/>
        <w:t>T</w:t>
      </w:r>
      <w:r w:rsidRPr="0058168D">
        <w:rPr>
          <w:color w:val="010101"/>
          <w:szCs w:val="22"/>
        </w:rPr>
        <w:t xml:space="preserve">he </w:t>
      </w:r>
      <w:r w:rsidRPr="0058168D" w:rsidR="00B54993">
        <w:rPr>
          <w:color w:val="010101"/>
          <w:szCs w:val="22"/>
        </w:rPr>
        <w:t>Consumer and Governmental Affairs Bureau</w:t>
      </w:r>
      <w:r w:rsidRPr="0058168D">
        <w:rPr>
          <w:color w:val="010101"/>
          <w:szCs w:val="22"/>
        </w:rPr>
        <w:t xml:space="preserve"> (Bureau) has pending </w:t>
      </w:r>
      <w:r w:rsidRPr="0058168D" w:rsidR="00D6018A">
        <w:rPr>
          <w:color w:val="010101"/>
          <w:szCs w:val="22"/>
        </w:rPr>
        <w:t xml:space="preserve">10 </w:t>
      </w:r>
      <w:r w:rsidRPr="0058168D">
        <w:rPr>
          <w:color w:val="010101"/>
          <w:szCs w:val="22"/>
        </w:rPr>
        <w:t>petitions</w:t>
      </w:r>
      <w:r w:rsidRPr="0058168D" w:rsidR="00A74599">
        <w:rPr>
          <w:color w:val="010101"/>
          <w:szCs w:val="22"/>
        </w:rPr>
        <w:t xml:space="preserve"> (Petitions)</w:t>
      </w:r>
      <w:r w:rsidRPr="0058168D">
        <w:rPr>
          <w:color w:val="010101"/>
          <w:szCs w:val="22"/>
        </w:rPr>
        <w:t xml:space="preserve"> </w:t>
      </w:r>
      <w:r w:rsidRPr="0058168D" w:rsidR="006A76CE">
        <w:rPr>
          <w:color w:val="010101"/>
          <w:szCs w:val="22"/>
        </w:rPr>
        <w:t>generally ask</w:t>
      </w:r>
      <w:r w:rsidRPr="0058168D" w:rsidR="00E4069C">
        <w:rPr>
          <w:color w:val="010101"/>
          <w:szCs w:val="22"/>
        </w:rPr>
        <w:t>ing</w:t>
      </w:r>
      <w:r w:rsidRPr="0058168D" w:rsidR="006A76CE">
        <w:rPr>
          <w:color w:val="010101"/>
          <w:szCs w:val="22"/>
        </w:rPr>
        <w:t xml:space="preserve"> the Commission to preempt state protections against unwanted robocalls and faxes</w:t>
      </w:r>
      <w:r w:rsidRPr="0058168D">
        <w:rPr>
          <w:i/>
          <w:color w:val="010101"/>
          <w:szCs w:val="22"/>
        </w:rPr>
        <w:t>.</w:t>
      </w:r>
      <w:r>
        <w:rPr>
          <w:rStyle w:val="FootnoteReference"/>
          <w:szCs w:val="22"/>
        </w:rPr>
        <w:footnoteReference w:id="3"/>
      </w:r>
      <w:r w:rsidRPr="0058168D">
        <w:rPr>
          <w:color w:val="010101"/>
          <w:szCs w:val="22"/>
        </w:rPr>
        <w:t xml:space="preserve"> </w:t>
      </w:r>
      <w:r w:rsidRPr="0058168D" w:rsidR="00A74599">
        <w:rPr>
          <w:color w:val="010101"/>
          <w:szCs w:val="22"/>
        </w:rPr>
        <w:t xml:space="preserve"> The </w:t>
      </w:r>
      <w:r w:rsidRPr="0058168D">
        <w:rPr>
          <w:color w:val="010101"/>
          <w:szCs w:val="22"/>
        </w:rPr>
        <w:t xml:space="preserve">Petitions </w:t>
      </w:r>
      <w:r w:rsidRPr="0058168D" w:rsidR="006D2C51">
        <w:rPr>
          <w:color w:val="010101"/>
          <w:szCs w:val="22"/>
        </w:rPr>
        <w:t xml:space="preserve">were filed </w:t>
      </w:r>
      <w:r w:rsidRPr="0058168D" w:rsidR="000B6235">
        <w:rPr>
          <w:color w:val="010101"/>
          <w:szCs w:val="22"/>
        </w:rPr>
        <w:t>between 2003 and</w:t>
      </w:r>
      <w:r w:rsidRPr="0058168D">
        <w:rPr>
          <w:color w:val="010101"/>
          <w:szCs w:val="22"/>
        </w:rPr>
        <w:t xml:space="preserve"> </w:t>
      </w:r>
      <w:r w:rsidRPr="0058168D" w:rsidR="000B6235">
        <w:rPr>
          <w:color w:val="010101"/>
          <w:szCs w:val="22"/>
        </w:rPr>
        <w:t>2005</w:t>
      </w:r>
      <w:r w:rsidRPr="0058168D" w:rsidR="009D411E">
        <w:rPr>
          <w:color w:val="010101"/>
          <w:szCs w:val="22"/>
        </w:rPr>
        <w:t>,</w:t>
      </w:r>
      <w:r w:rsidRPr="0058168D">
        <w:rPr>
          <w:color w:val="010101"/>
          <w:szCs w:val="22"/>
        </w:rPr>
        <w:t xml:space="preserve"> </w:t>
      </w:r>
      <w:r w:rsidRPr="0058168D" w:rsidR="00F508B9">
        <w:rPr>
          <w:color w:val="010101"/>
          <w:szCs w:val="22"/>
        </w:rPr>
        <w:t xml:space="preserve">with </w:t>
      </w:r>
      <w:r w:rsidRPr="0058168D">
        <w:rPr>
          <w:color w:val="010101"/>
          <w:szCs w:val="22"/>
        </w:rPr>
        <w:t xml:space="preserve">no </w:t>
      </w:r>
      <w:r w:rsidRPr="0058168D" w:rsidR="006D2C51">
        <w:rPr>
          <w:color w:val="010101"/>
          <w:szCs w:val="22"/>
        </w:rPr>
        <w:t xml:space="preserve">advocacy </w:t>
      </w:r>
      <w:r w:rsidRPr="0058168D">
        <w:rPr>
          <w:color w:val="010101"/>
          <w:szCs w:val="22"/>
        </w:rPr>
        <w:t xml:space="preserve">for several years.  In addition, the relief the Petitions </w:t>
      </w:r>
      <w:r w:rsidRPr="0058168D" w:rsidR="00F508B9">
        <w:rPr>
          <w:color w:val="010101"/>
          <w:szCs w:val="22"/>
        </w:rPr>
        <w:t xml:space="preserve">request </w:t>
      </w:r>
      <w:r w:rsidRPr="0058168D">
        <w:rPr>
          <w:color w:val="010101"/>
          <w:szCs w:val="22"/>
        </w:rPr>
        <w:t>appear</w:t>
      </w:r>
      <w:r w:rsidRPr="0058168D" w:rsidR="005A2C97">
        <w:rPr>
          <w:color w:val="010101"/>
          <w:szCs w:val="22"/>
        </w:rPr>
        <w:t>s</w:t>
      </w:r>
      <w:r w:rsidRPr="0058168D">
        <w:rPr>
          <w:color w:val="010101"/>
          <w:szCs w:val="22"/>
        </w:rPr>
        <w:t xml:space="preserve"> to be moot or otherwise no longer relevant in light of </w:t>
      </w:r>
      <w:r w:rsidRPr="0058168D" w:rsidR="006D2C51">
        <w:rPr>
          <w:color w:val="010101"/>
          <w:szCs w:val="22"/>
        </w:rPr>
        <w:t xml:space="preserve">both federal and state </w:t>
      </w:r>
      <w:r w:rsidRPr="0058168D">
        <w:rPr>
          <w:color w:val="010101"/>
          <w:szCs w:val="22"/>
        </w:rPr>
        <w:t>regulatory changes</w:t>
      </w:r>
      <w:r w:rsidRPr="0058168D" w:rsidR="000B6235">
        <w:rPr>
          <w:color w:val="010101"/>
          <w:szCs w:val="22"/>
        </w:rPr>
        <w:t xml:space="preserve"> </w:t>
      </w:r>
      <w:r w:rsidRPr="0058168D">
        <w:rPr>
          <w:color w:val="010101"/>
          <w:szCs w:val="22"/>
        </w:rPr>
        <w:t>that have occurred since the</w:t>
      </w:r>
      <w:r w:rsidRPr="0058168D" w:rsidR="006D2C51">
        <w:rPr>
          <w:color w:val="010101"/>
          <w:szCs w:val="22"/>
        </w:rPr>
        <w:t xml:space="preserve"> Petitions were filed.  </w:t>
      </w:r>
      <w:r w:rsidRPr="0058168D">
        <w:rPr>
          <w:color w:val="010101"/>
          <w:szCs w:val="22"/>
        </w:rPr>
        <w:t xml:space="preserve">  </w:t>
      </w:r>
    </w:p>
    <w:p w:rsidR="005B3689" w:rsidRPr="0058168D" w:rsidP="0087007B" w14:paraId="599BEDD9" w14:textId="77777777">
      <w:pPr>
        <w:autoSpaceDE w:val="0"/>
        <w:autoSpaceDN w:val="0"/>
        <w:adjustRightInd w:val="0"/>
        <w:rPr>
          <w:color w:val="010101"/>
          <w:szCs w:val="22"/>
        </w:rPr>
      </w:pPr>
    </w:p>
    <w:p w:rsidR="0087007B" w:rsidRPr="0058168D" w:rsidP="009A117D" w14:paraId="4E008741" w14:textId="77777777">
      <w:pPr>
        <w:autoSpaceDE w:val="0"/>
        <w:autoSpaceDN w:val="0"/>
        <w:adjustRightInd w:val="0"/>
        <w:ind w:firstLine="720"/>
        <w:rPr>
          <w:color w:val="010101"/>
          <w:szCs w:val="22"/>
        </w:rPr>
      </w:pPr>
      <w:r w:rsidRPr="0058168D">
        <w:rPr>
          <w:color w:val="010101"/>
          <w:szCs w:val="22"/>
        </w:rPr>
        <w:t xml:space="preserve">As part of the Commission’s effort to </w:t>
      </w:r>
      <w:r w:rsidRPr="0058168D" w:rsidR="00F508B9">
        <w:rPr>
          <w:color w:val="010101"/>
          <w:szCs w:val="22"/>
        </w:rPr>
        <w:t xml:space="preserve">efficiently </w:t>
      </w:r>
      <w:r w:rsidRPr="0058168D">
        <w:rPr>
          <w:color w:val="010101"/>
          <w:szCs w:val="22"/>
        </w:rPr>
        <w:t xml:space="preserve">manage its dockets </w:t>
      </w:r>
      <w:r w:rsidRPr="0058168D" w:rsidR="00F508B9">
        <w:rPr>
          <w:color w:val="010101"/>
          <w:szCs w:val="22"/>
        </w:rPr>
        <w:t xml:space="preserve">and resources and </w:t>
      </w:r>
      <w:r w:rsidRPr="0058168D">
        <w:rPr>
          <w:color w:val="010101"/>
          <w:szCs w:val="22"/>
        </w:rPr>
        <w:t>reduce backlog,</w:t>
      </w:r>
      <w:r>
        <w:rPr>
          <w:rStyle w:val="FootnoteReference"/>
          <w:color w:val="010101"/>
          <w:szCs w:val="22"/>
        </w:rPr>
        <w:footnoteReference w:id="4"/>
      </w:r>
      <w:r w:rsidRPr="0058168D">
        <w:rPr>
          <w:color w:val="010101"/>
          <w:szCs w:val="22"/>
        </w:rPr>
        <w:t xml:space="preserve"> the Bureau seeks to assess the Petitioners’ continuing interests in these </w:t>
      </w:r>
      <w:r w:rsidRPr="0058168D" w:rsidR="00D6018A">
        <w:rPr>
          <w:color w:val="010101"/>
          <w:szCs w:val="22"/>
        </w:rPr>
        <w:t>Petitions</w:t>
      </w:r>
      <w:r w:rsidRPr="0058168D">
        <w:rPr>
          <w:color w:val="010101"/>
          <w:szCs w:val="22"/>
        </w:rPr>
        <w:t>.  We</w:t>
      </w:r>
      <w:r w:rsidRPr="0058168D" w:rsidR="00D6018A">
        <w:rPr>
          <w:color w:val="010101"/>
          <w:szCs w:val="22"/>
        </w:rPr>
        <w:t>,</w:t>
      </w:r>
      <w:r w:rsidRPr="0058168D">
        <w:rPr>
          <w:color w:val="010101"/>
          <w:szCs w:val="22"/>
        </w:rPr>
        <w:t xml:space="preserve"> therefore</w:t>
      </w:r>
      <w:r w:rsidRPr="0058168D" w:rsidR="00D6018A">
        <w:rPr>
          <w:color w:val="010101"/>
          <w:szCs w:val="22"/>
        </w:rPr>
        <w:t>,</w:t>
      </w:r>
      <w:r w:rsidRPr="0058168D">
        <w:rPr>
          <w:color w:val="010101"/>
          <w:szCs w:val="22"/>
        </w:rPr>
        <w:t xml:space="preserve"> plan to dismiss </w:t>
      </w:r>
      <w:r w:rsidRPr="0058168D" w:rsidR="008235BA">
        <w:rPr>
          <w:color w:val="010101"/>
          <w:szCs w:val="22"/>
        </w:rPr>
        <w:t>the</w:t>
      </w:r>
      <w:r w:rsidRPr="0058168D" w:rsidR="00354467">
        <w:rPr>
          <w:color w:val="010101"/>
          <w:szCs w:val="22"/>
        </w:rPr>
        <w:t xml:space="preserve"> </w:t>
      </w:r>
      <w:r w:rsidRPr="0058168D">
        <w:rPr>
          <w:color w:val="010101"/>
          <w:szCs w:val="22"/>
        </w:rPr>
        <w:t>Petition</w:t>
      </w:r>
      <w:r w:rsidRPr="0058168D" w:rsidR="008235BA">
        <w:rPr>
          <w:color w:val="010101"/>
          <w:szCs w:val="22"/>
        </w:rPr>
        <w:t>s</w:t>
      </w:r>
      <w:r w:rsidRPr="0058168D">
        <w:rPr>
          <w:color w:val="010101"/>
          <w:szCs w:val="22"/>
        </w:rPr>
        <w:t xml:space="preserve"> below with prejudice unless a Petitioner files a </w:t>
      </w:r>
      <w:r w:rsidRPr="0058168D" w:rsidR="001F2000">
        <w:rPr>
          <w:color w:val="010101"/>
          <w:szCs w:val="22"/>
        </w:rPr>
        <w:t xml:space="preserve">letter </w:t>
      </w:r>
      <w:r w:rsidRPr="0058168D">
        <w:rPr>
          <w:color w:val="010101"/>
          <w:szCs w:val="22"/>
        </w:rPr>
        <w:t>in the relevant docket within 45 days of the date of Federal Register publication of this Public Notice specifying that it objects to the dismissal of its Petition</w:t>
      </w:r>
      <w:r w:rsidRPr="0058168D" w:rsidR="00122641">
        <w:rPr>
          <w:color w:val="010101"/>
          <w:szCs w:val="22"/>
        </w:rPr>
        <w:t xml:space="preserve"> and the reasons for such objections</w:t>
      </w:r>
      <w:r w:rsidRPr="0058168D">
        <w:rPr>
          <w:color w:val="010101"/>
          <w:szCs w:val="22"/>
        </w:rPr>
        <w:t>.  Upon release of this Public Notice, the Bureau will send copies to the Petitioners</w:t>
      </w:r>
      <w:r w:rsidRPr="0058168D" w:rsidR="001D1765">
        <w:rPr>
          <w:color w:val="010101"/>
          <w:szCs w:val="22"/>
        </w:rPr>
        <w:t xml:space="preserve"> at the last available mailing address associated with the Petition</w:t>
      </w:r>
      <w:r w:rsidRPr="0058168D">
        <w:rPr>
          <w:color w:val="010101"/>
          <w:szCs w:val="22"/>
        </w:rPr>
        <w:t>.</w:t>
      </w:r>
    </w:p>
    <w:p w:rsidR="0087007B" w:rsidRPr="0058168D" w:rsidP="0087007B" w14:paraId="0551B843" w14:textId="77777777">
      <w:pPr>
        <w:autoSpaceDE w:val="0"/>
        <w:autoSpaceDN w:val="0"/>
        <w:adjustRightInd w:val="0"/>
        <w:rPr>
          <w:color w:val="010101"/>
          <w:szCs w:val="22"/>
        </w:rPr>
      </w:pPr>
    </w:p>
    <w:p w:rsidR="0087007B" w:rsidRPr="0058168D" w:rsidP="0087007B" w14:paraId="2B16882E" w14:textId="77777777">
      <w:pPr>
        <w:autoSpaceDE w:val="0"/>
        <w:autoSpaceDN w:val="0"/>
        <w:adjustRightInd w:val="0"/>
        <w:rPr>
          <w:color w:val="010101"/>
          <w:szCs w:val="22"/>
        </w:rPr>
      </w:pPr>
      <w:r w:rsidRPr="0058168D">
        <w:rPr>
          <w:color w:val="010101"/>
          <w:szCs w:val="22"/>
        </w:rPr>
        <w:tab/>
        <w:t>These Petitions and related information are provided below:</w:t>
      </w:r>
    </w:p>
    <w:p w:rsidR="0087007B" w:rsidP="0087007B" w14:paraId="1A731C23" w14:textId="77777777">
      <w:pPr>
        <w:autoSpaceDE w:val="0"/>
        <w:autoSpaceDN w:val="0"/>
        <w:adjustRightInd w:val="0"/>
        <w:rPr>
          <w:szCs w:val="22"/>
        </w:rPr>
      </w:pPr>
      <w:r>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4230"/>
        <w:gridCol w:w="1800"/>
      </w:tblGrid>
      <w:tr w14:paraId="43A49285" w14:textId="77777777" w:rsidTr="009A56D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988" w:type="dxa"/>
          </w:tcPr>
          <w:p w:rsidR="0087007B" w:rsidP="009A56D2" w14:paraId="4D0B32DF" w14:textId="77777777">
            <w:pPr>
              <w:autoSpaceDE w:val="0"/>
              <w:autoSpaceDN w:val="0"/>
              <w:adjustRightInd w:val="0"/>
              <w:rPr>
                <w:b/>
                <w:szCs w:val="22"/>
              </w:rPr>
            </w:pPr>
            <w:r>
              <w:rPr>
                <w:b/>
                <w:szCs w:val="22"/>
              </w:rPr>
              <w:t>Petitioner</w:t>
            </w:r>
          </w:p>
        </w:tc>
        <w:tc>
          <w:tcPr>
            <w:tcW w:w="4230" w:type="dxa"/>
          </w:tcPr>
          <w:p w:rsidR="0087007B" w:rsidP="009A56D2" w14:paraId="41AB6BC7" w14:textId="77777777">
            <w:pPr>
              <w:autoSpaceDE w:val="0"/>
              <w:autoSpaceDN w:val="0"/>
              <w:adjustRightInd w:val="0"/>
              <w:rPr>
                <w:b/>
                <w:szCs w:val="22"/>
              </w:rPr>
            </w:pPr>
            <w:r>
              <w:rPr>
                <w:b/>
                <w:szCs w:val="22"/>
              </w:rPr>
              <w:t>Petition</w:t>
            </w:r>
          </w:p>
        </w:tc>
        <w:tc>
          <w:tcPr>
            <w:tcW w:w="1800" w:type="dxa"/>
          </w:tcPr>
          <w:p w:rsidR="0087007B" w:rsidP="009A56D2" w14:paraId="6852982B" w14:textId="77777777">
            <w:pPr>
              <w:autoSpaceDE w:val="0"/>
              <w:autoSpaceDN w:val="0"/>
              <w:adjustRightInd w:val="0"/>
              <w:rPr>
                <w:b/>
                <w:szCs w:val="22"/>
              </w:rPr>
            </w:pPr>
            <w:r>
              <w:rPr>
                <w:b/>
                <w:szCs w:val="22"/>
              </w:rPr>
              <w:t>Date Filed</w:t>
            </w:r>
          </w:p>
        </w:tc>
      </w:tr>
      <w:tr w14:paraId="78913533" w14:textId="77777777" w:rsidTr="009A56D2">
        <w:tblPrEx>
          <w:tblW w:w="0" w:type="auto"/>
          <w:tblLook w:val="04A0"/>
        </w:tblPrEx>
        <w:trPr>
          <w:cantSplit/>
        </w:trPr>
        <w:tc>
          <w:tcPr>
            <w:tcW w:w="2988" w:type="dxa"/>
          </w:tcPr>
          <w:p w:rsidR="0003635C" w:rsidP="0003635C" w14:paraId="1B95DD8C" w14:textId="77777777">
            <w:pPr>
              <w:autoSpaceDE w:val="0"/>
              <w:autoSpaceDN w:val="0"/>
              <w:adjustRightInd w:val="0"/>
              <w:rPr>
                <w:szCs w:val="22"/>
              </w:rPr>
            </w:pPr>
            <w:r>
              <w:rPr>
                <w:szCs w:val="22"/>
              </w:rPr>
              <w:t>Mark Boling</w:t>
            </w:r>
          </w:p>
        </w:tc>
        <w:tc>
          <w:tcPr>
            <w:tcW w:w="4230" w:type="dxa"/>
          </w:tcPr>
          <w:p w:rsidR="0003635C" w:rsidRPr="0062799D" w:rsidP="0003635C" w14:paraId="5F61068B" w14:textId="77777777">
            <w:pPr>
              <w:widowControl/>
              <w:autoSpaceDE w:val="0"/>
              <w:autoSpaceDN w:val="0"/>
              <w:adjustRightInd w:val="0"/>
              <w:rPr>
                <w:szCs w:val="22"/>
              </w:rPr>
            </w:pPr>
            <w:r w:rsidRPr="00A41AED">
              <w:rPr>
                <w:szCs w:val="22"/>
              </w:rPr>
              <w:t>Petition for Declaratory Ruling</w:t>
            </w:r>
            <w:r>
              <w:rPr>
                <w:szCs w:val="22"/>
              </w:rPr>
              <w:t>, CG Docket No. 02-278</w:t>
            </w:r>
            <w:r w:rsidR="00C94C97">
              <w:rPr>
                <w:szCs w:val="22"/>
              </w:rPr>
              <w:t>.</w:t>
            </w:r>
          </w:p>
        </w:tc>
        <w:tc>
          <w:tcPr>
            <w:tcW w:w="1800" w:type="dxa"/>
          </w:tcPr>
          <w:p w:rsidR="0003635C" w:rsidP="0003635C" w14:paraId="2844F5AA" w14:textId="77777777">
            <w:pPr>
              <w:autoSpaceDE w:val="0"/>
              <w:autoSpaceDN w:val="0"/>
              <w:adjustRightInd w:val="0"/>
              <w:rPr>
                <w:szCs w:val="22"/>
              </w:rPr>
            </w:pPr>
            <w:r>
              <w:rPr>
                <w:szCs w:val="22"/>
              </w:rPr>
              <w:t>8/11/2003</w:t>
            </w:r>
          </w:p>
        </w:tc>
      </w:tr>
      <w:tr w14:paraId="54ACB8C2" w14:textId="77777777" w:rsidTr="009A56D2">
        <w:tblPrEx>
          <w:tblW w:w="0" w:type="auto"/>
          <w:tblLook w:val="04A0"/>
        </w:tblPrEx>
        <w:trPr>
          <w:cantSplit/>
        </w:trPr>
        <w:tc>
          <w:tcPr>
            <w:tcW w:w="2988" w:type="dxa"/>
          </w:tcPr>
          <w:p w:rsidR="0003635C" w:rsidP="0003635C" w14:paraId="75B2D970" w14:textId="77777777">
            <w:pPr>
              <w:autoSpaceDE w:val="0"/>
              <w:autoSpaceDN w:val="0"/>
              <w:adjustRightInd w:val="0"/>
              <w:rPr>
                <w:szCs w:val="22"/>
              </w:rPr>
            </w:pPr>
            <w:r>
              <w:rPr>
                <w:szCs w:val="22"/>
              </w:rPr>
              <w:t>Direct Marketing Association</w:t>
            </w:r>
          </w:p>
        </w:tc>
        <w:tc>
          <w:tcPr>
            <w:tcW w:w="4230" w:type="dxa"/>
          </w:tcPr>
          <w:p w:rsidR="0003635C" w:rsidRPr="00A41AED" w:rsidP="0003635C" w14:paraId="694C9DE3" w14:textId="77777777">
            <w:pPr>
              <w:widowControl/>
              <w:autoSpaceDE w:val="0"/>
              <w:autoSpaceDN w:val="0"/>
              <w:adjustRightInd w:val="0"/>
              <w:rPr>
                <w:szCs w:val="22"/>
              </w:rPr>
            </w:pPr>
            <w:r>
              <w:rPr>
                <w:szCs w:val="22"/>
              </w:rPr>
              <w:t xml:space="preserve">Petition for Reconsideration of </w:t>
            </w:r>
            <w:r w:rsidRPr="00A41AED">
              <w:rPr>
                <w:i/>
                <w:iCs/>
                <w:szCs w:val="22"/>
              </w:rPr>
              <w:t>Rules and Regulations Implementing the Telephone Consumer Protection Act of 1991</w:t>
            </w:r>
            <w:r>
              <w:rPr>
                <w:szCs w:val="22"/>
              </w:rPr>
              <w:t xml:space="preserve">, CG Docket No. 02-278, Report and Order, </w:t>
            </w:r>
            <w:r w:rsidRPr="00A41AED">
              <w:rPr>
                <w:szCs w:val="22"/>
              </w:rPr>
              <w:t xml:space="preserve">18 FCC </w:t>
            </w:r>
            <w:r w:rsidRPr="00A41AED">
              <w:rPr>
                <w:szCs w:val="22"/>
              </w:rPr>
              <w:t>Rcd</w:t>
            </w:r>
            <w:r w:rsidRPr="00A41AED">
              <w:rPr>
                <w:szCs w:val="22"/>
              </w:rPr>
              <w:t xml:space="preserve"> 14014</w:t>
            </w:r>
            <w:r>
              <w:rPr>
                <w:szCs w:val="22"/>
              </w:rPr>
              <w:t xml:space="preserve"> (2003).</w:t>
            </w:r>
          </w:p>
        </w:tc>
        <w:tc>
          <w:tcPr>
            <w:tcW w:w="1800" w:type="dxa"/>
          </w:tcPr>
          <w:p w:rsidR="0003635C" w:rsidP="0003635C" w14:paraId="3B520593" w14:textId="77777777">
            <w:pPr>
              <w:autoSpaceDE w:val="0"/>
              <w:autoSpaceDN w:val="0"/>
              <w:adjustRightInd w:val="0"/>
              <w:rPr>
                <w:szCs w:val="22"/>
              </w:rPr>
            </w:pPr>
            <w:r>
              <w:rPr>
                <w:szCs w:val="22"/>
              </w:rPr>
              <w:t>8/25/2003</w:t>
            </w:r>
          </w:p>
        </w:tc>
      </w:tr>
      <w:tr w14:paraId="34720208" w14:textId="77777777" w:rsidTr="009A56D2">
        <w:tblPrEx>
          <w:tblW w:w="0" w:type="auto"/>
          <w:tblLook w:val="04A0"/>
        </w:tblPrEx>
        <w:trPr>
          <w:cantSplit/>
        </w:trPr>
        <w:tc>
          <w:tcPr>
            <w:tcW w:w="2988" w:type="dxa"/>
          </w:tcPr>
          <w:p w:rsidR="0003635C" w:rsidP="0003635C" w14:paraId="0138DAF3" w14:textId="77777777">
            <w:pPr>
              <w:autoSpaceDE w:val="0"/>
              <w:autoSpaceDN w:val="0"/>
              <w:adjustRightInd w:val="0"/>
              <w:rPr>
                <w:szCs w:val="22"/>
              </w:rPr>
            </w:pPr>
            <w:r>
              <w:rPr>
                <w:szCs w:val="22"/>
              </w:rPr>
              <w:t>American Teleservices Association, Inc.</w:t>
            </w:r>
          </w:p>
        </w:tc>
        <w:tc>
          <w:tcPr>
            <w:tcW w:w="4230" w:type="dxa"/>
          </w:tcPr>
          <w:p w:rsidR="0003635C" w:rsidRPr="00C94C97" w:rsidP="00C94C97" w14:paraId="7D34420A" w14:textId="77777777">
            <w:pPr>
              <w:widowControl/>
              <w:autoSpaceDE w:val="0"/>
              <w:autoSpaceDN w:val="0"/>
              <w:adjustRightInd w:val="0"/>
              <w:rPr>
                <w:szCs w:val="22"/>
              </w:rPr>
            </w:pPr>
            <w:r w:rsidRPr="00C94C97">
              <w:rPr>
                <w:szCs w:val="22"/>
              </w:rPr>
              <w:t>Petition for Declaratory Ruling with Respect to</w:t>
            </w:r>
            <w:r>
              <w:rPr>
                <w:szCs w:val="22"/>
              </w:rPr>
              <w:t xml:space="preserve"> </w:t>
            </w:r>
            <w:r w:rsidRPr="00C94C97">
              <w:rPr>
                <w:szCs w:val="22"/>
              </w:rPr>
              <w:t>Certain Provisions of the New</w:t>
            </w:r>
            <w:r>
              <w:rPr>
                <w:szCs w:val="22"/>
              </w:rPr>
              <w:t xml:space="preserve"> Jersey</w:t>
            </w:r>
            <w:r w:rsidRPr="00C94C97">
              <w:rPr>
                <w:szCs w:val="22"/>
              </w:rPr>
              <w:t xml:space="preserve"> Consumer</w:t>
            </w:r>
            <w:r>
              <w:rPr>
                <w:szCs w:val="22"/>
              </w:rPr>
              <w:t xml:space="preserve"> </w:t>
            </w:r>
            <w:r w:rsidRPr="00C94C97">
              <w:rPr>
                <w:szCs w:val="22"/>
              </w:rPr>
              <w:t>Fraud Act and the New Jersey Administrative Code</w:t>
            </w:r>
            <w:r>
              <w:rPr>
                <w:szCs w:val="22"/>
              </w:rPr>
              <w:t>, CG Docket No. 02-278.</w:t>
            </w:r>
          </w:p>
        </w:tc>
        <w:tc>
          <w:tcPr>
            <w:tcW w:w="1800" w:type="dxa"/>
          </w:tcPr>
          <w:p w:rsidR="0003635C" w:rsidP="0003635C" w14:paraId="58D66874" w14:textId="77777777">
            <w:pPr>
              <w:autoSpaceDE w:val="0"/>
              <w:autoSpaceDN w:val="0"/>
              <w:adjustRightInd w:val="0"/>
              <w:rPr>
                <w:szCs w:val="22"/>
              </w:rPr>
            </w:pPr>
            <w:r>
              <w:rPr>
                <w:szCs w:val="22"/>
              </w:rPr>
              <w:t>8/24/2004</w:t>
            </w:r>
          </w:p>
        </w:tc>
        <w:bookmarkStart w:id="0" w:name="_GoBack"/>
        <w:bookmarkEnd w:id="0"/>
      </w:tr>
      <w:tr w14:paraId="298DAC06" w14:textId="77777777" w:rsidTr="009A56D2">
        <w:tblPrEx>
          <w:tblW w:w="0" w:type="auto"/>
          <w:tblLook w:val="04A0"/>
        </w:tblPrEx>
        <w:trPr>
          <w:cantSplit/>
        </w:trPr>
        <w:tc>
          <w:tcPr>
            <w:tcW w:w="2988" w:type="dxa"/>
          </w:tcPr>
          <w:p w:rsidR="0003635C" w:rsidP="0003635C" w14:paraId="14C4C939" w14:textId="77777777">
            <w:pPr>
              <w:autoSpaceDE w:val="0"/>
              <w:autoSpaceDN w:val="0"/>
              <w:adjustRightInd w:val="0"/>
              <w:rPr>
                <w:szCs w:val="22"/>
              </w:rPr>
            </w:pPr>
            <w:r>
              <w:rPr>
                <w:szCs w:val="22"/>
              </w:rPr>
              <w:t>FreeEats.com Inc. (d</w:t>
            </w:r>
            <w:r w:rsidR="00C94C97">
              <w:rPr>
                <w:szCs w:val="22"/>
              </w:rPr>
              <w:t>/</w:t>
            </w:r>
            <w:r>
              <w:rPr>
                <w:szCs w:val="22"/>
              </w:rPr>
              <w:t>b</w:t>
            </w:r>
            <w:r w:rsidR="00C94C97">
              <w:rPr>
                <w:szCs w:val="22"/>
              </w:rPr>
              <w:t>/</w:t>
            </w:r>
            <w:r>
              <w:rPr>
                <w:szCs w:val="22"/>
              </w:rPr>
              <w:t xml:space="preserve">a </w:t>
            </w:r>
            <w:r>
              <w:rPr>
                <w:szCs w:val="22"/>
              </w:rPr>
              <w:t>ccAdvertising</w:t>
            </w:r>
            <w:r>
              <w:rPr>
                <w:szCs w:val="22"/>
              </w:rPr>
              <w:t>)</w:t>
            </w:r>
          </w:p>
        </w:tc>
        <w:tc>
          <w:tcPr>
            <w:tcW w:w="4230" w:type="dxa"/>
          </w:tcPr>
          <w:p w:rsidR="0003635C" w:rsidRPr="00E812CE" w:rsidP="0003635C" w14:paraId="5C683ACA" w14:textId="77777777">
            <w:pPr>
              <w:widowControl/>
              <w:autoSpaceDE w:val="0"/>
              <w:autoSpaceDN w:val="0"/>
              <w:adjustRightInd w:val="0"/>
              <w:rPr>
                <w:szCs w:val="22"/>
              </w:rPr>
            </w:pPr>
            <w:r>
              <w:rPr>
                <w:szCs w:val="22"/>
              </w:rPr>
              <w:t>Petition for Expedited Declaratory Ruling, CG Docket No. 02-278.</w:t>
            </w:r>
          </w:p>
        </w:tc>
        <w:tc>
          <w:tcPr>
            <w:tcW w:w="1800" w:type="dxa"/>
          </w:tcPr>
          <w:p w:rsidR="0003635C" w:rsidP="0003635C" w14:paraId="25A4423C" w14:textId="77777777">
            <w:pPr>
              <w:autoSpaceDE w:val="0"/>
              <w:autoSpaceDN w:val="0"/>
              <w:adjustRightInd w:val="0"/>
              <w:rPr>
                <w:szCs w:val="22"/>
              </w:rPr>
            </w:pPr>
            <w:r>
              <w:rPr>
                <w:szCs w:val="22"/>
              </w:rPr>
              <w:t>9/13/2004</w:t>
            </w:r>
          </w:p>
        </w:tc>
      </w:tr>
      <w:tr w14:paraId="6AEEB689" w14:textId="77777777" w:rsidTr="009A56D2">
        <w:tblPrEx>
          <w:tblW w:w="0" w:type="auto"/>
          <w:tblLook w:val="04A0"/>
        </w:tblPrEx>
        <w:trPr>
          <w:cantSplit/>
        </w:trPr>
        <w:tc>
          <w:tcPr>
            <w:tcW w:w="2988" w:type="dxa"/>
          </w:tcPr>
          <w:p w:rsidR="0003635C" w:rsidP="0003635C" w14:paraId="3B0D2CCF" w14:textId="77777777">
            <w:pPr>
              <w:autoSpaceDE w:val="0"/>
              <w:autoSpaceDN w:val="0"/>
              <w:adjustRightInd w:val="0"/>
              <w:rPr>
                <w:szCs w:val="22"/>
              </w:rPr>
            </w:pPr>
            <w:r>
              <w:rPr>
                <w:szCs w:val="22"/>
              </w:rPr>
              <w:t>Consumer Bankers Association (Indiana)</w:t>
            </w:r>
          </w:p>
        </w:tc>
        <w:tc>
          <w:tcPr>
            <w:tcW w:w="4230" w:type="dxa"/>
          </w:tcPr>
          <w:p w:rsidR="0003635C" w:rsidRPr="00CA6617" w:rsidP="003C27A2" w14:paraId="037CD7BF" w14:textId="77777777">
            <w:pPr>
              <w:widowControl/>
              <w:autoSpaceDE w:val="0"/>
              <w:autoSpaceDN w:val="0"/>
              <w:adjustRightInd w:val="0"/>
              <w:rPr>
                <w:szCs w:val="22"/>
              </w:rPr>
            </w:pPr>
            <w:r w:rsidRPr="003C27A2">
              <w:rPr>
                <w:szCs w:val="22"/>
              </w:rPr>
              <w:t>Petition for Expedited Declaratory Ruling with Respect to Certain Provisions of the Indiana Revised Statutes and Indiana Administrative Code</w:t>
            </w:r>
            <w:r>
              <w:rPr>
                <w:szCs w:val="22"/>
              </w:rPr>
              <w:t>, CG Docket No. 02-278.</w:t>
            </w:r>
          </w:p>
        </w:tc>
        <w:tc>
          <w:tcPr>
            <w:tcW w:w="1800" w:type="dxa"/>
          </w:tcPr>
          <w:p w:rsidR="0003635C" w:rsidP="0003635C" w14:paraId="676D65FE" w14:textId="77777777">
            <w:pPr>
              <w:autoSpaceDE w:val="0"/>
              <w:autoSpaceDN w:val="0"/>
              <w:adjustRightInd w:val="0"/>
              <w:rPr>
                <w:szCs w:val="22"/>
              </w:rPr>
            </w:pPr>
            <w:r>
              <w:rPr>
                <w:szCs w:val="22"/>
              </w:rPr>
              <w:t>11/19/2004</w:t>
            </w:r>
          </w:p>
        </w:tc>
      </w:tr>
      <w:tr w14:paraId="119D856E" w14:textId="77777777" w:rsidTr="009A56D2">
        <w:tblPrEx>
          <w:tblW w:w="0" w:type="auto"/>
          <w:tblLook w:val="04A0"/>
        </w:tblPrEx>
        <w:trPr>
          <w:cantSplit/>
        </w:trPr>
        <w:tc>
          <w:tcPr>
            <w:tcW w:w="2988" w:type="dxa"/>
          </w:tcPr>
          <w:p w:rsidR="0003635C" w:rsidP="0003635C" w14:paraId="62DD89DF" w14:textId="77777777">
            <w:pPr>
              <w:autoSpaceDE w:val="0"/>
              <w:autoSpaceDN w:val="0"/>
              <w:adjustRightInd w:val="0"/>
              <w:rPr>
                <w:szCs w:val="22"/>
              </w:rPr>
            </w:pPr>
            <w:r>
              <w:rPr>
                <w:szCs w:val="22"/>
              </w:rPr>
              <w:t>Consumer Bankers Association (Wisconsin)</w:t>
            </w:r>
          </w:p>
        </w:tc>
        <w:tc>
          <w:tcPr>
            <w:tcW w:w="4230" w:type="dxa"/>
          </w:tcPr>
          <w:p w:rsidR="0003635C" w:rsidRPr="003C27A2" w:rsidP="003C27A2" w14:paraId="67FF23A0" w14:textId="77777777">
            <w:pPr>
              <w:widowControl/>
              <w:autoSpaceDE w:val="0"/>
              <w:autoSpaceDN w:val="0"/>
              <w:adjustRightInd w:val="0"/>
              <w:rPr>
                <w:szCs w:val="22"/>
              </w:rPr>
            </w:pPr>
            <w:r w:rsidRPr="003C27A2">
              <w:rPr>
                <w:szCs w:val="22"/>
              </w:rPr>
              <w:t>Petition for Declaratory Ruling with Respect to Certain Provisions of the Wisconsin Statutes and Wisconsin Administrative Code</w:t>
            </w:r>
            <w:r>
              <w:rPr>
                <w:szCs w:val="22"/>
              </w:rPr>
              <w:t>, CG Docket No. 02-278</w:t>
            </w:r>
            <w:r w:rsidR="005519B9">
              <w:rPr>
                <w:szCs w:val="22"/>
              </w:rPr>
              <w:t>.</w:t>
            </w:r>
          </w:p>
        </w:tc>
        <w:tc>
          <w:tcPr>
            <w:tcW w:w="1800" w:type="dxa"/>
          </w:tcPr>
          <w:p w:rsidR="0003635C" w:rsidP="0003635C" w14:paraId="42069561" w14:textId="77777777">
            <w:pPr>
              <w:autoSpaceDE w:val="0"/>
              <w:autoSpaceDN w:val="0"/>
              <w:adjustRightInd w:val="0"/>
              <w:rPr>
                <w:szCs w:val="22"/>
              </w:rPr>
            </w:pPr>
            <w:r>
              <w:rPr>
                <w:szCs w:val="22"/>
              </w:rPr>
              <w:t>11/19/2004</w:t>
            </w:r>
          </w:p>
        </w:tc>
      </w:tr>
      <w:tr w14:paraId="45E053AB" w14:textId="77777777" w:rsidTr="009A56D2">
        <w:tblPrEx>
          <w:tblW w:w="0" w:type="auto"/>
          <w:tblLook w:val="04A0"/>
        </w:tblPrEx>
        <w:trPr>
          <w:cantSplit/>
        </w:trPr>
        <w:tc>
          <w:tcPr>
            <w:tcW w:w="2988" w:type="dxa"/>
          </w:tcPr>
          <w:p w:rsidR="0003635C" w:rsidP="0003635C" w14:paraId="6314829C" w14:textId="77777777">
            <w:pPr>
              <w:autoSpaceDE w:val="0"/>
              <w:autoSpaceDN w:val="0"/>
              <w:adjustRightInd w:val="0"/>
              <w:rPr>
                <w:szCs w:val="22"/>
              </w:rPr>
            </w:pPr>
            <w:r>
              <w:rPr>
                <w:szCs w:val="22"/>
              </w:rPr>
              <w:t>National City Mortgage Co.</w:t>
            </w:r>
          </w:p>
        </w:tc>
        <w:tc>
          <w:tcPr>
            <w:tcW w:w="4230" w:type="dxa"/>
          </w:tcPr>
          <w:p w:rsidR="0003635C" w:rsidRPr="003C27A2" w:rsidP="003C27A2" w14:paraId="24E3769C" w14:textId="77777777">
            <w:pPr>
              <w:widowControl/>
              <w:autoSpaceDE w:val="0"/>
              <w:autoSpaceDN w:val="0"/>
              <w:adjustRightInd w:val="0"/>
              <w:rPr>
                <w:szCs w:val="22"/>
              </w:rPr>
            </w:pPr>
            <w:r w:rsidRPr="003C27A2">
              <w:rPr>
                <w:szCs w:val="22"/>
              </w:rPr>
              <w:t>Petition for Expedited Declaratory Ruling with</w:t>
            </w:r>
            <w:r>
              <w:rPr>
                <w:szCs w:val="22"/>
              </w:rPr>
              <w:t xml:space="preserve"> </w:t>
            </w:r>
            <w:r w:rsidRPr="003C27A2">
              <w:rPr>
                <w:szCs w:val="22"/>
              </w:rPr>
              <w:t>Respect to Certain Provisions of the Florida</w:t>
            </w:r>
            <w:r>
              <w:rPr>
                <w:szCs w:val="22"/>
              </w:rPr>
              <w:t xml:space="preserve"> </w:t>
            </w:r>
            <w:r w:rsidRPr="003C27A2">
              <w:rPr>
                <w:szCs w:val="22"/>
              </w:rPr>
              <w:t>Statutes</w:t>
            </w:r>
            <w:r>
              <w:rPr>
                <w:szCs w:val="22"/>
              </w:rPr>
              <w:t>, CG Docket No. 02-278</w:t>
            </w:r>
            <w:r w:rsidR="005519B9">
              <w:rPr>
                <w:szCs w:val="22"/>
              </w:rPr>
              <w:t>.</w:t>
            </w:r>
          </w:p>
        </w:tc>
        <w:tc>
          <w:tcPr>
            <w:tcW w:w="1800" w:type="dxa"/>
          </w:tcPr>
          <w:p w:rsidR="0003635C" w:rsidP="0003635C" w14:paraId="454A13A4" w14:textId="77777777">
            <w:pPr>
              <w:autoSpaceDE w:val="0"/>
              <w:autoSpaceDN w:val="0"/>
              <w:adjustRightInd w:val="0"/>
              <w:rPr>
                <w:szCs w:val="22"/>
              </w:rPr>
            </w:pPr>
            <w:r>
              <w:rPr>
                <w:szCs w:val="22"/>
              </w:rPr>
              <w:t>11/22/2004</w:t>
            </w:r>
          </w:p>
        </w:tc>
      </w:tr>
      <w:tr w14:paraId="7707DD5C" w14:textId="77777777" w:rsidTr="009A56D2">
        <w:tblPrEx>
          <w:tblW w:w="0" w:type="auto"/>
          <w:tblLook w:val="04A0"/>
        </w:tblPrEx>
        <w:trPr>
          <w:cantSplit/>
        </w:trPr>
        <w:tc>
          <w:tcPr>
            <w:tcW w:w="2988" w:type="dxa"/>
          </w:tcPr>
          <w:p w:rsidR="0003635C" w:rsidP="0003635C" w14:paraId="49F69FD6" w14:textId="77777777">
            <w:pPr>
              <w:autoSpaceDE w:val="0"/>
              <w:autoSpaceDN w:val="0"/>
              <w:adjustRightInd w:val="0"/>
              <w:rPr>
                <w:szCs w:val="22"/>
              </w:rPr>
            </w:pPr>
            <w:r>
              <w:rPr>
                <w:szCs w:val="22"/>
              </w:rPr>
              <w:t>TSA Stores, Inc.</w:t>
            </w:r>
          </w:p>
        </w:tc>
        <w:tc>
          <w:tcPr>
            <w:tcW w:w="4230" w:type="dxa"/>
          </w:tcPr>
          <w:p w:rsidR="0003635C" w:rsidRPr="00C5167A" w:rsidP="00C5167A" w14:paraId="155EB0FB" w14:textId="77777777">
            <w:pPr>
              <w:widowControl/>
              <w:autoSpaceDE w:val="0"/>
              <w:autoSpaceDN w:val="0"/>
              <w:adjustRightInd w:val="0"/>
              <w:rPr>
                <w:szCs w:val="22"/>
              </w:rPr>
            </w:pPr>
            <w:r w:rsidRPr="00C5167A">
              <w:rPr>
                <w:szCs w:val="22"/>
              </w:rPr>
              <w:t>Petition for Declaratory Ruling with</w:t>
            </w:r>
            <w:r w:rsidR="00471107">
              <w:rPr>
                <w:szCs w:val="22"/>
              </w:rPr>
              <w:t xml:space="preserve"> </w:t>
            </w:r>
            <w:r w:rsidRPr="00C5167A">
              <w:rPr>
                <w:szCs w:val="22"/>
              </w:rPr>
              <w:t>Respect to Certain Provisions of the</w:t>
            </w:r>
            <w:r w:rsidR="00471107">
              <w:rPr>
                <w:szCs w:val="22"/>
              </w:rPr>
              <w:t xml:space="preserve"> </w:t>
            </w:r>
            <w:r w:rsidRPr="00C5167A">
              <w:rPr>
                <w:szCs w:val="22"/>
              </w:rPr>
              <w:t>Florida laws and regulations</w:t>
            </w:r>
            <w:r>
              <w:rPr>
                <w:szCs w:val="22"/>
              </w:rPr>
              <w:t>, CG Docket No. 02-278</w:t>
            </w:r>
            <w:r w:rsidR="005519B9">
              <w:rPr>
                <w:szCs w:val="22"/>
              </w:rPr>
              <w:t>.</w:t>
            </w:r>
          </w:p>
        </w:tc>
        <w:tc>
          <w:tcPr>
            <w:tcW w:w="1800" w:type="dxa"/>
          </w:tcPr>
          <w:p w:rsidR="0003635C" w:rsidP="0003635C" w14:paraId="6CB857A9" w14:textId="77777777">
            <w:pPr>
              <w:autoSpaceDE w:val="0"/>
              <w:autoSpaceDN w:val="0"/>
              <w:adjustRightInd w:val="0"/>
              <w:rPr>
                <w:szCs w:val="22"/>
              </w:rPr>
            </w:pPr>
            <w:r>
              <w:rPr>
                <w:szCs w:val="22"/>
              </w:rPr>
              <w:t>2/1/2005</w:t>
            </w:r>
          </w:p>
        </w:tc>
      </w:tr>
      <w:tr w14:paraId="737EE3D4" w14:textId="77777777" w:rsidTr="009A56D2">
        <w:tblPrEx>
          <w:tblW w:w="0" w:type="auto"/>
          <w:tblLook w:val="04A0"/>
        </w:tblPrEx>
        <w:trPr>
          <w:cantSplit/>
        </w:trPr>
        <w:tc>
          <w:tcPr>
            <w:tcW w:w="2988" w:type="dxa"/>
          </w:tcPr>
          <w:p w:rsidR="0087007B" w:rsidRPr="00CE573A" w:rsidP="009A56D2" w14:paraId="03C41314" w14:textId="77777777">
            <w:pPr>
              <w:autoSpaceDE w:val="0"/>
              <w:autoSpaceDN w:val="0"/>
              <w:adjustRightInd w:val="0"/>
              <w:rPr>
                <w:szCs w:val="22"/>
              </w:rPr>
            </w:pPr>
            <w:r>
              <w:rPr>
                <w:szCs w:val="22"/>
              </w:rPr>
              <w:t>33 Allied Petitioners</w:t>
            </w:r>
          </w:p>
        </w:tc>
        <w:tc>
          <w:tcPr>
            <w:tcW w:w="4230" w:type="dxa"/>
          </w:tcPr>
          <w:p w:rsidR="0087007B" w:rsidP="00C5167A" w14:paraId="141C9519" w14:textId="77777777">
            <w:pPr>
              <w:widowControl/>
              <w:autoSpaceDE w:val="0"/>
              <w:autoSpaceDN w:val="0"/>
              <w:adjustRightInd w:val="0"/>
              <w:rPr>
                <w:szCs w:val="22"/>
              </w:rPr>
            </w:pPr>
            <w:r w:rsidRPr="005519B9">
              <w:rPr>
                <w:szCs w:val="22"/>
              </w:rPr>
              <w:t>Petition for Declaratory Ruling that the FCC has</w:t>
            </w:r>
            <w:r w:rsidR="005519B9">
              <w:rPr>
                <w:szCs w:val="22"/>
              </w:rPr>
              <w:t xml:space="preserve"> </w:t>
            </w:r>
            <w:r w:rsidRPr="005519B9">
              <w:rPr>
                <w:szCs w:val="22"/>
              </w:rPr>
              <w:t>Exclusive Regulatory Jurisdiction Over Interstate</w:t>
            </w:r>
            <w:r w:rsidR="005519B9">
              <w:rPr>
                <w:szCs w:val="22"/>
              </w:rPr>
              <w:t xml:space="preserve"> </w:t>
            </w:r>
            <w:r w:rsidRPr="005519B9">
              <w:rPr>
                <w:szCs w:val="22"/>
              </w:rPr>
              <w:t>Telemarketing</w:t>
            </w:r>
            <w:r w:rsidR="005519B9">
              <w:rPr>
                <w:szCs w:val="22"/>
              </w:rPr>
              <w:t>, CG Docket No. 02-278.</w:t>
            </w:r>
          </w:p>
        </w:tc>
        <w:tc>
          <w:tcPr>
            <w:tcW w:w="1800" w:type="dxa"/>
          </w:tcPr>
          <w:p w:rsidR="0087007B" w:rsidP="009A56D2" w14:paraId="2790A7B7" w14:textId="77777777">
            <w:pPr>
              <w:autoSpaceDE w:val="0"/>
              <w:autoSpaceDN w:val="0"/>
              <w:adjustRightInd w:val="0"/>
              <w:rPr>
                <w:szCs w:val="22"/>
              </w:rPr>
            </w:pPr>
            <w:r>
              <w:rPr>
                <w:szCs w:val="22"/>
              </w:rPr>
              <w:t>4/29/2005</w:t>
            </w:r>
          </w:p>
        </w:tc>
      </w:tr>
      <w:tr w14:paraId="34C4B602" w14:textId="77777777" w:rsidTr="009A56D2">
        <w:tblPrEx>
          <w:tblW w:w="0" w:type="auto"/>
          <w:tblLook w:val="04A0"/>
        </w:tblPrEx>
        <w:trPr>
          <w:cantSplit/>
        </w:trPr>
        <w:tc>
          <w:tcPr>
            <w:tcW w:w="2988" w:type="dxa"/>
          </w:tcPr>
          <w:p w:rsidR="00C5167A" w:rsidP="00C5167A" w14:paraId="65F73FBD" w14:textId="77777777">
            <w:pPr>
              <w:autoSpaceDE w:val="0"/>
              <w:autoSpaceDN w:val="0"/>
              <w:adjustRightInd w:val="0"/>
              <w:rPr>
                <w:szCs w:val="22"/>
              </w:rPr>
            </w:pPr>
            <w:r>
              <w:rPr>
                <w:szCs w:val="22"/>
              </w:rPr>
              <w:t>The Fax Ban Coalition</w:t>
            </w:r>
          </w:p>
        </w:tc>
        <w:tc>
          <w:tcPr>
            <w:tcW w:w="4230" w:type="dxa"/>
          </w:tcPr>
          <w:p w:rsidR="00C5167A" w:rsidRPr="00106903" w:rsidP="00C5167A" w14:paraId="59551C16" w14:textId="77777777">
            <w:pPr>
              <w:widowControl/>
              <w:autoSpaceDE w:val="0"/>
              <w:autoSpaceDN w:val="0"/>
              <w:adjustRightInd w:val="0"/>
              <w:rPr>
                <w:i/>
                <w:iCs/>
                <w:szCs w:val="22"/>
              </w:rPr>
            </w:pPr>
            <w:r w:rsidRPr="00C5167A">
              <w:rPr>
                <w:szCs w:val="22"/>
              </w:rPr>
              <w:t>Petition For Declaratory Ruling Of The Fax Ban Coalition</w:t>
            </w:r>
            <w:r>
              <w:rPr>
                <w:szCs w:val="22"/>
              </w:rPr>
              <w:t>, CG Docket No. 02-278.</w:t>
            </w:r>
          </w:p>
        </w:tc>
        <w:tc>
          <w:tcPr>
            <w:tcW w:w="1800" w:type="dxa"/>
          </w:tcPr>
          <w:p w:rsidR="00C5167A" w:rsidP="00C5167A" w14:paraId="31235D72" w14:textId="77777777">
            <w:pPr>
              <w:autoSpaceDE w:val="0"/>
              <w:autoSpaceDN w:val="0"/>
              <w:adjustRightInd w:val="0"/>
              <w:rPr>
                <w:szCs w:val="22"/>
              </w:rPr>
            </w:pPr>
            <w:r>
              <w:rPr>
                <w:szCs w:val="22"/>
              </w:rPr>
              <w:t>11/7/2005</w:t>
            </w:r>
          </w:p>
        </w:tc>
      </w:tr>
    </w:tbl>
    <w:p w:rsidR="0087007B" w:rsidP="0003635C" w14:paraId="79872B29" w14:textId="77777777">
      <w:pPr>
        <w:autoSpaceDE w:val="0"/>
        <w:autoSpaceDN w:val="0"/>
        <w:adjustRightInd w:val="0"/>
        <w:rPr>
          <w:rFonts w:ascii="TimesNewRoman" w:hAnsi="TimesNewRoman" w:cs="TimesNewRoman"/>
          <w:color w:val="010101"/>
          <w:szCs w:val="22"/>
        </w:rPr>
      </w:pPr>
    </w:p>
    <w:p w:rsidR="004C5A9B" w:rsidP="004C5A9B" w14:paraId="518FCC30" w14:textId="77777777">
      <w:pPr>
        <w:widowControl/>
        <w:autoSpaceDE w:val="0"/>
        <w:autoSpaceDN w:val="0"/>
        <w:adjustRightInd w:val="0"/>
        <w:ind w:firstLine="720"/>
        <w:rPr>
          <w:color w:val="010101"/>
          <w:szCs w:val="22"/>
        </w:rPr>
      </w:pPr>
      <w:r w:rsidRPr="00FF760C">
        <w:rPr>
          <w:i/>
          <w:color w:val="010101"/>
          <w:szCs w:val="22"/>
        </w:rPr>
        <w:t xml:space="preserve">Filing Requirements.  </w:t>
      </w:r>
      <w:r w:rsidRPr="00FF760C">
        <w:rPr>
          <w:szCs w:val="22"/>
        </w:rPr>
        <w:t>Pursuant to section 1.419 of the Commission’s rules, a</w:t>
      </w:r>
      <w:r w:rsidRPr="00FF760C">
        <w:rPr>
          <w:color w:val="010101"/>
          <w:szCs w:val="22"/>
        </w:rPr>
        <w:t xml:space="preserve">ny Petitioner </w:t>
      </w:r>
      <w:r>
        <w:rPr>
          <w:color w:val="010101"/>
          <w:szCs w:val="22"/>
        </w:rPr>
        <w:t xml:space="preserve">objecting to the dismissal of </w:t>
      </w:r>
      <w:r w:rsidRPr="00FF760C">
        <w:rPr>
          <w:color w:val="010101"/>
          <w:szCs w:val="22"/>
        </w:rPr>
        <w:t xml:space="preserve">its Petition must file a letter stating </w:t>
      </w:r>
      <w:r>
        <w:rPr>
          <w:color w:val="010101"/>
          <w:szCs w:val="22"/>
        </w:rPr>
        <w:t xml:space="preserve">its objection </w:t>
      </w:r>
      <w:r w:rsidRPr="00FF760C">
        <w:rPr>
          <w:color w:val="010101"/>
          <w:szCs w:val="22"/>
        </w:rPr>
        <w:t>on or before the date indicated on the first page of this document.</w:t>
      </w:r>
      <w:r>
        <w:rPr>
          <w:rStyle w:val="FootnoteReference"/>
          <w:color w:val="010101"/>
          <w:sz w:val="20"/>
          <w:szCs w:val="22"/>
        </w:rPr>
        <w:footnoteReference w:id="5"/>
      </w:r>
      <w:r w:rsidRPr="00FF760C">
        <w:rPr>
          <w:color w:val="010101"/>
          <w:szCs w:val="22"/>
        </w:rPr>
        <w:t xml:space="preserve">  The letter must reference </w:t>
      </w:r>
      <w:r>
        <w:rPr>
          <w:b/>
          <w:kern w:val="0"/>
          <w:szCs w:val="22"/>
        </w:rPr>
        <w:t>CG Docket No. 02-278</w:t>
      </w:r>
      <w:r w:rsidRPr="00FF760C">
        <w:rPr>
          <w:kern w:val="0"/>
          <w:szCs w:val="22"/>
        </w:rPr>
        <w:t>,</w:t>
      </w:r>
      <w:r w:rsidRPr="00FF760C">
        <w:rPr>
          <w:b/>
          <w:kern w:val="0"/>
          <w:szCs w:val="22"/>
        </w:rPr>
        <w:t xml:space="preserve"> </w:t>
      </w:r>
      <w:r w:rsidRPr="00FF760C">
        <w:rPr>
          <w:color w:val="010101"/>
          <w:szCs w:val="22"/>
        </w:rPr>
        <w:t>and may be filed using the Commission’s Electronic Comment Filing System (ECFS) or by filing paper copies.</w:t>
      </w:r>
      <w:r>
        <w:rPr>
          <w:rStyle w:val="FootnoteReference"/>
          <w:sz w:val="20"/>
          <w:szCs w:val="22"/>
        </w:rPr>
        <w:footnoteReference w:id="6"/>
      </w:r>
    </w:p>
    <w:p w:rsidR="00390EDE" w:rsidRPr="00FF760C" w:rsidP="004C5A9B" w14:paraId="149936DD" w14:textId="77777777">
      <w:pPr>
        <w:widowControl/>
        <w:autoSpaceDE w:val="0"/>
        <w:autoSpaceDN w:val="0"/>
        <w:adjustRightInd w:val="0"/>
        <w:ind w:firstLine="720"/>
        <w:rPr>
          <w:color w:val="010101"/>
          <w:szCs w:val="22"/>
        </w:rPr>
      </w:pPr>
    </w:p>
    <w:p w:rsidR="005B123A" w:rsidRPr="00C337F5" w:rsidP="005B123A" w14:paraId="54DA8590" w14:textId="77777777">
      <w:pPr>
        <w:widowControl/>
        <w:numPr>
          <w:ilvl w:val="0"/>
          <w:numId w:val="10"/>
        </w:numPr>
        <w:rPr>
          <w:szCs w:val="22"/>
        </w:rPr>
      </w:pPr>
      <w:r w:rsidRPr="00C337F5">
        <w:rPr>
          <w:szCs w:val="22"/>
        </w:rPr>
        <w:t xml:space="preserve">Electronic Filers:  Comments may be filed electronically using the Internet by accessing the ECFS:  </w:t>
      </w:r>
      <w:hyperlink r:id="rId5" w:history="1">
        <w:r w:rsidRPr="00C337F5">
          <w:rPr>
            <w:color w:val="0000FF"/>
            <w:szCs w:val="22"/>
            <w:u w:val="single"/>
          </w:rPr>
          <w:t>http://apps.fcc.gov/ecfs/</w:t>
        </w:r>
      </w:hyperlink>
      <w:r w:rsidRPr="00C337F5">
        <w:rPr>
          <w:szCs w:val="22"/>
        </w:rPr>
        <w:t xml:space="preserve">.  </w:t>
      </w:r>
    </w:p>
    <w:p w:rsidR="005B123A" w:rsidRPr="00C337F5" w:rsidP="005B123A" w14:paraId="5E42D7E0" w14:textId="77777777">
      <w:pPr>
        <w:rPr>
          <w:szCs w:val="22"/>
        </w:rPr>
      </w:pPr>
    </w:p>
    <w:p w:rsidR="005B123A" w:rsidRPr="00C337F5" w:rsidP="005B123A" w14:paraId="4560A22A" w14:textId="77777777">
      <w:pPr>
        <w:widowControl/>
        <w:numPr>
          <w:ilvl w:val="0"/>
          <w:numId w:val="8"/>
        </w:numPr>
        <w:rPr>
          <w:szCs w:val="22"/>
        </w:rPr>
      </w:pPr>
      <w:r w:rsidRPr="00C337F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B123A" w:rsidRPr="00C337F5" w:rsidP="005B123A" w14:paraId="2739ED6A" w14:textId="77777777">
      <w:pPr>
        <w:rPr>
          <w:szCs w:val="22"/>
        </w:rPr>
      </w:pPr>
    </w:p>
    <w:p w:rsidR="005B123A" w:rsidRPr="00C337F5" w:rsidP="005B123A" w14:paraId="7455D246" w14:textId="77777777">
      <w:pPr>
        <w:widowControl/>
        <w:numPr>
          <w:ilvl w:val="0"/>
          <w:numId w:val="9"/>
        </w:numPr>
        <w:rPr>
          <w:szCs w:val="22"/>
        </w:rPr>
      </w:pPr>
      <w:r w:rsidRPr="00C337F5">
        <w:rPr>
          <w:szCs w:val="22"/>
        </w:rPr>
        <w:t>Filings can be sent by commercial overnight courier, or by first-class or overnight U.S. Postal Service mail.  All filings must be addressed to the Commission’s Secretary, Office of the Secretary, Federal Communications Commission.</w:t>
      </w:r>
    </w:p>
    <w:p w:rsidR="005B123A" w:rsidRPr="00C337F5" w:rsidP="005B123A" w14:paraId="1B70AE4F" w14:textId="77777777">
      <w:pPr>
        <w:rPr>
          <w:szCs w:val="22"/>
        </w:rPr>
      </w:pPr>
    </w:p>
    <w:p w:rsidR="005B123A" w:rsidRPr="00C337F5" w:rsidP="005B123A" w14:paraId="4CDBCF4F" w14:textId="77777777">
      <w:pPr>
        <w:widowControl/>
        <w:numPr>
          <w:ilvl w:val="0"/>
          <w:numId w:val="9"/>
        </w:numPr>
        <w:rPr>
          <w:szCs w:val="22"/>
        </w:rPr>
      </w:pPr>
      <w:r w:rsidRPr="00C337F5">
        <w:rPr>
          <w:szCs w:val="22"/>
        </w:rPr>
        <w:t>Commercial overnight mail (other than U.S. Postal Service Express Mail and Priority Mail) must be sent to 9050 Junction Drive, Annapolis Junction, MD 20701.</w:t>
      </w:r>
    </w:p>
    <w:p w:rsidR="005B123A" w:rsidRPr="00C337F5" w:rsidP="005B123A" w14:paraId="27ACF5E6" w14:textId="77777777">
      <w:pPr>
        <w:rPr>
          <w:szCs w:val="22"/>
        </w:rPr>
      </w:pPr>
    </w:p>
    <w:p w:rsidR="005B123A" w:rsidP="005B123A" w14:paraId="3162371F" w14:textId="77777777">
      <w:pPr>
        <w:widowControl/>
        <w:numPr>
          <w:ilvl w:val="0"/>
          <w:numId w:val="9"/>
        </w:numPr>
        <w:rPr>
          <w:szCs w:val="22"/>
        </w:rPr>
      </w:pPr>
      <w:r w:rsidRPr="00C337F5">
        <w:rPr>
          <w:szCs w:val="22"/>
        </w:rPr>
        <w:t>U.S. Postal Service first-class, Express, and Priority mail must be addressed to 445 12</w:t>
      </w:r>
      <w:r w:rsidRPr="00C337F5">
        <w:rPr>
          <w:szCs w:val="22"/>
          <w:vertAlign w:val="superscript"/>
        </w:rPr>
        <w:t>th</w:t>
      </w:r>
      <w:r w:rsidRPr="00C337F5">
        <w:rPr>
          <w:szCs w:val="22"/>
        </w:rPr>
        <w:t xml:space="preserve"> Street, SW, Washington DC 20554.</w:t>
      </w:r>
    </w:p>
    <w:p w:rsidR="005B123A" w:rsidP="005B123A" w14:paraId="1FE96D71" w14:textId="77777777">
      <w:pPr>
        <w:pStyle w:val="ListParagraph"/>
        <w:rPr>
          <w:bCs/>
        </w:rPr>
      </w:pPr>
    </w:p>
    <w:p w:rsidR="0087007B" w:rsidRPr="005B123A" w:rsidP="005B123A" w14:paraId="59183EF9" w14:textId="77777777">
      <w:pPr>
        <w:widowControl/>
        <w:numPr>
          <w:ilvl w:val="0"/>
          <w:numId w:val="9"/>
        </w:numPr>
        <w:rPr>
          <w:szCs w:val="22"/>
        </w:rPr>
      </w:pPr>
      <w:r w:rsidRPr="005B123A">
        <w:rPr>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6217A1">
        <w:rPr>
          <w:bCs/>
          <w:i/>
          <w:iCs/>
        </w:rPr>
        <w:t>See</w:t>
      </w:r>
      <w:r w:rsidRPr="005B123A">
        <w:rPr>
          <w:bCs/>
        </w:rPr>
        <w:t xml:space="preserve"> </w:t>
      </w:r>
      <w:r w:rsidRPr="005B123A">
        <w:rPr>
          <w:bCs/>
          <w:i/>
          <w:iCs/>
        </w:rPr>
        <w:t>FCC Announces Closure of FCC Headquarters Open Window and Change in Hand-Delivery Policy</w:t>
      </w:r>
      <w:r w:rsidRPr="005B123A">
        <w:rPr>
          <w:bCs/>
        </w:rPr>
        <w:t xml:space="preserve">, Public Notice, DA 20-304 (March 19, 2020), </w:t>
      </w:r>
      <w:hyperlink r:id="rId6" w:history="1">
        <w:r w:rsidRPr="005B123A">
          <w:rPr>
            <w:rStyle w:val="Hyperlink"/>
            <w:bCs/>
          </w:rPr>
          <w:t>https://www.fcc.gov/document/fcc-closes-headquarters-open-window-and-changes-hand-delivery-policy</w:t>
        </w:r>
      </w:hyperlink>
      <w:r>
        <w:rPr>
          <w:rStyle w:val="Hyperlink"/>
          <w:bCs/>
        </w:rPr>
        <w:br/>
      </w:r>
    </w:p>
    <w:p w:rsidR="009A117D" w:rsidRPr="001936F2" w:rsidP="009A117D" w14:paraId="1234B5C5" w14:textId="77777777">
      <w:pPr>
        <w:autoSpaceDE w:val="0"/>
        <w:autoSpaceDN w:val="0"/>
        <w:adjustRightInd w:val="0"/>
        <w:rPr>
          <w:rFonts w:ascii="TimesNewRoman,Bold" w:hAnsi="TimesNewRoman,Bold" w:cs="TimesNewRoman,Bold"/>
          <w:b/>
          <w:bCs/>
          <w:color w:val="010101"/>
          <w:szCs w:val="22"/>
        </w:rPr>
      </w:pPr>
      <w:r>
        <w:rPr>
          <w:rFonts w:ascii="TimesNewRoman,Bold" w:hAnsi="TimesNewRoman,Bold" w:cs="TimesNewRoman,Bold"/>
          <w:b/>
          <w:bCs/>
          <w:color w:val="010101"/>
          <w:szCs w:val="22"/>
        </w:rPr>
        <w:t xml:space="preserve">In addition, </w:t>
      </w:r>
      <w:r w:rsidR="004D4E75">
        <w:rPr>
          <w:rFonts w:ascii="TimesNewRoman,Bold" w:hAnsi="TimesNewRoman,Bold" w:cs="TimesNewRoman,Bold"/>
          <w:b/>
          <w:bCs/>
          <w:color w:val="010101"/>
          <w:szCs w:val="22"/>
        </w:rPr>
        <w:t xml:space="preserve">Petitioners should send </w:t>
      </w:r>
      <w:r>
        <w:rPr>
          <w:rFonts w:ascii="TimesNewRoman,Bold" w:hAnsi="TimesNewRoman,Bold" w:cs="TimesNewRoman,Bold"/>
          <w:b/>
          <w:bCs/>
          <w:color w:val="010101"/>
          <w:szCs w:val="22"/>
        </w:rPr>
        <w:t>a copy of each letter to:</w:t>
      </w:r>
      <w:r w:rsidR="009D411E">
        <w:rPr>
          <w:szCs w:val="22"/>
        </w:rPr>
        <w:t xml:space="preserve">  </w:t>
      </w:r>
      <w:r>
        <w:rPr>
          <w:szCs w:val="22"/>
        </w:rPr>
        <w:br/>
      </w:r>
    </w:p>
    <w:p w:rsidR="0087007B" w:rsidP="00282636" w14:paraId="0B2DFBD8" w14:textId="77777777">
      <w:pPr>
        <w:autoSpaceDE w:val="0"/>
        <w:autoSpaceDN w:val="0"/>
        <w:adjustRightInd w:val="0"/>
        <w:rPr>
          <w:rFonts w:ascii="TimesNewRoman,Bold" w:hAnsi="TimesNewRoman,Bold" w:cs="TimesNewRoman,Bold"/>
          <w:bCs/>
          <w:color w:val="010101"/>
          <w:szCs w:val="22"/>
        </w:rPr>
      </w:pPr>
      <w:r>
        <w:rPr>
          <w:szCs w:val="22"/>
        </w:rPr>
        <w:t>Kristi Thornton of the Consumer and Governmental Affairs Bureau at Kristi.Thornton@fcc.gov.</w:t>
      </w:r>
    </w:p>
    <w:p w:rsidR="00102B71" w:rsidP="00102B71" w14:paraId="7E234690" w14:textId="77777777">
      <w:pPr>
        <w:widowControl/>
        <w:autoSpaceDE w:val="0"/>
        <w:autoSpaceDN w:val="0"/>
        <w:adjustRightInd w:val="0"/>
        <w:rPr>
          <w:rFonts w:ascii="TimesNewRoman,Bold" w:hAnsi="TimesNewRoman,Bold" w:cs="TimesNewRoman,Bold"/>
          <w:b/>
          <w:bCs/>
          <w:color w:val="010101"/>
          <w:szCs w:val="22"/>
        </w:rPr>
      </w:pPr>
    </w:p>
    <w:p w:rsidR="0087007B" w:rsidRPr="0058168D" w:rsidP="0087007B" w14:paraId="2A56EBE3" w14:textId="77777777">
      <w:pPr>
        <w:autoSpaceDE w:val="0"/>
        <w:autoSpaceDN w:val="0"/>
        <w:adjustRightInd w:val="0"/>
        <w:rPr>
          <w:color w:val="010101"/>
          <w:szCs w:val="22"/>
        </w:rPr>
      </w:pPr>
      <w:r w:rsidRPr="0058168D">
        <w:rPr>
          <w:color w:val="010101"/>
          <w:szCs w:val="22"/>
        </w:rPr>
        <w:tab/>
      </w:r>
      <w:r w:rsidRPr="0058168D">
        <w:rPr>
          <w:i/>
          <w:color w:val="010101"/>
          <w:szCs w:val="22"/>
        </w:rPr>
        <w:t xml:space="preserve">Ex </w:t>
      </w:r>
      <w:r w:rsidRPr="0058168D">
        <w:rPr>
          <w:i/>
          <w:color w:val="010101"/>
          <w:szCs w:val="22"/>
        </w:rPr>
        <w:t>Parte</w:t>
      </w:r>
      <w:r w:rsidRPr="0058168D">
        <w:rPr>
          <w:i/>
          <w:color w:val="010101"/>
          <w:szCs w:val="22"/>
        </w:rPr>
        <w:t xml:space="preserve"> Rules.  </w:t>
      </w:r>
      <w:r w:rsidRPr="0058168D">
        <w:rPr>
          <w:color w:val="010101"/>
          <w:szCs w:val="22"/>
        </w:rPr>
        <w:t xml:space="preserve">The proceedings this Public Notice initiates shall be treated as “permit-but-disclose” proceedings in accordance with the Commission’s </w:t>
      </w:r>
      <w:r w:rsidRPr="0058168D">
        <w:rPr>
          <w:i/>
          <w:iCs/>
          <w:color w:val="010101"/>
          <w:szCs w:val="22"/>
        </w:rPr>
        <w:t xml:space="preserve">ex </w:t>
      </w:r>
      <w:r w:rsidRPr="0058168D">
        <w:rPr>
          <w:i/>
          <w:iCs/>
          <w:color w:val="010101"/>
          <w:szCs w:val="22"/>
        </w:rPr>
        <w:t>parte</w:t>
      </w:r>
      <w:r w:rsidRPr="0058168D">
        <w:rPr>
          <w:i/>
          <w:iCs/>
          <w:color w:val="010101"/>
          <w:szCs w:val="22"/>
        </w:rPr>
        <w:t xml:space="preserve"> </w:t>
      </w:r>
      <w:r w:rsidRPr="0058168D">
        <w:rPr>
          <w:color w:val="010101"/>
          <w:szCs w:val="22"/>
        </w:rPr>
        <w:t>rules.</w:t>
      </w:r>
      <w:r>
        <w:rPr>
          <w:rStyle w:val="FootnoteReference"/>
          <w:color w:val="010101"/>
          <w:szCs w:val="22"/>
        </w:rPr>
        <w:footnoteReference w:id="7"/>
      </w:r>
      <w:r w:rsidRPr="0058168D">
        <w:rPr>
          <w:color w:val="010101"/>
          <w:szCs w:val="22"/>
        </w:rPr>
        <w:t xml:space="preserve">  Persons making </w:t>
      </w:r>
      <w:r w:rsidRPr="0058168D">
        <w:rPr>
          <w:i/>
          <w:iCs/>
          <w:color w:val="010101"/>
          <w:szCs w:val="22"/>
        </w:rPr>
        <w:t xml:space="preserve">ex </w:t>
      </w:r>
      <w:r w:rsidRPr="0058168D">
        <w:rPr>
          <w:i/>
          <w:iCs/>
          <w:color w:val="010101"/>
          <w:szCs w:val="22"/>
        </w:rPr>
        <w:t>parte</w:t>
      </w:r>
      <w:r w:rsidRPr="0058168D">
        <w:rPr>
          <w:i/>
          <w:iCs/>
          <w:color w:val="010101"/>
          <w:szCs w:val="22"/>
        </w:rPr>
        <w:t xml:space="preserve"> </w:t>
      </w:r>
      <w:r w:rsidRPr="0058168D">
        <w:rPr>
          <w:color w:val="010101"/>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8168D">
        <w:rPr>
          <w:i/>
          <w:iCs/>
          <w:color w:val="010101"/>
          <w:szCs w:val="22"/>
        </w:rPr>
        <w:t xml:space="preserve">ex </w:t>
      </w:r>
      <w:r w:rsidRPr="0058168D">
        <w:rPr>
          <w:i/>
          <w:iCs/>
          <w:color w:val="010101"/>
          <w:szCs w:val="22"/>
        </w:rPr>
        <w:t>parte</w:t>
      </w:r>
      <w:r w:rsidRPr="0058168D">
        <w:rPr>
          <w:i/>
          <w:iCs/>
          <w:color w:val="010101"/>
          <w:szCs w:val="22"/>
        </w:rPr>
        <w:t xml:space="preserve"> </w:t>
      </w:r>
      <w:r w:rsidRPr="0058168D">
        <w:rPr>
          <w:color w:val="010101"/>
          <w:szCs w:val="22"/>
        </w:rPr>
        <w:t xml:space="preserve">presentations are reminded that memoranda summarizing the presentation must (1) list all persons attending or otherwise participating in the meeting at which the </w:t>
      </w:r>
      <w:r w:rsidRPr="0058168D">
        <w:rPr>
          <w:i/>
          <w:iCs/>
          <w:color w:val="010101"/>
          <w:szCs w:val="22"/>
        </w:rPr>
        <w:t xml:space="preserve">ex </w:t>
      </w:r>
      <w:r w:rsidRPr="0058168D">
        <w:rPr>
          <w:i/>
          <w:iCs/>
          <w:color w:val="010101"/>
          <w:szCs w:val="22"/>
        </w:rPr>
        <w:t>parte</w:t>
      </w:r>
      <w:r w:rsidRPr="0058168D">
        <w:rPr>
          <w:i/>
          <w:iCs/>
          <w:color w:val="010101"/>
          <w:szCs w:val="22"/>
        </w:rPr>
        <w:t xml:space="preserve"> </w:t>
      </w:r>
      <w:r w:rsidRPr="0058168D">
        <w:rPr>
          <w:color w:val="010101"/>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8168D">
        <w:rPr>
          <w:i/>
          <w:iCs/>
          <w:color w:val="010101"/>
          <w:szCs w:val="22"/>
        </w:rPr>
        <w:t xml:space="preserve">ex </w:t>
      </w:r>
      <w:r w:rsidRPr="0058168D">
        <w:rPr>
          <w:i/>
          <w:iCs/>
          <w:color w:val="010101"/>
          <w:szCs w:val="22"/>
        </w:rPr>
        <w:t>parte</w:t>
      </w:r>
      <w:r w:rsidRPr="0058168D">
        <w:rPr>
          <w:i/>
          <w:iCs/>
          <w:color w:val="010101"/>
          <w:szCs w:val="22"/>
        </w:rPr>
        <w:t xml:space="preserve"> </w:t>
      </w:r>
      <w:r w:rsidRPr="0058168D">
        <w:rPr>
          <w:color w:val="010101"/>
          <w:szCs w:val="22"/>
        </w:rPr>
        <w:t xml:space="preserve">meetings are deemed to be written </w:t>
      </w:r>
      <w:r w:rsidRPr="0058168D">
        <w:rPr>
          <w:i/>
          <w:iCs/>
          <w:color w:val="010101"/>
          <w:szCs w:val="22"/>
        </w:rPr>
        <w:t xml:space="preserve">ex </w:t>
      </w:r>
      <w:r w:rsidRPr="0058168D">
        <w:rPr>
          <w:i/>
          <w:iCs/>
          <w:color w:val="010101"/>
          <w:szCs w:val="22"/>
        </w:rPr>
        <w:t>parte</w:t>
      </w:r>
      <w:r w:rsidRPr="0058168D">
        <w:rPr>
          <w:i/>
          <w:iCs/>
          <w:color w:val="010101"/>
          <w:szCs w:val="22"/>
        </w:rPr>
        <w:t xml:space="preserve"> </w:t>
      </w:r>
      <w:r w:rsidRPr="0058168D">
        <w:rPr>
          <w:color w:val="010101"/>
          <w:szCs w:val="22"/>
        </w:rPr>
        <w:t xml:space="preserve">presentations and must be filed consistent with rule 1.1206(b).  In proceedings governed by rule 1.49(f) or for which the Commission has made available a method of electronic filing, written </w:t>
      </w:r>
      <w:r w:rsidRPr="0058168D">
        <w:rPr>
          <w:i/>
          <w:iCs/>
          <w:color w:val="010101"/>
          <w:szCs w:val="22"/>
        </w:rPr>
        <w:t xml:space="preserve">ex </w:t>
      </w:r>
      <w:r w:rsidRPr="0058168D">
        <w:rPr>
          <w:i/>
          <w:iCs/>
          <w:color w:val="010101"/>
          <w:szCs w:val="22"/>
        </w:rPr>
        <w:t>parte</w:t>
      </w:r>
      <w:r w:rsidRPr="0058168D">
        <w:rPr>
          <w:i/>
          <w:iCs/>
          <w:color w:val="010101"/>
          <w:szCs w:val="22"/>
        </w:rPr>
        <w:t xml:space="preserve"> </w:t>
      </w:r>
      <w:r w:rsidRPr="0058168D">
        <w:rPr>
          <w:color w:val="010101"/>
          <w:szCs w:val="22"/>
        </w:rPr>
        <w:t xml:space="preserve">presentations and memoranda summarizing oral </w:t>
      </w:r>
      <w:r w:rsidRPr="0058168D">
        <w:rPr>
          <w:i/>
          <w:iCs/>
          <w:color w:val="010101"/>
          <w:szCs w:val="22"/>
        </w:rPr>
        <w:t xml:space="preserve">ex </w:t>
      </w:r>
      <w:r w:rsidRPr="0058168D">
        <w:rPr>
          <w:i/>
          <w:iCs/>
          <w:color w:val="010101"/>
          <w:szCs w:val="22"/>
        </w:rPr>
        <w:t>parte</w:t>
      </w:r>
      <w:r w:rsidRPr="0058168D">
        <w:rPr>
          <w:i/>
          <w:iCs/>
          <w:color w:val="010101"/>
          <w:szCs w:val="22"/>
        </w:rPr>
        <w:t xml:space="preserve"> </w:t>
      </w:r>
      <w:r w:rsidRPr="0058168D">
        <w:rPr>
          <w:color w:val="010101"/>
          <w:szCs w:val="22"/>
        </w:rPr>
        <w:t>presentations, and all attachments thereto, must be filed through the electronic comment filing system available for that proceeding, and must be filed in their native format (</w:t>
      </w:r>
      <w:r w:rsidRPr="0058168D">
        <w:rPr>
          <w:i/>
          <w:iCs/>
          <w:color w:val="010101"/>
          <w:szCs w:val="22"/>
        </w:rPr>
        <w:t>e.g.</w:t>
      </w:r>
      <w:r w:rsidRPr="0058168D">
        <w:rPr>
          <w:color w:val="010101"/>
          <w:szCs w:val="22"/>
        </w:rPr>
        <w:t xml:space="preserve">, .doc, .xml, .ppt, searchable .pdf).  Participants in these proceedings should familiarize themselves with the Commission’s </w:t>
      </w:r>
      <w:r w:rsidRPr="0058168D">
        <w:rPr>
          <w:i/>
          <w:iCs/>
          <w:color w:val="010101"/>
          <w:szCs w:val="22"/>
        </w:rPr>
        <w:t xml:space="preserve">ex </w:t>
      </w:r>
      <w:r w:rsidRPr="0058168D">
        <w:rPr>
          <w:i/>
          <w:iCs/>
          <w:color w:val="010101"/>
          <w:szCs w:val="22"/>
        </w:rPr>
        <w:t>parte</w:t>
      </w:r>
      <w:r w:rsidRPr="0058168D">
        <w:rPr>
          <w:i/>
          <w:iCs/>
          <w:color w:val="010101"/>
          <w:szCs w:val="22"/>
        </w:rPr>
        <w:t xml:space="preserve"> </w:t>
      </w:r>
      <w:r w:rsidRPr="0058168D">
        <w:rPr>
          <w:color w:val="010101"/>
          <w:szCs w:val="22"/>
        </w:rPr>
        <w:t>rules.</w:t>
      </w:r>
    </w:p>
    <w:p w:rsidR="0087007B" w:rsidRPr="0058168D" w:rsidP="0087007B" w14:paraId="63A43AC1" w14:textId="77777777">
      <w:pPr>
        <w:autoSpaceDE w:val="0"/>
        <w:autoSpaceDN w:val="0"/>
        <w:adjustRightInd w:val="0"/>
        <w:rPr>
          <w:color w:val="010101"/>
          <w:szCs w:val="22"/>
        </w:rPr>
      </w:pPr>
    </w:p>
    <w:p w:rsidR="0087007B" w:rsidRPr="0058168D" w:rsidP="0087007B" w14:paraId="2E6EEF68" w14:textId="77777777">
      <w:pPr>
        <w:autoSpaceDE w:val="0"/>
        <w:autoSpaceDN w:val="0"/>
        <w:adjustRightInd w:val="0"/>
        <w:ind w:firstLine="720"/>
        <w:rPr>
          <w:color w:val="010101"/>
          <w:szCs w:val="22"/>
        </w:rPr>
      </w:pPr>
      <w:r w:rsidRPr="0058168D">
        <w:rPr>
          <w:i/>
          <w:color w:val="010101"/>
          <w:szCs w:val="22"/>
        </w:rPr>
        <w:t>People with Disabilities</w:t>
      </w:r>
      <w:r w:rsidRPr="0058168D">
        <w:rPr>
          <w:color w:val="010101"/>
          <w:szCs w:val="22"/>
        </w:rPr>
        <w:t>.  To request materials in accessible formats for people with disabilities (</w:t>
      </w:r>
      <w:r w:rsidRPr="0058168D" w:rsidR="004D4E75">
        <w:rPr>
          <w:color w:val="010101"/>
          <w:szCs w:val="22"/>
        </w:rPr>
        <w:t>Braille</w:t>
      </w:r>
      <w:r w:rsidRPr="0058168D">
        <w:rPr>
          <w:color w:val="010101"/>
          <w:szCs w:val="22"/>
        </w:rPr>
        <w:t xml:space="preserve">, large print, electronic files, audio format), send an e-mail to </w:t>
      </w:r>
      <w:hyperlink r:id="rId7" w:history="1">
        <w:r w:rsidRPr="0058168D">
          <w:rPr>
            <w:rStyle w:val="Hyperlink"/>
            <w:szCs w:val="22"/>
          </w:rPr>
          <w:t>fcc504@fcc.gov</w:t>
        </w:r>
      </w:hyperlink>
      <w:r w:rsidRPr="0058168D">
        <w:rPr>
          <w:color w:val="010101"/>
          <w:szCs w:val="22"/>
        </w:rPr>
        <w:t xml:space="preserve"> or call the Consumer &amp; Governmental Affairs Bureau at (202) 418-0530 (voice), </w:t>
      </w:r>
      <w:r w:rsidRPr="0058168D" w:rsidR="004D4E75">
        <w:rPr>
          <w:color w:val="010101"/>
          <w:szCs w:val="22"/>
        </w:rPr>
        <w:t xml:space="preserve">or </w:t>
      </w:r>
      <w:r w:rsidRPr="0058168D">
        <w:rPr>
          <w:kern w:val="0"/>
          <w:szCs w:val="22"/>
        </w:rPr>
        <w:t>844-432-2275 (videophone</w:t>
      </w:r>
      <w:r w:rsidRPr="0058168D">
        <w:rPr>
          <w:color w:val="010101"/>
          <w:szCs w:val="22"/>
        </w:rPr>
        <w:t>).</w:t>
      </w:r>
    </w:p>
    <w:p w:rsidR="0087007B" w:rsidRPr="0058168D" w:rsidP="0087007B" w14:paraId="70E334D5" w14:textId="77777777">
      <w:pPr>
        <w:autoSpaceDE w:val="0"/>
        <w:autoSpaceDN w:val="0"/>
        <w:adjustRightInd w:val="0"/>
        <w:ind w:firstLine="720"/>
        <w:rPr>
          <w:color w:val="010101"/>
          <w:szCs w:val="22"/>
        </w:rPr>
      </w:pPr>
    </w:p>
    <w:p w:rsidR="0087007B" w:rsidRPr="0058168D" w:rsidP="0087007B" w14:paraId="576EB73A" w14:textId="77777777">
      <w:pPr>
        <w:ind w:firstLine="720"/>
        <w:rPr>
          <w:szCs w:val="22"/>
        </w:rPr>
      </w:pPr>
      <w:r w:rsidRPr="0058168D">
        <w:rPr>
          <w:szCs w:val="22"/>
        </w:rPr>
        <w:t xml:space="preserve">For further information, please contact </w:t>
      </w:r>
      <w:r w:rsidRPr="0058168D" w:rsidR="001F2000">
        <w:rPr>
          <w:szCs w:val="22"/>
        </w:rPr>
        <w:t>Kristi Thornton of the Consumer and Governmental Affairs Bureau at (202) 418-2467 or Kristi.Thornton@fcc.gov.</w:t>
      </w:r>
    </w:p>
    <w:p w:rsidR="0087007B" w:rsidRPr="0058168D" w:rsidP="00217F68" w14:paraId="4D7822FB" w14:textId="77777777">
      <w:pPr>
        <w:rPr>
          <w:szCs w:val="22"/>
        </w:rPr>
      </w:pPr>
    </w:p>
    <w:p w:rsidR="0087007B" w:rsidRPr="0058168D" w:rsidP="0087007B" w14:paraId="14E2DB24" w14:textId="77777777">
      <w:pPr>
        <w:jc w:val="center"/>
        <w:rPr>
          <w:b/>
          <w:szCs w:val="22"/>
        </w:rPr>
      </w:pPr>
      <w:r w:rsidRPr="0058168D">
        <w:rPr>
          <w:b/>
          <w:szCs w:val="22"/>
        </w:rPr>
        <w:t>- FCC -</w:t>
      </w:r>
    </w:p>
    <w:p w:rsidR="00930ECF" w:rsidRPr="0058168D" w:rsidP="0087007B" w14:paraId="5DFDB364" w14:textId="77777777">
      <w:pP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765" w:rsidP="0055614C" w14:paraId="070DBE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1D1765" w14:paraId="354D3F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765" w:rsidP="00910F12" w14:paraId="468DE7D2" w14:textId="77777777">
    <w:pPr>
      <w:pStyle w:val="Footer"/>
      <w:jc w:val="center"/>
    </w:pPr>
    <w:r>
      <w:fldChar w:fldCharType="begin"/>
    </w:r>
    <w:r>
      <w:instrText xml:space="preserve"> PAGE   \* MERGEFORMAT </w:instrText>
    </w:r>
    <w:r>
      <w:fldChar w:fldCharType="separate"/>
    </w:r>
    <w:r w:rsidR="002E438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765" w14:paraId="5930A53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4E33" w14:paraId="394A78CF" w14:textId="77777777">
      <w:r>
        <w:separator/>
      </w:r>
    </w:p>
  </w:footnote>
  <w:footnote w:type="continuationSeparator" w:id="1">
    <w:p w:rsidR="00484E33" w14:paraId="7C78DD2C" w14:textId="77777777">
      <w:pPr>
        <w:rPr>
          <w:sz w:val="20"/>
        </w:rPr>
      </w:pPr>
      <w:r>
        <w:rPr>
          <w:sz w:val="20"/>
        </w:rPr>
        <w:t xml:space="preserve">(Continued from previous page)  </w:t>
      </w:r>
      <w:r>
        <w:rPr>
          <w:sz w:val="20"/>
        </w:rPr>
        <w:separator/>
      </w:r>
    </w:p>
  </w:footnote>
  <w:footnote w:type="continuationNotice" w:id="2">
    <w:p w:rsidR="00484E33" w:rsidP="00910F12" w14:paraId="2F7DE677" w14:textId="77777777">
      <w:pPr>
        <w:jc w:val="right"/>
        <w:rPr>
          <w:sz w:val="20"/>
        </w:rPr>
      </w:pPr>
      <w:r>
        <w:rPr>
          <w:sz w:val="20"/>
        </w:rPr>
        <w:t>(continued….)</w:t>
      </w:r>
    </w:p>
  </w:footnote>
  <w:footnote w:id="3">
    <w:p w:rsidR="00F21141" w:rsidRPr="0058168D" w:rsidP="0087007B" w14:paraId="315A18C4" w14:textId="77777777">
      <w:pPr>
        <w:pStyle w:val="FootnoteText"/>
      </w:pPr>
      <w:r w:rsidRPr="0058168D">
        <w:rPr>
          <w:rStyle w:val="FootnoteReference"/>
          <w:sz w:val="20"/>
        </w:rPr>
        <w:footnoteRef/>
      </w:r>
      <w:r w:rsidRPr="0058168D">
        <w:t xml:space="preserve"> </w:t>
      </w:r>
      <w:r w:rsidRPr="0058168D">
        <w:rPr>
          <w:i/>
          <w:iCs/>
        </w:rPr>
        <w:t>See</w:t>
      </w:r>
      <w:r w:rsidRPr="0058168D">
        <w:t xml:space="preserve"> 47 U.S.C. § 227.  The Petitions are identified in the included chart.</w:t>
      </w:r>
    </w:p>
  </w:footnote>
  <w:footnote w:id="4">
    <w:p w:rsidR="001D1765" w:rsidRPr="0058168D" w:rsidP="0087007B" w14:paraId="6874DF22" w14:textId="77777777">
      <w:pPr>
        <w:autoSpaceDE w:val="0"/>
        <w:autoSpaceDN w:val="0"/>
        <w:adjustRightInd w:val="0"/>
        <w:rPr>
          <w:color w:val="010101"/>
          <w:sz w:val="20"/>
        </w:rPr>
      </w:pPr>
      <w:r w:rsidRPr="0058168D">
        <w:rPr>
          <w:rStyle w:val="FootnoteReference"/>
          <w:sz w:val="20"/>
        </w:rPr>
        <w:footnoteRef/>
      </w:r>
      <w:r w:rsidRPr="0058168D">
        <w:t xml:space="preserve"> </w:t>
      </w:r>
      <w:r w:rsidRPr="0058168D">
        <w:rPr>
          <w:i/>
          <w:iCs/>
          <w:sz w:val="20"/>
        </w:rPr>
        <w:t>Cf. Amendment of Certain of the Commission’s Part 1 Rules of Practice and Procedure and Part 0 Rules of Commission Organization</w:t>
      </w:r>
      <w:r w:rsidRPr="0058168D">
        <w:rPr>
          <w:sz w:val="20"/>
        </w:rPr>
        <w:t>,</w:t>
      </w:r>
      <w:r w:rsidRPr="0058168D">
        <w:rPr>
          <w:color w:val="010101"/>
          <w:sz w:val="20"/>
        </w:rPr>
        <w:t xml:space="preserve"> GC Docket No. 10-44, Report and Order, 26 FCC </w:t>
      </w:r>
      <w:r w:rsidRPr="0058168D">
        <w:rPr>
          <w:color w:val="010101"/>
          <w:sz w:val="20"/>
        </w:rPr>
        <w:t>Rcd</w:t>
      </w:r>
      <w:r w:rsidRPr="0058168D">
        <w:rPr>
          <w:color w:val="010101"/>
          <w:sz w:val="20"/>
        </w:rPr>
        <w:t xml:space="preserve"> 1594, 1604, paras. 23-24 (2011) (termination of dormant proceedings).</w:t>
      </w:r>
    </w:p>
    <w:p w:rsidR="00F21141" w:rsidP="0087007B" w14:paraId="66A10393" w14:textId="77777777">
      <w:pPr>
        <w:autoSpaceDE w:val="0"/>
        <w:autoSpaceDN w:val="0"/>
        <w:adjustRightInd w:val="0"/>
      </w:pPr>
    </w:p>
  </w:footnote>
  <w:footnote w:id="5">
    <w:p w:rsidR="00F21141" w:rsidRPr="0058168D" w:rsidP="004C5A9B" w14:paraId="4A1311A4" w14:textId="77777777">
      <w:pPr>
        <w:pStyle w:val="FootnoteText"/>
      </w:pPr>
      <w:r w:rsidRPr="0058168D">
        <w:rPr>
          <w:rStyle w:val="FootnoteReference"/>
          <w:sz w:val="20"/>
        </w:rPr>
        <w:footnoteRef/>
      </w:r>
      <w:r w:rsidRPr="0058168D">
        <w:t xml:space="preserve"> </w:t>
      </w:r>
      <w:r w:rsidRPr="0058168D">
        <w:rPr>
          <w:i/>
          <w:iCs/>
        </w:rPr>
        <w:t xml:space="preserve">See </w:t>
      </w:r>
      <w:r w:rsidRPr="0058168D">
        <w:t>47 CFR § 1.419.</w:t>
      </w:r>
    </w:p>
  </w:footnote>
  <w:footnote w:id="6">
    <w:p w:rsidR="00F21141" w:rsidP="004C5A9B" w14:paraId="5898A85A" w14:textId="77777777">
      <w:pPr>
        <w:pStyle w:val="FootnoteText"/>
      </w:pPr>
      <w:r w:rsidRPr="0058168D">
        <w:rPr>
          <w:rStyle w:val="FootnoteReference"/>
          <w:sz w:val="20"/>
        </w:rPr>
        <w:footnoteRef/>
      </w:r>
      <w:r w:rsidRPr="0058168D">
        <w:t xml:space="preserve"> </w:t>
      </w:r>
      <w:r w:rsidRPr="0058168D">
        <w:rPr>
          <w:i/>
          <w:iCs/>
        </w:rPr>
        <w:t>See Electronic Filing of Documents in Rulemaking Proceedings</w:t>
      </w:r>
      <w:r w:rsidRPr="0058168D">
        <w:t>, 63 FR 24121 (1998).</w:t>
      </w:r>
    </w:p>
  </w:footnote>
  <w:footnote w:id="7">
    <w:p w:rsidR="00F21141" w:rsidRPr="00A85CED" w:rsidP="0087007B" w14:paraId="737F747C" w14:textId="77777777">
      <w:pPr>
        <w:pStyle w:val="FootnoteText"/>
      </w:pPr>
      <w:r w:rsidRPr="00A85CED">
        <w:rPr>
          <w:rStyle w:val="FootnoteReference"/>
          <w:sz w:val="20"/>
        </w:rPr>
        <w:footnoteRef/>
      </w:r>
      <w:r w:rsidRPr="00A85CED">
        <w:t xml:space="preserve"> </w:t>
      </w:r>
      <w:r w:rsidRPr="00A85CED">
        <w:rPr>
          <w:color w:val="010101"/>
        </w:rPr>
        <w:t xml:space="preserve">47 CFR §§ 1.1200 </w:t>
      </w:r>
      <w:r w:rsidRPr="00A85CED">
        <w:rPr>
          <w:i/>
          <w:iCs/>
          <w:color w:val="010101"/>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765" w:rsidRPr="009838BC" w:rsidP="009838BC" w14:paraId="6CD12D65" w14:textId="3522AA94">
    <w:pPr>
      <w:tabs>
        <w:tab w:val="center" w:pos="4680"/>
        <w:tab w:val="right" w:pos="9360"/>
      </w:tabs>
    </w:pPr>
    <w:r w:rsidRPr="009838BC">
      <w:rPr>
        <w:b/>
      </w:rPr>
      <w:tab/>
      <w:t>Federal Communications Commission</w:t>
    </w:r>
    <w:r w:rsidRPr="009838BC">
      <w:rPr>
        <w:b/>
      </w:rPr>
      <w:tab/>
    </w:r>
    <w:r>
      <w:rPr>
        <w:b/>
      </w:rPr>
      <w:t xml:space="preserve">DA </w:t>
    </w:r>
    <w:r w:rsidR="00843159">
      <w:rPr>
        <w:b/>
      </w:rPr>
      <w:t>20-1120</w:t>
    </w:r>
  </w:p>
  <w:p w:rsidR="001D1765" w:rsidRPr="009838BC" w:rsidP="009838BC" w14:paraId="2FC7745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w10:wrap anchorx="margin"/>
        </v:rect>
      </w:pict>
    </w:r>
  </w:p>
  <w:p w:rsidR="001D1765" w:rsidRPr="009838BC" w:rsidP="009838BC" w14:paraId="11C67F1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765" w:rsidRPr="00A866AC" w:rsidP="009838BC" w14:paraId="1224577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1D1765" w:rsidP="009838BC" w14:paraId="2C714364" w14:textId="77777777">
                <w:pPr>
                  <w:rPr>
                    <w:rFonts w:ascii="Arial" w:hAnsi="Arial"/>
                    <w:b/>
                  </w:rPr>
                </w:pPr>
                <w:r>
                  <w:rPr>
                    <w:rFonts w:ascii="Arial" w:hAnsi="Arial"/>
                    <w:b/>
                  </w:rPr>
                  <w:t>Federal Communications Commission</w:t>
                </w:r>
              </w:p>
              <w:p w:rsidR="001D1765" w:rsidP="009838BC" w14:paraId="1033125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1765" w:rsidP="009838BC" w14:paraId="12538A9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wrap-edited:f;position:absolute;visibility:visible;z-index:251659264" o:allowincell="f">
          <v:imagedata r:id="rId1" o:title=""/>
          <w10:wrap type="topAndBottom"/>
        </v:shape>
      </w:pict>
    </w:r>
    <w:r w:rsidRPr="00A866AC">
      <w:rPr>
        <w:rFonts w:ascii="Arial" w:hAnsi="Arial" w:cs="Arial"/>
        <w:b/>
        <w:sz w:val="96"/>
      </w:rPr>
      <w:t>PUBLIC NOTICE</w:t>
    </w:r>
  </w:p>
  <w:p w:rsidR="001D1765" w:rsidRPr="00357D50" w:rsidP="009838BC" w14:paraId="173BBED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917.6pt,56.7pt" to="3385.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1D1765" w:rsidP="009838BC" w14:paraId="442F8CDA" w14:textId="77777777">
                <w:pPr>
                  <w:spacing w:before="40"/>
                  <w:jc w:val="right"/>
                  <w:rPr>
                    <w:rFonts w:ascii="Arial" w:hAnsi="Arial"/>
                    <w:b/>
                    <w:sz w:val="16"/>
                  </w:rPr>
                </w:pPr>
                <w:r>
                  <w:rPr>
                    <w:rFonts w:ascii="Arial" w:hAnsi="Arial"/>
                    <w:b/>
                    <w:sz w:val="16"/>
                  </w:rPr>
                  <w:t>News Media Information 202 / 418-0500</w:t>
                </w:r>
              </w:p>
              <w:p w:rsidR="001D1765" w:rsidP="009838BC" w14:paraId="6F3B4DB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D1765" w:rsidP="009838BC" w14:paraId="5120C94F" w14:textId="77777777">
                <w:pPr>
                  <w:jc w:val="right"/>
                </w:pPr>
                <w:r>
                  <w:rPr>
                    <w:rFonts w:ascii="Arial" w:hAnsi="Arial"/>
                    <w:b/>
                    <w:sz w:val="16"/>
                  </w:rPr>
                  <w:t>TTY: 1-888-835-5322</w:t>
                </w:r>
              </w:p>
            </w:txbxContent>
          </v:textbox>
        </v:shape>
      </w:pict>
    </w:r>
  </w:p>
  <w:p w:rsidR="001D1765" w:rsidRPr="009838BC" w:rsidP="009838BC" w14:paraId="6A15967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0D57D1A"/>
    <w:multiLevelType w:val="hybridMultilevel"/>
    <w:tmpl w:val="6C20A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7B"/>
    <w:rsid w:val="000072CE"/>
    <w:rsid w:val="00013A8B"/>
    <w:rsid w:val="00021445"/>
    <w:rsid w:val="0002715F"/>
    <w:rsid w:val="00035995"/>
    <w:rsid w:val="00036039"/>
    <w:rsid w:val="0003635C"/>
    <w:rsid w:val="00037F90"/>
    <w:rsid w:val="000448EF"/>
    <w:rsid w:val="00047FAD"/>
    <w:rsid w:val="000560F2"/>
    <w:rsid w:val="000875BF"/>
    <w:rsid w:val="00096D8C"/>
    <w:rsid w:val="000B6235"/>
    <w:rsid w:val="000C0B65"/>
    <w:rsid w:val="000E3D42"/>
    <w:rsid w:val="000E5884"/>
    <w:rsid w:val="00102B71"/>
    <w:rsid w:val="00106903"/>
    <w:rsid w:val="00115536"/>
    <w:rsid w:val="00122641"/>
    <w:rsid w:val="00122BD5"/>
    <w:rsid w:val="001349BC"/>
    <w:rsid w:val="00136C41"/>
    <w:rsid w:val="0013780E"/>
    <w:rsid w:val="00162BF7"/>
    <w:rsid w:val="00185E55"/>
    <w:rsid w:val="001936F2"/>
    <w:rsid w:val="0019519F"/>
    <w:rsid w:val="001979D9"/>
    <w:rsid w:val="001B23B3"/>
    <w:rsid w:val="001B70D2"/>
    <w:rsid w:val="001C7A49"/>
    <w:rsid w:val="001D1765"/>
    <w:rsid w:val="001D6BCF"/>
    <w:rsid w:val="001E01CA"/>
    <w:rsid w:val="001E5B80"/>
    <w:rsid w:val="001F2000"/>
    <w:rsid w:val="002060D9"/>
    <w:rsid w:val="00217F68"/>
    <w:rsid w:val="00226822"/>
    <w:rsid w:val="00234774"/>
    <w:rsid w:val="00255915"/>
    <w:rsid w:val="00260594"/>
    <w:rsid w:val="002620DE"/>
    <w:rsid w:val="0027271E"/>
    <w:rsid w:val="00277E10"/>
    <w:rsid w:val="00282636"/>
    <w:rsid w:val="00285017"/>
    <w:rsid w:val="002A2D2E"/>
    <w:rsid w:val="002E4385"/>
    <w:rsid w:val="00343749"/>
    <w:rsid w:val="00354467"/>
    <w:rsid w:val="00357D50"/>
    <w:rsid w:val="00370297"/>
    <w:rsid w:val="00390EDE"/>
    <w:rsid w:val="003925DC"/>
    <w:rsid w:val="003B0550"/>
    <w:rsid w:val="003B2E86"/>
    <w:rsid w:val="003B694F"/>
    <w:rsid w:val="003C2447"/>
    <w:rsid w:val="003C27A2"/>
    <w:rsid w:val="003F171C"/>
    <w:rsid w:val="00407F3D"/>
    <w:rsid w:val="00412FC5"/>
    <w:rsid w:val="00422276"/>
    <w:rsid w:val="004242F1"/>
    <w:rsid w:val="00445A00"/>
    <w:rsid w:val="00451B0F"/>
    <w:rsid w:val="0046125F"/>
    <w:rsid w:val="00471107"/>
    <w:rsid w:val="0047635C"/>
    <w:rsid w:val="00484E33"/>
    <w:rsid w:val="00487524"/>
    <w:rsid w:val="00491F91"/>
    <w:rsid w:val="004934C2"/>
    <w:rsid w:val="00496106"/>
    <w:rsid w:val="004C12D0"/>
    <w:rsid w:val="004C2EE3"/>
    <w:rsid w:val="004C5A9B"/>
    <w:rsid w:val="004D4E75"/>
    <w:rsid w:val="004E4A22"/>
    <w:rsid w:val="00503E0B"/>
    <w:rsid w:val="00511968"/>
    <w:rsid w:val="005519B9"/>
    <w:rsid w:val="00555B44"/>
    <w:rsid w:val="0055614C"/>
    <w:rsid w:val="00562BC1"/>
    <w:rsid w:val="0058168D"/>
    <w:rsid w:val="005A2C97"/>
    <w:rsid w:val="005A407E"/>
    <w:rsid w:val="005B123A"/>
    <w:rsid w:val="005B3462"/>
    <w:rsid w:val="005B3689"/>
    <w:rsid w:val="005B63C0"/>
    <w:rsid w:val="005E6251"/>
    <w:rsid w:val="005F7153"/>
    <w:rsid w:val="00602AA8"/>
    <w:rsid w:val="00607BA5"/>
    <w:rsid w:val="006217A1"/>
    <w:rsid w:val="00626EB6"/>
    <w:rsid w:val="0062799D"/>
    <w:rsid w:val="006353A3"/>
    <w:rsid w:val="00645C34"/>
    <w:rsid w:val="00654BEA"/>
    <w:rsid w:val="00655D03"/>
    <w:rsid w:val="00683F84"/>
    <w:rsid w:val="00684EBC"/>
    <w:rsid w:val="006A6A81"/>
    <w:rsid w:val="006A76CE"/>
    <w:rsid w:val="006C5A17"/>
    <w:rsid w:val="006D2C51"/>
    <w:rsid w:val="006E26AF"/>
    <w:rsid w:val="006F7393"/>
    <w:rsid w:val="0070224F"/>
    <w:rsid w:val="007115F7"/>
    <w:rsid w:val="00734A9F"/>
    <w:rsid w:val="00743EB2"/>
    <w:rsid w:val="00756477"/>
    <w:rsid w:val="00785689"/>
    <w:rsid w:val="0079754B"/>
    <w:rsid w:val="007A1E6D"/>
    <w:rsid w:val="007B20C1"/>
    <w:rsid w:val="007C4193"/>
    <w:rsid w:val="00822CE0"/>
    <w:rsid w:val="008235BA"/>
    <w:rsid w:val="00830DD5"/>
    <w:rsid w:val="00837C62"/>
    <w:rsid w:val="00841AB1"/>
    <w:rsid w:val="00843159"/>
    <w:rsid w:val="0087007B"/>
    <w:rsid w:val="008A01D5"/>
    <w:rsid w:val="008C22FD"/>
    <w:rsid w:val="008C4863"/>
    <w:rsid w:val="008D7F75"/>
    <w:rsid w:val="008E172D"/>
    <w:rsid w:val="008F7165"/>
    <w:rsid w:val="00910F12"/>
    <w:rsid w:val="00926503"/>
    <w:rsid w:val="00930ECF"/>
    <w:rsid w:val="00964A8B"/>
    <w:rsid w:val="009766A3"/>
    <w:rsid w:val="00981ED1"/>
    <w:rsid w:val="009838BC"/>
    <w:rsid w:val="009A117D"/>
    <w:rsid w:val="009A56D2"/>
    <w:rsid w:val="009D411E"/>
    <w:rsid w:val="00A41AED"/>
    <w:rsid w:val="00A45F4F"/>
    <w:rsid w:val="00A600A9"/>
    <w:rsid w:val="00A74599"/>
    <w:rsid w:val="00A7679B"/>
    <w:rsid w:val="00A85CED"/>
    <w:rsid w:val="00A866AC"/>
    <w:rsid w:val="00AA55B7"/>
    <w:rsid w:val="00AA5B9E"/>
    <w:rsid w:val="00AB2407"/>
    <w:rsid w:val="00AB53DF"/>
    <w:rsid w:val="00AF0D71"/>
    <w:rsid w:val="00B07E5C"/>
    <w:rsid w:val="00B20363"/>
    <w:rsid w:val="00B326E3"/>
    <w:rsid w:val="00B367DA"/>
    <w:rsid w:val="00B54993"/>
    <w:rsid w:val="00B55434"/>
    <w:rsid w:val="00B811F7"/>
    <w:rsid w:val="00B95906"/>
    <w:rsid w:val="00BA5DC6"/>
    <w:rsid w:val="00BA6196"/>
    <w:rsid w:val="00BC6D8C"/>
    <w:rsid w:val="00C16AF2"/>
    <w:rsid w:val="00C337F5"/>
    <w:rsid w:val="00C34006"/>
    <w:rsid w:val="00C426B1"/>
    <w:rsid w:val="00C5167A"/>
    <w:rsid w:val="00C64BA0"/>
    <w:rsid w:val="00C82B6B"/>
    <w:rsid w:val="00C85D4C"/>
    <w:rsid w:val="00C90D6A"/>
    <w:rsid w:val="00C94C97"/>
    <w:rsid w:val="00CA6617"/>
    <w:rsid w:val="00CC72B6"/>
    <w:rsid w:val="00CE573A"/>
    <w:rsid w:val="00CE57BC"/>
    <w:rsid w:val="00D0218D"/>
    <w:rsid w:val="00D216CD"/>
    <w:rsid w:val="00D6018A"/>
    <w:rsid w:val="00D95FF8"/>
    <w:rsid w:val="00DA2529"/>
    <w:rsid w:val="00DB130A"/>
    <w:rsid w:val="00DC10A1"/>
    <w:rsid w:val="00DC655F"/>
    <w:rsid w:val="00DD7EBD"/>
    <w:rsid w:val="00DF295E"/>
    <w:rsid w:val="00DF62B6"/>
    <w:rsid w:val="00E07225"/>
    <w:rsid w:val="00E155B7"/>
    <w:rsid w:val="00E248E0"/>
    <w:rsid w:val="00E2784B"/>
    <w:rsid w:val="00E4069C"/>
    <w:rsid w:val="00E5409F"/>
    <w:rsid w:val="00E634F7"/>
    <w:rsid w:val="00E812CE"/>
    <w:rsid w:val="00E850EB"/>
    <w:rsid w:val="00EA6B12"/>
    <w:rsid w:val="00EC0185"/>
    <w:rsid w:val="00EC55D7"/>
    <w:rsid w:val="00ED2773"/>
    <w:rsid w:val="00ED6741"/>
    <w:rsid w:val="00EE605C"/>
    <w:rsid w:val="00EF078A"/>
    <w:rsid w:val="00F021FA"/>
    <w:rsid w:val="00F21141"/>
    <w:rsid w:val="00F46C12"/>
    <w:rsid w:val="00F508B9"/>
    <w:rsid w:val="00F510E7"/>
    <w:rsid w:val="00F5700B"/>
    <w:rsid w:val="00F57ACA"/>
    <w:rsid w:val="00F62E97"/>
    <w:rsid w:val="00F64209"/>
    <w:rsid w:val="00F93BF5"/>
    <w:rsid w:val="00F96F63"/>
    <w:rsid w:val="00FC2AF0"/>
    <w:rsid w:val="00FC4BFB"/>
    <w:rsid w:val="00FC7970"/>
    <w:rsid w:val="00FD1457"/>
    <w:rsid w:val="00FD7AC6"/>
    <w:rsid w:val="00FE11C3"/>
    <w:rsid w:val="00FF76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20D2B2DB-8684-4F4C-AC1A-1D48017D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7B"/>
    <w:pPr>
      <w:widowControl w:val="0"/>
    </w:pPr>
    <w:rPr>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kern w:val="28"/>
      <w:sz w:val="28"/>
      <w:szCs w:val="28"/>
    </w:rPr>
  </w:style>
  <w:style w:type="character" w:customStyle="1" w:styleId="Heading3Char">
    <w:name w:val="Heading 3 Char"/>
    <w:link w:val="Heading3"/>
    <w:uiPriority w:val="9"/>
    <w:semiHidden/>
    <w:rPr>
      <w:rFonts w:ascii="Calibri Light" w:eastAsia="Times New Roman" w:hAnsi="Calibri Light" w:cs="Times New Roman"/>
      <w:b/>
      <w:bCs/>
      <w:kern w:val="28"/>
      <w:sz w:val="26"/>
      <w:szCs w:val="26"/>
    </w:rPr>
  </w:style>
  <w:style w:type="character" w:customStyle="1" w:styleId="Heading4Char">
    <w:name w:val="Heading 4 Char"/>
    <w:link w:val="Heading4"/>
    <w:uiPriority w:val="9"/>
    <w:semiHidden/>
    <w:rPr>
      <w:rFonts w:ascii="Calibri" w:eastAsia="Times New Roman" w:hAnsi="Calibri" w:cs="Times New Roman"/>
      <w:b/>
      <w:bCs/>
      <w:kern w:val="28"/>
      <w:sz w:val="28"/>
      <w:szCs w:val="28"/>
    </w:rPr>
  </w:style>
  <w:style w:type="character" w:customStyle="1" w:styleId="Heading5Char">
    <w:name w:val="Heading 5 Char"/>
    <w:link w:val="Heading5"/>
    <w:uiPriority w:val="9"/>
    <w:semiHidden/>
    <w:rPr>
      <w:rFonts w:ascii="Calibri" w:eastAsia="Times New Roman" w:hAnsi="Calibri" w:cs="Times New Roman"/>
      <w:b/>
      <w:bCs/>
      <w:i/>
      <w:iCs/>
      <w:kern w:val="28"/>
      <w:sz w:val="26"/>
      <w:szCs w:val="26"/>
    </w:rPr>
  </w:style>
  <w:style w:type="character" w:customStyle="1" w:styleId="Heading6Char">
    <w:name w:val="Heading 6 Char"/>
    <w:link w:val="Heading6"/>
    <w:uiPriority w:val="9"/>
    <w:semiHidden/>
    <w:rPr>
      <w:rFonts w:ascii="Calibri" w:eastAsia="Times New Roman" w:hAnsi="Calibri" w:cs="Times New Roman"/>
      <w:b/>
      <w:bCs/>
      <w:kern w:val="28"/>
      <w:sz w:val="22"/>
      <w:szCs w:val="22"/>
    </w:rPr>
  </w:style>
  <w:style w:type="character" w:customStyle="1" w:styleId="Heading7Char">
    <w:name w:val="Heading 7 Char"/>
    <w:link w:val="Heading7"/>
    <w:uiPriority w:val="9"/>
    <w:semiHidden/>
    <w:rPr>
      <w:rFonts w:ascii="Calibri" w:eastAsia="Times New Roman" w:hAnsi="Calibri" w:cs="Times New Roman"/>
      <w:kern w:val="28"/>
      <w:sz w:val="24"/>
      <w:szCs w:val="24"/>
    </w:rPr>
  </w:style>
  <w:style w:type="character" w:customStyle="1" w:styleId="Heading8Char">
    <w:name w:val="Heading 8 Char"/>
    <w:link w:val="Heading8"/>
    <w:uiPriority w:val="9"/>
    <w:semiHidden/>
    <w:rPr>
      <w:rFonts w:ascii="Calibri" w:eastAsia="Times New Roman" w:hAnsi="Calibri" w:cs="Times New Roman"/>
      <w:i/>
      <w:iCs/>
      <w:kern w:val="28"/>
      <w:sz w:val="24"/>
      <w:szCs w:val="24"/>
    </w:rPr>
  </w:style>
  <w:style w:type="character" w:customStyle="1" w:styleId="Heading9Char">
    <w:name w:val="Heading 9 Char"/>
    <w:link w:val="Heading9"/>
    <w:uiPriority w:val="9"/>
    <w:semiHidden/>
    <w:rPr>
      <w:rFonts w:ascii="Calibri Light" w:eastAsia="Times New Roman" w:hAnsi="Calibri Light" w:cs="Times New Roman"/>
      <w:kern w:val="28"/>
      <w:sz w:val="22"/>
      <w:szCs w:val="22"/>
    </w:rPr>
  </w:style>
  <w:style w:type="paragraph" w:customStyle="1" w:styleId="ParaNum">
    <w:name w:val="ParaNum"/>
    <w:basedOn w:val="Normal"/>
    <w:link w:val="ParaNumChar"/>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rPr>
      <w:kern w:val="28"/>
    </w:rPr>
  </w:style>
  <w:style w:type="character" w:styleId="EndnoteReference">
    <w:name w:val="endnote reference"/>
    <w:uiPriority w:val="99"/>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uiPriority w:val="99"/>
    <w:rsid w:val="000E3D42"/>
    <w:pPr>
      <w:widowControl/>
      <w:spacing w:after="120"/>
    </w:pPr>
    <w:rPr>
      <w:kern w:val="0"/>
      <w:sz w:val="20"/>
    </w:rPr>
  </w:style>
  <w:style w:type="paragraph" w:styleId="ListParagraph">
    <w:name w:val="List Paragraph"/>
    <w:basedOn w:val="Normal"/>
    <w:uiPriority w:val="34"/>
    <w:qFormat/>
    <w:rsid w:val="0087007B"/>
    <w:pPr>
      <w:widowControl/>
      <w:ind w:left="720"/>
    </w:pPr>
    <w:rPr>
      <w:kern w:val="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link w:val="Header"/>
    <w:uiPriority w:val="99"/>
    <w:semiHidden/>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10F12"/>
    <w:rPr>
      <w:kern w:val="28"/>
      <w:sz w:val="22"/>
    </w:rPr>
  </w:style>
  <w:style w:type="character" w:styleId="PageNumber">
    <w:name w:val="page number"/>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87007B"/>
  </w:style>
  <w:style w:type="paragraph" w:customStyle="1" w:styleId="Default">
    <w:name w:val="Default"/>
    <w:rsid w:val="0087007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B3462"/>
    <w:rPr>
      <w:rFonts w:ascii="Segoe UI" w:hAnsi="Segoe UI" w:cs="Segoe UI"/>
      <w:sz w:val="18"/>
      <w:szCs w:val="18"/>
    </w:rPr>
  </w:style>
  <w:style w:type="character" w:customStyle="1" w:styleId="BalloonTextChar">
    <w:name w:val="Balloon Text Char"/>
    <w:link w:val="BalloonText"/>
    <w:uiPriority w:val="99"/>
    <w:semiHidden/>
    <w:locked/>
    <w:rsid w:val="005B3462"/>
    <w:rPr>
      <w:rFonts w:ascii="Segoe UI" w:hAnsi="Segoe UI"/>
      <w:kern w:val="28"/>
      <w:sz w:val="18"/>
    </w:rPr>
  </w:style>
  <w:style w:type="character" w:styleId="CommentReference">
    <w:name w:val="annotation reference"/>
    <w:uiPriority w:val="99"/>
    <w:unhideWhenUsed/>
    <w:rsid w:val="000B6235"/>
    <w:rPr>
      <w:sz w:val="16"/>
    </w:rPr>
  </w:style>
  <w:style w:type="paragraph" w:styleId="CommentText">
    <w:name w:val="annotation text"/>
    <w:basedOn w:val="Normal"/>
    <w:link w:val="CommentTextChar"/>
    <w:uiPriority w:val="99"/>
    <w:unhideWhenUsed/>
    <w:rsid w:val="000B6235"/>
    <w:rPr>
      <w:sz w:val="20"/>
    </w:rPr>
  </w:style>
  <w:style w:type="character" w:customStyle="1" w:styleId="CommentTextChar">
    <w:name w:val="Comment Text Char"/>
    <w:link w:val="CommentText"/>
    <w:uiPriority w:val="99"/>
    <w:locked/>
    <w:rsid w:val="000B6235"/>
    <w:rPr>
      <w:kern w:val="28"/>
    </w:rPr>
  </w:style>
  <w:style w:type="paragraph" w:styleId="CommentSubject">
    <w:name w:val="annotation subject"/>
    <w:basedOn w:val="CommentText"/>
    <w:next w:val="CommentText"/>
    <w:link w:val="CommentSubjectChar"/>
    <w:uiPriority w:val="99"/>
    <w:semiHidden/>
    <w:unhideWhenUsed/>
    <w:rsid w:val="000B6235"/>
    <w:rPr>
      <w:b/>
      <w:bCs/>
    </w:rPr>
  </w:style>
  <w:style w:type="character" w:customStyle="1" w:styleId="CommentSubjectChar">
    <w:name w:val="Comment Subject Char"/>
    <w:link w:val="CommentSubject"/>
    <w:uiPriority w:val="99"/>
    <w:semiHidden/>
    <w:locked/>
    <w:rsid w:val="000B6235"/>
    <w:rPr>
      <w:b/>
      <w:kern w:val="28"/>
    </w:rPr>
  </w:style>
  <w:style w:type="character" w:customStyle="1" w:styleId="UnresolvedMention1">
    <w:name w:val="Unresolved Mention1"/>
    <w:uiPriority w:val="99"/>
    <w:rsid w:val="00102B71"/>
    <w:rPr>
      <w:color w:val="605E5C"/>
      <w:shd w:val="clear" w:color="auto" w:fill="E1DFDD"/>
    </w:rPr>
  </w:style>
  <w:style w:type="character" w:customStyle="1" w:styleId="ParaNumChar">
    <w:name w:val="ParaNum Char"/>
    <w:link w:val="ParaNum"/>
    <w:locked/>
    <w:rsid w:val="005B123A"/>
    <w:rPr>
      <w:kern w:val="28"/>
      <w:sz w:val="22"/>
    </w:rPr>
  </w:style>
  <w:style w:type="paragraph" w:styleId="Revision">
    <w:name w:val="Revision"/>
    <w:hidden/>
    <w:uiPriority w:val="99"/>
    <w:semiHidden/>
    <w:rsid w:val="006A76CE"/>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