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825B329" w14:textId="77777777">
      <w:pPr>
        <w:jc w:val="center"/>
        <w:rPr>
          <w:b/>
        </w:rPr>
      </w:pPr>
      <w:bookmarkStart w:id="0" w:name="_Hlk51321250"/>
      <w:r w:rsidRPr="0070224F">
        <w:rPr>
          <w:rFonts w:ascii="Times New Roman Bold" w:hAnsi="Times New Roman Bold"/>
          <w:b/>
          <w:kern w:val="0"/>
          <w:szCs w:val="22"/>
        </w:rPr>
        <w:t>Before</w:t>
      </w:r>
      <w:r>
        <w:rPr>
          <w:b/>
        </w:rPr>
        <w:t xml:space="preserve"> the</w:t>
      </w:r>
    </w:p>
    <w:p w:rsidR="00921803" w:rsidP="00921803" w14:paraId="39572282" w14:textId="77777777">
      <w:pPr>
        <w:pStyle w:val="StyleBoldCentered"/>
      </w:pPr>
      <w:r>
        <w:t>F</w:t>
      </w:r>
      <w:r>
        <w:rPr>
          <w:caps w:val="0"/>
        </w:rPr>
        <w:t>ederal Communications Commission</w:t>
      </w:r>
    </w:p>
    <w:p w:rsidR="004C2EE3" w:rsidP="00096D8C" w14:paraId="5ED39D4E" w14:textId="77777777">
      <w:pPr>
        <w:pStyle w:val="StyleBoldCentered"/>
      </w:pPr>
      <w:r>
        <w:rPr>
          <w:caps w:val="0"/>
        </w:rPr>
        <w:t>Washington, D.C. 20554</w:t>
      </w:r>
    </w:p>
    <w:p w:rsidR="004C2EE3" w:rsidP="0070224F" w14:paraId="7746AF7F" w14:textId="77777777"/>
    <w:p w:rsidR="004C2EE3" w:rsidP="0070224F" w14:paraId="6DC78622" w14:textId="77777777"/>
    <w:tbl>
      <w:tblPr>
        <w:tblW w:w="0" w:type="auto"/>
        <w:tblLayout w:type="fixed"/>
        <w:tblLook w:val="0000"/>
      </w:tblPr>
      <w:tblGrid>
        <w:gridCol w:w="4698"/>
        <w:gridCol w:w="630"/>
        <w:gridCol w:w="4248"/>
      </w:tblGrid>
      <w:tr w14:paraId="4FB03420" w14:textId="77777777">
        <w:tblPrEx>
          <w:tblW w:w="0" w:type="auto"/>
          <w:tblLayout w:type="fixed"/>
          <w:tblLook w:val="0000"/>
        </w:tblPrEx>
        <w:tc>
          <w:tcPr>
            <w:tcW w:w="4698" w:type="dxa"/>
          </w:tcPr>
          <w:p w:rsidR="004C2EE3" w14:paraId="1A71AEE1" w14:textId="77777777">
            <w:pPr>
              <w:tabs>
                <w:tab w:val="center" w:pos="4680"/>
              </w:tabs>
              <w:suppressAutoHyphens/>
              <w:rPr>
                <w:spacing w:val="-2"/>
              </w:rPr>
            </w:pPr>
            <w:r>
              <w:rPr>
                <w:spacing w:val="-2"/>
              </w:rPr>
              <w:t>In the Matter of</w:t>
            </w:r>
          </w:p>
          <w:p w:rsidR="004C2EE3" w14:paraId="164EB034" w14:textId="77777777">
            <w:pPr>
              <w:tabs>
                <w:tab w:val="center" w:pos="4680"/>
              </w:tabs>
              <w:suppressAutoHyphens/>
              <w:rPr>
                <w:spacing w:val="-2"/>
              </w:rPr>
            </w:pPr>
          </w:p>
          <w:p w:rsidR="004C2EE3" w:rsidRPr="007115F7" w:rsidP="007115F7" w14:paraId="63CA72C9" w14:textId="77777777">
            <w:pPr>
              <w:tabs>
                <w:tab w:val="center" w:pos="4680"/>
              </w:tabs>
              <w:suppressAutoHyphens/>
              <w:rPr>
                <w:spacing w:val="-2"/>
              </w:rPr>
            </w:pPr>
            <w:r w:rsidRPr="00F4037F">
              <w:rPr>
                <w:spacing w:val="-2"/>
              </w:rPr>
              <w:t>Expanding Flexible Use of the 3.7 to 4.2 GHz Band</w:t>
            </w:r>
          </w:p>
        </w:tc>
        <w:tc>
          <w:tcPr>
            <w:tcW w:w="630" w:type="dxa"/>
          </w:tcPr>
          <w:p w:rsidR="004C2EE3" w14:paraId="68A27630" w14:textId="77777777">
            <w:pPr>
              <w:tabs>
                <w:tab w:val="center" w:pos="4680"/>
              </w:tabs>
              <w:suppressAutoHyphens/>
              <w:rPr>
                <w:b/>
                <w:spacing w:val="-2"/>
              </w:rPr>
            </w:pPr>
            <w:r>
              <w:rPr>
                <w:b/>
                <w:spacing w:val="-2"/>
              </w:rPr>
              <w:t>)</w:t>
            </w:r>
          </w:p>
          <w:p w:rsidR="004C2EE3" w14:paraId="3B9D023A" w14:textId="77777777">
            <w:pPr>
              <w:tabs>
                <w:tab w:val="center" w:pos="4680"/>
              </w:tabs>
              <w:suppressAutoHyphens/>
              <w:rPr>
                <w:b/>
                <w:spacing w:val="-2"/>
              </w:rPr>
            </w:pPr>
            <w:r>
              <w:rPr>
                <w:b/>
                <w:spacing w:val="-2"/>
              </w:rPr>
              <w:t>)</w:t>
            </w:r>
          </w:p>
          <w:p w:rsidR="004C2EE3" w14:paraId="116B4F67" w14:textId="77777777">
            <w:pPr>
              <w:tabs>
                <w:tab w:val="center" w:pos="4680"/>
              </w:tabs>
              <w:suppressAutoHyphens/>
              <w:rPr>
                <w:b/>
                <w:spacing w:val="-2"/>
              </w:rPr>
            </w:pPr>
            <w:r>
              <w:rPr>
                <w:b/>
                <w:spacing w:val="-2"/>
              </w:rPr>
              <w:t>)</w:t>
            </w:r>
          </w:p>
          <w:p w:rsidR="004C2EE3" w14:paraId="5CD1DE36" w14:textId="77777777">
            <w:pPr>
              <w:tabs>
                <w:tab w:val="center" w:pos="4680"/>
              </w:tabs>
              <w:suppressAutoHyphens/>
              <w:rPr>
                <w:b/>
                <w:spacing w:val="-2"/>
              </w:rPr>
            </w:pPr>
            <w:r>
              <w:rPr>
                <w:b/>
                <w:spacing w:val="-2"/>
              </w:rPr>
              <w:t>)</w:t>
            </w:r>
          </w:p>
          <w:p w:rsidR="004C2EE3" w14:paraId="7A469581" w14:textId="77777777">
            <w:pPr>
              <w:tabs>
                <w:tab w:val="center" w:pos="4680"/>
              </w:tabs>
              <w:suppressAutoHyphens/>
              <w:rPr>
                <w:spacing w:val="-2"/>
              </w:rPr>
            </w:pPr>
          </w:p>
        </w:tc>
        <w:tc>
          <w:tcPr>
            <w:tcW w:w="4248" w:type="dxa"/>
          </w:tcPr>
          <w:p w:rsidR="004C2EE3" w14:paraId="00E2788B" w14:textId="77777777">
            <w:pPr>
              <w:tabs>
                <w:tab w:val="center" w:pos="4680"/>
              </w:tabs>
              <w:suppressAutoHyphens/>
              <w:rPr>
                <w:spacing w:val="-2"/>
              </w:rPr>
            </w:pPr>
          </w:p>
          <w:p w:rsidR="004C2EE3" w14:paraId="0B371795" w14:textId="77777777">
            <w:pPr>
              <w:pStyle w:val="TOAHeading"/>
              <w:tabs>
                <w:tab w:val="center" w:pos="4680"/>
                <w:tab w:val="clear" w:pos="9360"/>
              </w:tabs>
              <w:rPr>
                <w:spacing w:val="-2"/>
              </w:rPr>
            </w:pPr>
          </w:p>
          <w:p w:rsidR="004C2EE3" w14:paraId="5B90739D" w14:textId="77777777">
            <w:pPr>
              <w:tabs>
                <w:tab w:val="center" w:pos="4680"/>
              </w:tabs>
              <w:suppressAutoHyphens/>
              <w:rPr>
                <w:spacing w:val="-2"/>
              </w:rPr>
            </w:pPr>
            <w:r>
              <w:rPr>
                <w:spacing w:val="-2"/>
              </w:rPr>
              <w:t>GN Docket No. 18-122</w:t>
            </w:r>
          </w:p>
        </w:tc>
      </w:tr>
    </w:tbl>
    <w:p w:rsidR="004C2EE3" w:rsidP="0070224F" w14:paraId="35CC88F1" w14:textId="77777777"/>
    <w:p w:rsidR="00841AB1" w:rsidP="00F021FA" w14:paraId="02AE4CD0" w14:textId="77777777">
      <w:pPr>
        <w:pStyle w:val="StyleBoldCentered"/>
      </w:pPr>
      <w:r>
        <w:t>Order</w:t>
      </w:r>
    </w:p>
    <w:p w:rsidR="004C2EE3" w14:paraId="73C57112" w14:textId="77777777">
      <w:pPr>
        <w:tabs>
          <w:tab w:val="left" w:pos="-720"/>
        </w:tabs>
        <w:suppressAutoHyphens/>
        <w:spacing w:line="227" w:lineRule="auto"/>
        <w:rPr>
          <w:spacing w:val="-2"/>
        </w:rPr>
      </w:pPr>
    </w:p>
    <w:p w:rsidR="004C2EE3" w:rsidP="00133F79" w14:paraId="788FB181" w14:textId="5BCD9EB2">
      <w:pPr>
        <w:tabs>
          <w:tab w:val="left" w:pos="720"/>
          <w:tab w:val="right" w:pos="9360"/>
        </w:tabs>
        <w:suppressAutoHyphens/>
        <w:spacing w:line="227" w:lineRule="auto"/>
        <w:rPr>
          <w:spacing w:val="-2"/>
        </w:rPr>
      </w:pPr>
      <w:r>
        <w:rPr>
          <w:b/>
          <w:spacing w:val="-2"/>
        </w:rPr>
        <w:t xml:space="preserve">Adopted:  </w:t>
      </w:r>
      <w:r w:rsidR="00A24C12">
        <w:rPr>
          <w:b/>
          <w:spacing w:val="-2"/>
        </w:rPr>
        <w:t>September 25,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4C12">
        <w:rPr>
          <w:b/>
          <w:spacing w:val="-2"/>
        </w:rPr>
        <w:t>September 25, 2020</w:t>
      </w:r>
    </w:p>
    <w:p w:rsidR="00822CE0" w14:paraId="3B999D45" w14:textId="77777777"/>
    <w:p w:rsidR="004C2EE3" w14:paraId="0F334034" w14:textId="77777777">
      <w:pPr>
        <w:rPr>
          <w:spacing w:val="-2"/>
        </w:rPr>
      </w:pPr>
      <w:r>
        <w:t xml:space="preserve">By </w:t>
      </w:r>
      <w:r w:rsidR="004E4A22">
        <w:t>the</w:t>
      </w:r>
      <w:r w:rsidR="002A2D2E">
        <w:t xml:space="preserve"> </w:t>
      </w:r>
      <w:r w:rsidR="00F4037F">
        <w:rPr>
          <w:spacing w:val="-2"/>
        </w:rPr>
        <w:t>Chief, Wireless Telecommunications Bureau</w:t>
      </w:r>
      <w:r>
        <w:rPr>
          <w:spacing w:val="-2"/>
        </w:rPr>
        <w:t>:</w:t>
      </w:r>
    </w:p>
    <w:p w:rsidR="00412FC5" w:rsidP="00923386" w14:paraId="02000ADA" w14:textId="5F95A218">
      <w:pPr>
        <w:pStyle w:val="Heading1"/>
        <w:numPr>
          <w:ilvl w:val="0"/>
          <w:numId w:val="0"/>
        </w:numPr>
      </w:pPr>
    </w:p>
    <w:p w:rsidR="00F4037F" w:rsidRPr="00963EBA" w:rsidP="00F4037F" w14:paraId="56ACEE2A" w14:textId="64F55497">
      <w:pPr>
        <w:pStyle w:val="ParaNum"/>
        <w:rPr>
          <w:szCs w:val="22"/>
        </w:rPr>
      </w:pPr>
      <w:r w:rsidRPr="00963EBA">
        <w:rPr>
          <w:szCs w:val="22"/>
        </w:rPr>
        <w:t xml:space="preserve">On March 3, 2020, the Commission released the </w:t>
      </w:r>
      <w:r w:rsidRPr="00963EBA">
        <w:rPr>
          <w:i/>
          <w:iCs/>
          <w:szCs w:val="22"/>
        </w:rPr>
        <w:t>3.7 GHz Band Report and Order</w:t>
      </w:r>
      <w:r w:rsidRPr="00963EBA">
        <w:rPr>
          <w:szCs w:val="22"/>
        </w:rPr>
        <w:t>, which adopted new rules to make available 280 megahertz of mid-band spectrum for flexible use, plus a 20 megahertz guard band, throughout the contiguous United States by transitioning existing services out of the lower portion and into the upper 200 megahertz of the 3.7-4.2 GHz band (C-band).</w:t>
      </w:r>
      <w:r>
        <w:rPr>
          <w:rStyle w:val="FootnoteReference"/>
          <w:sz w:val="22"/>
          <w:szCs w:val="22"/>
        </w:rPr>
        <w:footnoteReference w:id="3"/>
      </w:r>
      <w:r w:rsidRPr="00963EBA">
        <w:rPr>
          <w:bCs/>
          <w:szCs w:val="22"/>
        </w:rPr>
        <w:t xml:space="preserve">  With this Order, the Wireless Telecommunications Bureau (the Bureau) announces that RSM US LLP (RSM) satisfies the selection criteria established by the Commission in the </w:t>
      </w:r>
      <w:r w:rsidRPr="00963EBA">
        <w:rPr>
          <w:bCs/>
          <w:i/>
          <w:iCs/>
          <w:szCs w:val="22"/>
        </w:rPr>
        <w:t xml:space="preserve">3.7 GHz Band Report and Order </w:t>
      </w:r>
      <w:r w:rsidRPr="00963EBA">
        <w:rPr>
          <w:bCs/>
          <w:szCs w:val="22"/>
        </w:rPr>
        <w:t>and will serve as the Relocation Coordinator for the 3.7-4.2 GHz transition process.</w:t>
      </w:r>
      <w:r>
        <w:rPr>
          <w:rStyle w:val="FootnoteReference"/>
          <w:bCs/>
          <w:sz w:val="22"/>
          <w:szCs w:val="22"/>
        </w:rPr>
        <w:footnoteReference w:id="4"/>
      </w:r>
    </w:p>
    <w:p w:rsidR="00F4037F" w:rsidRPr="00963EBA" w:rsidP="00F4037F" w14:paraId="138CFBEF" w14:textId="45E06BC5">
      <w:pPr>
        <w:pStyle w:val="ParaNum"/>
        <w:rPr>
          <w:szCs w:val="22"/>
        </w:rPr>
      </w:pPr>
      <w:r w:rsidRPr="00963EBA">
        <w:rPr>
          <w:szCs w:val="22"/>
        </w:rPr>
        <w:t xml:space="preserve">The </w:t>
      </w:r>
      <w:r w:rsidRPr="00963EBA">
        <w:rPr>
          <w:i/>
          <w:iCs/>
          <w:szCs w:val="22"/>
        </w:rPr>
        <w:t>3.7 GHz Report and Order</w:t>
      </w:r>
      <w:r w:rsidRPr="00963EBA">
        <w:rPr>
          <w:szCs w:val="22"/>
        </w:rPr>
        <w:t xml:space="preserve"> </w:t>
      </w:r>
      <w:r w:rsidRPr="00963EBA" w:rsidR="00B97D36">
        <w:rPr>
          <w:szCs w:val="22"/>
        </w:rPr>
        <w:t>allowed</w:t>
      </w:r>
      <w:r w:rsidRPr="00963EBA" w:rsidR="00100815">
        <w:rPr>
          <w:szCs w:val="22"/>
        </w:rPr>
        <w:t xml:space="preserve"> a search committee of</w:t>
      </w:r>
      <w:r w:rsidRPr="00963EBA" w:rsidR="00B97D36">
        <w:rPr>
          <w:szCs w:val="22"/>
        </w:rPr>
        <w:t xml:space="preserve"> </w:t>
      </w:r>
      <w:r w:rsidRPr="00963EBA">
        <w:rPr>
          <w:szCs w:val="22"/>
        </w:rPr>
        <w:t>eligible Fixed Satellite Service (FSS) space station operators to select, not later than July 31, 2020, a Relocation Coordinator that will be responsible for managing the overall transition and coordinating relocation actions among eligible FSS space station operators, incumbent FSS earth station operation, and new 3.7 GHz Service flexible-use licensees.</w:t>
      </w:r>
      <w:r>
        <w:rPr>
          <w:rStyle w:val="FootnoteReference"/>
          <w:sz w:val="22"/>
          <w:szCs w:val="22"/>
        </w:rPr>
        <w:footnoteReference w:id="5"/>
      </w:r>
      <w:r w:rsidRPr="00963EBA">
        <w:rPr>
          <w:szCs w:val="22"/>
        </w:rPr>
        <w:t xml:space="preserve"> </w:t>
      </w:r>
      <w:r w:rsidR="00323B30">
        <w:rPr>
          <w:szCs w:val="22"/>
        </w:rPr>
        <w:t xml:space="preserve"> </w:t>
      </w:r>
      <w:r w:rsidRPr="00963EBA">
        <w:rPr>
          <w:szCs w:val="22"/>
        </w:rPr>
        <w:t xml:space="preserve">The </w:t>
      </w:r>
      <w:r w:rsidRPr="00963EBA">
        <w:rPr>
          <w:i/>
          <w:iCs/>
          <w:szCs w:val="22"/>
        </w:rPr>
        <w:t xml:space="preserve">3.7 GHz Report and Order </w:t>
      </w:r>
      <w:r w:rsidRPr="00963EBA">
        <w:rPr>
          <w:szCs w:val="22"/>
        </w:rPr>
        <w:t xml:space="preserve">required that the Relocation Coordinator “must be able to </w:t>
      </w:r>
      <w:bookmarkStart w:id="2" w:name="_Hlk51592025"/>
      <w:r w:rsidRPr="00963EBA">
        <w:rPr>
          <w:szCs w:val="22"/>
        </w:rPr>
        <w:t>demonstrate that it has the requisite expertise to perform the duties required</w:t>
      </w:r>
      <w:bookmarkEnd w:id="2"/>
      <w:r w:rsidRPr="00963EBA">
        <w:rPr>
          <w:szCs w:val="22"/>
        </w:rPr>
        <w:t>, which will include:  (1) coordinating the schedule for clearing the band; (2) performing engineering analysis, as necessary, to determine necessary earth station migration actions; (3) assigning obligations, as necessary, for earth station migrations and filtering; (4) coordinating with overlay licensees throughout the transition process; (5) assessing the completion of the transition in each PEA and determining overlay licensees’ ability to commence operations; and (6) mediating scheduling disputes.”</w:t>
      </w:r>
      <w:r>
        <w:rPr>
          <w:rStyle w:val="FootnoteReference"/>
          <w:sz w:val="22"/>
          <w:szCs w:val="22"/>
        </w:rPr>
        <w:footnoteReference w:id="6"/>
      </w:r>
    </w:p>
    <w:p w:rsidR="00F4037F" w:rsidRPr="00963EBA" w:rsidP="00F4037F" w14:paraId="22A9B52D" w14:textId="3111D4A5">
      <w:pPr>
        <w:pStyle w:val="ParaNum"/>
        <w:rPr>
          <w:szCs w:val="22"/>
        </w:rPr>
      </w:pPr>
      <w:r w:rsidRPr="00963EBA">
        <w:rPr>
          <w:szCs w:val="22"/>
        </w:rPr>
        <w:t>On July</w:t>
      </w:r>
      <w:r w:rsidRPr="00963EBA" w:rsidR="005C071C">
        <w:rPr>
          <w:szCs w:val="22"/>
        </w:rPr>
        <w:t xml:space="preserve"> </w:t>
      </w:r>
      <w:r w:rsidRPr="00963EBA">
        <w:rPr>
          <w:szCs w:val="22"/>
        </w:rPr>
        <w:t>31, 2020, eligible space station operators announced that they had selected RSM to serve as the Relocation Coordinator.</w:t>
      </w:r>
      <w:r>
        <w:rPr>
          <w:rStyle w:val="FootnoteReference"/>
          <w:sz w:val="22"/>
          <w:szCs w:val="22"/>
        </w:rPr>
        <w:footnoteReference w:id="7"/>
      </w:r>
      <w:r w:rsidRPr="00963EBA">
        <w:rPr>
          <w:szCs w:val="22"/>
        </w:rPr>
        <w:t xml:space="preserve"> </w:t>
      </w:r>
      <w:r w:rsidR="00BE5832">
        <w:rPr>
          <w:szCs w:val="22"/>
        </w:rPr>
        <w:t xml:space="preserve"> </w:t>
      </w:r>
      <w:r w:rsidRPr="00963EBA">
        <w:rPr>
          <w:szCs w:val="22"/>
        </w:rPr>
        <w:t xml:space="preserve">The search committee determined that RSM has the requisite expertise to fulfill the criteria the Commission adopted in the </w:t>
      </w:r>
      <w:r w:rsidRPr="00963EBA">
        <w:rPr>
          <w:i/>
          <w:iCs/>
          <w:szCs w:val="22"/>
        </w:rPr>
        <w:t xml:space="preserve">3.7 GHz Report and Order </w:t>
      </w:r>
      <w:r w:rsidRPr="00963EBA">
        <w:rPr>
          <w:szCs w:val="22"/>
        </w:rPr>
        <w:t xml:space="preserve">and </w:t>
      </w:r>
      <w:r w:rsidRPr="00963EBA" w:rsidR="00484F5D">
        <w:rPr>
          <w:szCs w:val="22"/>
        </w:rPr>
        <w:t xml:space="preserve">codified </w:t>
      </w:r>
      <w:r w:rsidRPr="00963EBA">
        <w:rPr>
          <w:szCs w:val="22"/>
        </w:rPr>
        <w:t xml:space="preserve">in </w:t>
      </w:r>
      <w:r w:rsidRPr="00963EBA" w:rsidR="00543D0D">
        <w:rPr>
          <w:szCs w:val="22"/>
        </w:rPr>
        <w:t xml:space="preserve">its </w:t>
      </w:r>
      <w:r w:rsidRPr="00963EBA">
        <w:rPr>
          <w:szCs w:val="22"/>
        </w:rPr>
        <w:t>rules.</w:t>
      </w:r>
      <w:r>
        <w:rPr>
          <w:rStyle w:val="FootnoteReference"/>
          <w:sz w:val="22"/>
          <w:szCs w:val="22"/>
        </w:rPr>
        <w:footnoteReference w:id="8"/>
      </w:r>
      <w:r w:rsidRPr="00963EBA">
        <w:rPr>
          <w:szCs w:val="22"/>
        </w:rPr>
        <w:t xml:space="preserve">  </w:t>
      </w:r>
      <w:r w:rsidRPr="00963EBA" w:rsidR="00D30DCD">
        <w:rPr>
          <w:szCs w:val="22"/>
        </w:rPr>
        <w:t>In a public notice, t</w:t>
      </w:r>
      <w:r w:rsidRPr="00963EBA">
        <w:rPr>
          <w:szCs w:val="22"/>
        </w:rPr>
        <w:t>he Bureau sought comment on whether RSM satisfies the</w:t>
      </w:r>
      <w:r w:rsidRPr="00963EBA" w:rsidR="001549E1">
        <w:rPr>
          <w:szCs w:val="22"/>
        </w:rPr>
        <w:t>se</w:t>
      </w:r>
      <w:r w:rsidRPr="00963EBA">
        <w:rPr>
          <w:szCs w:val="22"/>
        </w:rPr>
        <w:t xml:space="preserve"> criteria.</w:t>
      </w:r>
      <w:r>
        <w:rPr>
          <w:rStyle w:val="FootnoteReference"/>
          <w:sz w:val="22"/>
          <w:szCs w:val="22"/>
        </w:rPr>
        <w:footnoteReference w:id="9"/>
      </w:r>
      <w:r w:rsidRPr="00963EBA">
        <w:rPr>
          <w:szCs w:val="22"/>
        </w:rPr>
        <w:t xml:space="preserve">  </w:t>
      </w:r>
      <w:r w:rsidRPr="00963EBA" w:rsidR="00D30DCD">
        <w:rPr>
          <w:szCs w:val="22"/>
        </w:rPr>
        <w:t xml:space="preserve">In response, the </w:t>
      </w:r>
      <w:r w:rsidRPr="00963EBA">
        <w:rPr>
          <w:szCs w:val="22"/>
        </w:rPr>
        <w:t>satellite operators submitted a filing describing</w:t>
      </w:r>
      <w:r w:rsidRPr="00963EBA" w:rsidR="004433C4">
        <w:rPr>
          <w:szCs w:val="22"/>
        </w:rPr>
        <w:t xml:space="preserve"> </w:t>
      </w:r>
      <w:r w:rsidRPr="00963EBA">
        <w:rPr>
          <w:szCs w:val="22"/>
        </w:rPr>
        <w:t xml:space="preserve">RSM’s qualifications, organizational structure, and plan to satisfy each of the responsibilities set forth in the </w:t>
      </w:r>
      <w:r w:rsidRPr="00963EBA">
        <w:rPr>
          <w:i/>
          <w:iCs/>
          <w:szCs w:val="22"/>
        </w:rPr>
        <w:t>3.7 GHz Report and Order</w:t>
      </w:r>
      <w:r w:rsidRPr="00963EBA">
        <w:rPr>
          <w:szCs w:val="22"/>
        </w:rPr>
        <w:t>.</w:t>
      </w:r>
      <w:r>
        <w:rPr>
          <w:rStyle w:val="FootnoteReference"/>
          <w:sz w:val="22"/>
          <w:szCs w:val="22"/>
        </w:rPr>
        <w:footnoteReference w:id="10"/>
      </w:r>
      <w:r w:rsidRPr="00963EBA">
        <w:rPr>
          <w:i/>
          <w:iCs/>
          <w:szCs w:val="22"/>
        </w:rPr>
        <w:t xml:space="preserve">  </w:t>
      </w:r>
      <w:r w:rsidRPr="00963EBA">
        <w:rPr>
          <w:szCs w:val="22"/>
        </w:rPr>
        <w:t>No commenters opposed RSM’s selection.</w:t>
      </w:r>
      <w:r w:rsidRPr="00963EBA" w:rsidR="00F20C65">
        <w:rPr>
          <w:szCs w:val="22"/>
        </w:rPr>
        <w:t xml:space="preserve"> </w:t>
      </w:r>
    </w:p>
    <w:p w:rsidR="00F4037F" w:rsidRPr="00963EBA" w:rsidP="00F4037F" w14:paraId="62C58498" w14:textId="1CDBB529">
      <w:pPr>
        <w:pStyle w:val="ParaNum"/>
        <w:rPr>
          <w:szCs w:val="22"/>
        </w:rPr>
      </w:pPr>
      <w:r w:rsidRPr="00963EBA">
        <w:rPr>
          <w:szCs w:val="22"/>
        </w:rPr>
        <w:t>After review</w:t>
      </w:r>
      <w:r w:rsidRPr="00963EBA" w:rsidR="003301A3">
        <w:rPr>
          <w:szCs w:val="22"/>
        </w:rPr>
        <w:t>ing</w:t>
      </w:r>
      <w:r w:rsidRPr="00963EBA">
        <w:rPr>
          <w:szCs w:val="22"/>
        </w:rPr>
        <w:t xml:space="preserve"> the record</w:t>
      </w:r>
      <w:r w:rsidRPr="00963EBA" w:rsidR="004433C4">
        <w:rPr>
          <w:szCs w:val="22"/>
        </w:rPr>
        <w:t xml:space="preserve"> </w:t>
      </w:r>
      <w:r w:rsidRPr="00963EBA" w:rsidR="00E60CFC">
        <w:rPr>
          <w:szCs w:val="22"/>
        </w:rPr>
        <w:t xml:space="preserve">regarding </w:t>
      </w:r>
      <w:r w:rsidRPr="00963EBA" w:rsidR="004433C4">
        <w:rPr>
          <w:szCs w:val="22"/>
        </w:rPr>
        <w:t>RSM</w:t>
      </w:r>
      <w:r w:rsidRPr="00963EBA" w:rsidR="00E60CFC">
        <w:rPr>
          <w:szCs w:val="22"/>
        </w:rPr>
        <w:t xml:space="preserve"> and its </w:t>
      </w:r>
      <w:r w:rsidRPr="00963EBA" w:rsidR="004433C4">
        <w:rPr>
          <w:szCs w:val="22"/>
        </w:rPr>
        <w:t>qualifications</w:t>
      </w:r>
      <w:r w:rsidRPr="00963EBA">
        <w:rPr>
          <w:szCs w:val="22"/>
        </w:rPr>
        <w:t xml:space="preserve">, we find that RSM </w:t>
      </w:r>
      <w:r w:rsidRPr="00963EBA" w:rsidR="00CD0BB6">
        <w:rPr>
          <w:szCs w:val="22"/>
        </w:rPr>
        <w:t xml:space="preserve">has demonstrated that it has the requisite expertise to perform the duties </w:t>
      </w:r>
      <w:r w:rsidRPr="00963EBA" w:rsidR="000E306E">
        <w:rPr>
          <w:szCs w:val="22"/>
        </w:rPr>
        <w:t>that s</w:t>
      </w:r>
      <w:r w:rsidRPr="00963EBA" w:rsidR="00BF2F85">
        <w:rPr>
          <w:szCs w:val="22"/>
        </w:rPr>
        <w:t xml:space="preserve">ection 27.1413(b) </w:t>
      </w:r>
      <w:r w:rsidRPr="00963EBA" w:rsidR="000E306E">
        <w:rPr>
          <w:szCs w:val="22"/>
        </w:rPr>
        <w:t>of our rules</w:t>
      </w:r>
      <w:r w:rsidRPr="00963EBA" w:rsidR="00486CDE">
        <w:rPr>
          <w:szCs w:val="22"/>
        </w:rPr>
        <w:t xml:space="preserve">, 47 CFR § 27.1413(b), </w:t>
      </w:r>
      <w:r w:rsidRPr="00963EBA" w:rsidR="000E306E">
        <w:rPr>
          <w:szCs w:val="22"/>
        </w:rPr>
        <w:t xml:space="preserve">requires a </w:t>
      </w:r>
      <w:r w:rsidRPr="00963EBA" w:rsidR="0092029C">
        <w:rPr>
          <w:szCs w:val="22"/>
        </w:rPr>
        <w:t>relocation coordinat</w:t>
      </w:r>
      <w:r w:rsidRPr="00963EBA" w:rsidR="00BF2F85">
        <w:rPr>
          <w:szCs w:val="22"/>
        </w:rPr>
        <w:t>or for</w:t>
      </w:r>
      <w:r w:rsidRPr="00963EBA">
        <w:rPr>
          <w:szCs w:val="22"/>
        </w:rPr>
        <w:t xml:space="preserve"> the C-band transition</w:t>
      </w:r>
      <w:r w:rsidRPr="00963EBA" w:rsidR="00DF5A56">
        <w:rPr>
          <w:szCs w:val="22"/>
        </w:rPr>
        <w:t xml:space="preserve"> to be capable of </w:t>
      </w:r>
      <w:bookmarkStart w:id="3" w:name="_GoBack"/>
      <w:bookmarkEnd w:id="3"/>
      <w:r w:rsidRPr="00963EBA" w:rsidR="00DF5A56">
        <w:rPr>
          <w:szCs w:val="22"/>
        </w:rPr>
        <w:t>performing</w:t>
      </w:r>
      <w:r w:rsidRPr="00963EBA">
        <w:rPr>
          <w:szCs w:val="22"/>
        </w:rPr>
        <w:t>.</w:t>
      </w:r>
      <w:r>
        <w:rPr>
          <w:rStyle w:val="FootnoteReference"/>
          <w:sz w:val="22"/>
          <w:szCs w:val="22"/>
        </w:rPr>
        <w:footnoteReference w:id="11"/>
      </w:r>
      <w:r w:rsidRPr="00963EBA">
        <w:rPr>
          <w:szCs w:val="22"/>
        </w:rPr>
        <w:t xml:space="preserve">    </w:t>
      </w:r>
    </w:p>
    <w:p w:rsidR="005C071C" w:rsidRPr="00963EBA" w:rsidP="005C071C" w14:paraId="21D8B3CA" w14:textId="77777777">
      <w:pPr>
        <w:pStyle w:val="ParaNum"/>
        <w:rPr>
          <w:szCs w:val="22"/>
        </w:rPr>
      </w:pPr>
      <w:r w:rsidRPr="00963EBA">
        <w:rPr>
          <w:szCs w:val="22"/>
        </w:rPr>
        <w:t>Accordingly, IT IS HEREBY ORDERED that RSM US LLP (RSM) satisfies the selection criteria established by the Commission and will serve as the Relocation Coordinator for the 3.7-4.2 GHz transition process.</w:t>
      </w:r>
    </w:p>
    <w:p w:rsidR="005C071C" w:rsidRPr="00963EBA" w:rsidP="005C071C" w14:paraId="117607F4" w14:textId="5FF87F15">
      <w:pPr>
        <w:pStyle w:val="ParaNum"/>
        <w:rPr>
          <w:szCs w:val="22"/>
        </w:rPr>
      </w:pPr>
      <w:r w:rsidRPr="00963EBA">
        <w:rPr>
          <w:szCs w:val="22"/>
        </w:rPr>
        <w:t xml:space="preserve">IT IS FURTHER ORDERED that, pursuant to sections 1.4(b) and 1.103 of the </w:t>
      </w:r>
      <w:r w:rsidRPr="00963EBA" w:rsidR="00062FE7">
        <w:rPr>
          <w:szCs w:val="22"/>
        </w:rPr>
        <w:t>Commi</w:t>
      </w:r>
      <w:r w:rsidRPr="00963EBA" w:rsidR="002E63DD">
        <w:rPr>
          <w:szCs w:val="22"/>
        </w:rPr>
        <w:t>s</w:t>
      </w:r>
      <w:r w:rsidRPr="00963EBA" w:rsidR="00062FE7">
        <w:rPr>
          <w:szCs w:val="22"/>
        </w:rPr>
        <w:t>sion</w:t>
      </w:r>
      <w:r w:rsidRPr="00963EBA" w:rsidR="002E63DD">
        <w:rPr>
          <w:szCs w:val="22"/>
        </w:rPr>
        <w:t>’s</w:t>
      </w:r>
      <w:r w:rsidRPr="00963EBA">
        <w:rPr>
          <w:szCs w:val="22"/>
        </w:rPr>
        <w:t xml:space="preserve"> rules, 47 CFR §§ 1.4(b), 1.103, this Order SHALL BE EFFECTIVE upon release.</w:t>
      </w:r>
      <w:bookmarkEnd w:id="0"/>
    </w:p>
    <w:p w:rsidR="002E63DD" w:rsidRPr="00963EBA" w:rsidP="002E63DD" w14:paraId="5B3030DA" w14:textId="6E2956E4">
      <w:pPr>
        <w:pStyle w:val="ParaNum"/>
        <w:numPr>
          <w:ilvl w:val="0"/>
          <w:numId w:val="0"/>
        </w:numPr>
        <w:jc w:val="right"/>
        <w:rPr>
          <w:szCs w:val="22"/>
        </w:rPr>
      </w:pPr>
    </w:p>
    <w:p w:rsidR="00D866F4" w:rsidRPr="00963EBA" w:rsidP="00D866F4" w14:paraId="197EB1CE" w14:textId="77777777">
      <w:pPr>
        <w:pStyle w:val="ParaNum"/>
        <w:numPr>
          <w:ilvl w:val="0"/>
          <w:numId w:val="0"/>
        </w:numPr>
        <w:ind w:left="4320"/>
        <w:rPr>
          <w:szCs w:val="22"/>
        </w:rPr>
      </w:pPr>
      <w:r w:rsidRPr="00963EBA">
        <w:rPr>
          <w:szCs w:val="22"/>
        </w:rPr>
        <w:t>FEDERAL COMMUNICATIONS COMMISSION</w:t>
      </w:r>
    </w:p>
    <w:p w:rsidR="00D866F4" w:rsidRPr="00963EBA" w:rsidP="00D866F4" w14:paraId="2C77FAE3" w14:textId="77777777">
      <w:pPr>
        <w:pStyle w:val="ParaNum"/>
        <w:numPr>
          <w:ilvl w:val="0"/>
          <w:numId w:val="0"/>
        </w:numPr>
        <w:ind w:left="4320"/>
        <w:rPr>
          <w:szCs w:val="22"/>
        </w:rPr>
      </w:pPr>
    </w:p>
    <w:p w:rsidR="00D866F4" w:rsidRPr="00963EBA" w:rsidP="00D866F4" w14:paraId="11E0A225" w14:textId="77777777">
      <w:pPr>
        <w:pStyle w:val="ParaNum"/>
        <w:numPr>
          <w:ilvl w:val="0"/>
          <w:numId w:val="0"/>
        </w:numPr>
        <w:ind w:left="4320"/>
        <w:rPr>
          <w:szCs w:val="22"/>
        </w:rPr>
      </w:pPr>
    </w:p>
    <w:p w:rsidR="00D866F4" w:rsidRPr="00963EBA" w:rsidP="00D866F4" w14:paraId="71B92A73" w14:textId="49465BF6">
      <w:pPr>
        <w:pStyle w:val="ParaNum"/>
        <w:numPr>
          <w:ilvl w:val="0"/>
          <w:numId w:val="0"/>
        </w:numPr>
        <w:spacing w:after="0"/>
        <w:ind w:left="4320"/>
        <w:rPr>
          <w:szCs w:val="22"/>
        </w:rPr>
      </w:pPr>
      <w:r w:rsidRPr="00963EBA">
        <w:rPr>
          <w:szCs w:val="22"/>
        </w:rPr>
        <w:t xml:space="preserve">Donald Stockdale </w:t>
      </w:r>
    </w:p>
    <w:p w:rsidR="00D866F4" w:rsidRPr="00963EBA" w:rsidP="00D866F4" w14:paraId="679E62C7" w14:textId="497AF7E0">
      <w:pPr>
        <w:pStyle w:val="ParaNum"/>
        <w:numPr>
          <w:ilvl w:val="0"/>
          <w:numId w:val="0"/>
        </w:numPr>
        <w:spacing w:after="0"/>
        <w:ind w:left="4320"/>
        <w:rPr>
          <w:szCs w:val="22"/>
        </w:rPr>
      </w:pPr>
      <w:r w:rsidRPr="00963EBA">
        <w:rPr>
          <w:szCs w:val="22"/>
        </w:rPr>
        <w:t>Chief</w:t>
      </w:r>
    </w:p>
    <w:p w:rsidR="00651E12" w:rsidRPr="00963EBA" w:rsidP="00D866F4" w14:paraId="0D842F35" w14:textId="0163C059">
      <w:pPr>
        <w:pStyle w:val="ParaNum"/>
        <w:numPr>
          <w:ilvl w:val="0"/>
          <w:numId w:val="0"/>
        </w:numPr>
        <w:spacing w:after="0"/>
        <w:ind w:left="4320"/>
        <w:rPr>
          <w:szCs w:val="22"/>
        </w:rPr>
      </w:pPr>
      <w:r w:rsidRPr="00963EBA">
        <w:rPr>
          <w:szCs w:val="22"/>
        </w:rPr>
        <w:t>Wireless Telecommunications Bureau</w:t>
      </w:r>
    </w:p>
    <w:p w:rsidR="00D866F4" w:rsidRPr="005C071C" w:rsidP="002E63DD" w14:paraId="42F767AF" w14:textId="77777777">
      <w:pPr>
        <w:pStyle w:val="ParaNum"/>
        <w:numPr>
          <w:ilvl w:val="0"/>
          <w:numId w:val="0"/>
        </w:numPr>
        <w:jc w:val="righ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7A03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F5D8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9C4AF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99CB1F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9938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14:paraId="603888CC" w14:textId="77777777">
      <w:r>
        <w:separator/>
      </w:r>
    </w:p>
  </w:footnote>
  <w:footnote w:type="continuationSeparator" w:id="1">
    <w:p w:rsidR="00566D06" w:rsidP="00C721AC" w14:paraId="30F97108" w14:textId="77777777">
      <w:pPr>
        <w:spacing w:before="120"/>
        <w:rPr>
          <w:sz w:val="20"/>
        </w:rPr>
      </w:pPr>
      <w:r>
        <w:rPr>
          <w:sz w:val="20"/>
        </w:rPr>
        <w:t xml:space="preserve">(Continued from previous page)  </w:t>
      </w:r>
      <w:r>
        <w:rPr>
          <w:sz w:val="20"/>
        </w:rPr>
        <w:separator/>
      </w:r>
    </w:p>
  </w:footnote>
  <w:footnote w:type="continuationNotice" w:id="2">
    <w:p w:rsidR="00566D06" w:rsidP="00C721AC" w14:paraId="6D95259D" w14:textId="77777777">
      <w:pPr>
        <w:jc w:val="right"/>
        <w:rPr>
          <w:sz w:val="20"/>
        </w:rPr>
      </w:pPr>
      <w:r>
        <w:rPr>
          <w:sz w:val="20"/>
        </w:rPr>
        <w:t>(continued….)</w:t>
      </w:r>
    </w:p>
  </w:footnote>
  <w:footnote w:id="3">
    <w:p w:rsidR="00F4037F" w:rsidRPr="006D02DA" w:rsidP="00F4037F" w14:paraId="6020D235" w14:textId="0DB39234">
      <w:pPr>
        <w:pStyle w:val="FootnoteText"/>
      </w:pPr>
      <w:r>
        <w:rPr>
          <w:rStyle w:val="FootnoteReference"/>
        </w:rPr>
        <w:footnoteRef/>
      </w:r>
      <w:r>
        <w:t xml:space="preserve"> </w:t>
      </w:r>
      <w:r w:rsidRPr="00593B9B" w:rsidR="00100815">
        <w:rPr>
          <w:i/>
          <w:iCs/>
        </w:rPr>
        <w:t>Expanding Flexible Use of the 3.7 to 4.2 GHz Band</w:t>
      </w:r>
      <w:r w:rsidR="00100815">
        <w:t xml:space="preserve">, Report and Order and Proposed Modification, 35 FCC </w:t>
      </w:r>
      <w:r w:rsidR="00100815">
        <w:t>Rcd</w:t>
      </w:r>
      <w:r w:rsidR="00100815">
        <w:t xml:space="preserve"> 2343, 2345, para. 4 (2020) (</w:t>
      </w:r>
      <w:r w:rsidRPr="00593B9B" w:rsidR="00100815">
        <w:rPr>
          <w:i/>
          <w:iCs/>
        </w:rPr>
        <w:t>3.7 GHz Report and Order</w:t>
      </w:r>
      <w:r w:rsidR="00100815">
        <w:t>)</w:t>
      </w:r>
      <w:r w:rsidR="00963EBA">
        <w:t>.</w:t>
      </w:r>
      <w:r>
        <w:t xml:space="preserve"> </w:t>
      </w:r>
    </w:p>
  </w:footnote>
  <w:footnote w:id="4">
    <w:p w:rsidR="00F4037F" w:rsidP="00F4037F" w14:paraId="662D1F0E" w14:textId="7A2C4BC6">
      <w:pPr>
        <w:pStyle w:val="FootnoteText"/>
      </w:pPr>
      <w:r>
        <w:rPr>
          <w:rStyle w:val="FootnoteReference"/>
        </w:rPr>
        <w:footnoteRef/>
      </w:r>
      <w:r>
        <w:t xml:space="preserve"> 47 CFR § 27.1413(b); </w:t>
      </w:r>
      <w:r w:rsidRPr="00593B9B" w:rsidR="00100815">
        <w:rPr>
          <w:i/>
          <w:iCs/>
        </w:rPr>
        <w:t>3.7 GHz Report and Order</w:t>
      </w:r>
      <w:r>
        <w:t xml:space="preserve">, 35 FCC </w:t>
      </w:r>
      <w:r>
        <w:t>Rcd</w:t>
      </w:r>
      <w:r>
        <w:t xml:space="preserve"> </w:t>
      </w:r>
      <w:r w:rsidR="00100815">
        <w:t>at</w:t>
      </w:r>
      <w:r>
        <w:t xml:space="preserve"> 2459, paras. 307-09.</w:t>
      </w:r>
    </w:p>
  </w:footnote>
  <w:footnote w:id="5">
    <w:p w:rsidR="00F4037F" w:rsidRPr="006D02DA" w:rsidP="00F4037F" w14:paraId="6C0D5A30" w14:textId="20E0CBA5">
      <w:pPr>
        <w:pStyle w:val="FootnoteText"/>
      </w:pPr>
      <w:r>
        <w:rPr>
          <w:rStyle w:val="FootnoteReference"/>
        </w:rPr>
        <w:footnoteRef/>
      </w:r>
      <w:r>
        <w:t xml:space="preserve"> </w:t>
      </w:r>
      <w:r>
        <w:rPr>
          <w:i/>
          <w:iCs/>
        </w:rPr>
        <w:t>Id.</w:t>
      </w:r>
      <w:r>
        <w:t xml:space="preserve"> at 2459-61, paras. </w:t>
      </w:r>
      <w:r w:rsidR="00100815">
        <w:t>308-</w:t>
      </w:r>
      <w:r>
        <w:t xml:space="preserve">09, 313-14.  An eligible space station operator is defined as an incumbent FSS space station operator that has demonstrated as of February 1, 2020, that it has an existing relationship to provide service via C-band satellite transmission to one or more incumbent earth stations in the contiguous United States.  </w:t>
      </w:r>
      <w:bookmarkStart w:id="1" w:name="_Hlk51587926"/>
      <w:r>
        <w:t>47 CFR § 27.14</w:t>
      </w:r>
      <w:bookmarkEnd w:id="1"/>
      <w:r>
        <w:t>11(b)(2).</w:t>
      </w:r>
    </w:p>
  </w:footnote>
  <w:footnote w:id="6">
    <w:p w:rsidR="00E215A3" w14:paraId="4F678603" w14:textId="72DA030E">
      <w:pPr>
        <w:pStyle w:val="FootnoteText"/>
      </w:pPr>
      <w:r w:rsidRPr="00926A04">
        <w:rPr>
          <w:rStyle w:val="FootnoteReference"/>
        </w:rPr>
        <w:footnoteRef/>
      </w:r>
      <w:r w:rsidRPr="00926A04">
        <w:t xml:space="preserve"> </w:t>
      </w:r>
      <w:r w:rsidRPr="00926A04" w:rsidR="00EA77AA">
        <w:rPr>
          <w:i/>
          <w:iCs/>
        </w:rPr>
        <w:t>3,7 GHz Report and Order</w:t>
      </w:r>
      <w:r w:rsidRPr="00926A04" w:rsidR="00EA77AA">
        <w:t xml:space="preserve">, 35 FCC </w:t>
      </w:r>
      <w:r w:rsidRPr="00926A04" w:rsidR="00EA77AA">
        <w:t>Rcd</w:t>
      </w:r>
      <w:r w:rsidRPr="00926A04" w:rsidR="00EA77AA">
        <w:t xml:space="preserve"> at </w:t>
      </w:r>
      <w:r w:rsidRPr="00926A04" w:rsidR="00F2116F">
        <w:t>24</w:t>
      </w:r>
      <w:r w:rsidR="00963EBA">
        <w:t>59</w:t>
      </w:r>
      <w:r w:rsidRPr="00926A04" w:rsidR="004B5600">
        <w:t>, para. 309;</w:t>
      </w:r>
      <w:r w:rsidRPr="00926A04" w:rsidR="00EA77AA">
        <w:rPr>
          <w:i/>
          <w:iCs/>
        </w:rPr>
        <w:t xml:space="preserve"> </w:t>
      </w:r>
      <w:r w:rsidRPr="00926A04" w:rsidR="00C65679">
        <w:t>47 CFR § 27.1413(b)</w:t>
      </w:r>
      <w:r w:rsidRPr="00926A04" w:rsidR="004B5600">
        <w:t xml:space="preserve"> </w:t>
      </w:r>
      <w:r w:rsidRPr="00926A04" w:rsidR="00484F5D">
        <w:t>(same language).</w:t>
      </w:r>
    </w:p>
  </w:footnote>
  <w:footnote w:id="7">
    <w:p w:rsidR="00F4037F" w:rsidP="00F4037F" w14:paraId="5749D82D" w14:textId="77777777">
      <w:pPr>
        <w:pStyle w:val="FootnoteText"/>
      </w:pPr>
      <w:r>
        <w:rPr>
          <w:rStyle w:val="FootnoteReference"/>
        </w:rPr>
        <w:footnoteRef/>
      </w:r>
      <w:r>
        <w:t xml:space="preserve">  Letter from Michael DeMarco, et al., Members of Relocation Coordinator Search Committee, to Marlene H. Dortch, Secretary, FCC, GN Docket No. 18-122 (filed July 31, 2020).</w:t>
      </w:r>
    </w:p>
  </w:footnote>
  <w:footnote w:id="8">
    <w:p w:rsidR="00F4037F" w:rsidRPr="005D4F7B" w:rsidP="00F4037F" w14:paraId="46F71030" w14:textId="77777777">
      <w:pPr>
        <w:pStyle w:val="FootnoteText"/>
      </w:pPr>
      <w:r>
        <w:rPr>
          <w:rStyle w:val="FootnoteReference"/>
        </w:rPr>
        <w:footnoteRef/>
      </w:r>
      <w:r>
        <w:t xml:space="preserve"> </w:t>
      </w:r>
      <w:r>
        <w:rPr>
          <w:i/>
          <w:iCs/>
        </w:rPr>
        <w:t>Id.</w:t>
      </w:r>
      <w:r>
        <w:t xml:space="preserve">; </w:t>
      </w:r>
      <w:r w:rsidRPr="005D4F7B">
        <w:t>47 CFR § 27.1413(b)</w:t>
      </w:r>
      <w:r>
        <w:t>.</w:t>
      </w:r>
    </w:p>
  </w:footnote>
  <w:footnote w:id="9">
    <w:p w:rsidR="00F4037F" w:rsidRPr="002B3935" w:rsidP="00F4037F" w14:paraId="0F34D31D" w14:textId="2F6DC27E">
      <w:pPr>
        <w:pStyle w:val="FootnoteText"/>
      </w:pPr>
      <w:r>
        <w:rPr>
          <w:rStyle w:val="FootnoteReference"/>
        </w:rPr>
        <w:footnoteRef/>
      </w:r>
      <w:r>
        <w:t xml:space="preserve"> </w:t>
      </w:r>
      <w:r>
        <w:rPr>
          <w:i/>
          <w:iCs/>
        </w:rPr>
        <w:t>3.7 GHz Report and Order</w:t>
      </w:r>
      <w:r>
        <w:t xml:space="preserve">, 35 FCC </w:t>
      </w:r>
      <w:r>
        <w:t>Rcd</w:t>
      </w:r>
      <w:r>
        <w:t xml:space="preserve"> at 2459-60, paras. 309-10 (establishing selection criteria and directing the Bureau to </w:t>
      </w:r>
      <w:r w:rsidRPr="002A5831" w:rsidR="002016D2">
        <w:t xml:space="preserve">issue a Public Notice </w:t>
      </w:r>
      <w:r w:rsidRPr="002A5831">
        <w:t>seek</w:t>
      </w:r>
      <w:r w:rsidRPr="002A5831" w:rsidR="002016D2">
        <w:t>ing</w:t>
      </w:r>
      <w:r>
        <w:t xml:space="preserve"> comment on whether the selected entity satisfies such criteria); </w:t>
      </w:r>
      <w:r>
        <w:rPr>
          <w:i/>
          <w:iCs/>
        </w:rPr>
        <w:t>Wireless Telecommunications Bureau Seeks Comment on Whether Proposed 3.7-4.2 GHz Relocation Coordination Satisfies Selection Criteria</w:t>
      </w:r>
      <w:r>
        <w:t xml:space="preserve">, GN Docket No. 18-122, Public Notice, 35 FCC </w:t>
      </w:r>
      <w:r>
        <w:t>Rcd</w:t>
      </w:r>
      <w:r>
        <w:t xml:space="preserve"> 8152, 8153 (WTB 2020).</w:t>
      </w:r>
      <w:r w:rsidR="001B3FFE">
        <w:t xml:space="preserve">  </w:t>
      </w:r>
      <w:r w:rsidRPr="002A5831" w:rsidR="001B3FFE">
        <w:t>The Commission further directed the Bureau to issue a final order following the comment period</w:t>
      </w:r>
      <w:r w:rsidRPr="002A5831" w:rsidR="002016D2">
        <w:t xml:space="preserve"> established in such Public Notice</w:t>
      </w:r>
      <w:r w:rsidRPr="002A5831" w:rsidR="001E4CDB">
        <w:t xml:space="preserve">, announcing </w:t>
      </w:r>
      <w:r w:rsidRPr="002A5831" w:rsidR="00142A93">
        <w:t xml:space="preserve">either that </w:t>
      </w:r>
      <w:r w:rsidRPr="002A5831" w:rsidR="001E4CDB">
        <w:t>these criteria have been satisfied</w:t>
      </w:r>
      <w:r w:rsidRPr="002A5831" w:rsidR="00142A93">
        <w:t xml:space="preserve"> or </w:t>
      </w:r>
      <w:r w:rsidRPr="002A5831" w:rsidR="002B3935">
        <w:t xml:space="preserve">that they have not been satisfied.  </w:t>
      </w:r>
      <w:r w:rsidRPr="002A5831" w:rsidR="002B3935">
        <w:rPr>
          <w:i/>
          <w:iCs/>
        </w:rPr>
        <w:t>3.7 GHz Report and Order</w:t>
      </w:r>
      <w:r w:rsidRPr="002A5831" w:rsidR="002B3935">
        <w:t xml:space="preserve"> at 24</w:t>
      </w:r>
      <w:r w:rsidR="00963EBA">
        <w:t>59-60</w:t>
      </w:r>
      <w:r w:rsidRPr="002A5831" w:rsidR="00646239">
        <w:t>, para. 310.</w:t>
      </w:r>
    </w:p>
  </w:footnote>
  <w:footnote w:id="10">
    <w:p w:rsidR="00F4037F" w:rsidRPr="00F4037F" w:rsidP="00F4037F" w14:paraId="7893B28F" w14:textId="77777777">
      <w:pPr>
        <w:pStyle w:val="FootnoteText"/>
      </w:pPr>
      <w:r>
        <w:rPr>
          <w:rStyle w:val="FootnoteReference"/>
        </w:rPr>
        <w:footnoteRef/>
      </w:r>
      <w:r>
        <w:t xml:space="preserve"> Letter from Susan Crandall, Associate General Counsel, Intelsat US LLC, Petra </w:t>
      </w:r>
      <w:r>
        <w:t>Vorwig</w:t>
      </w:r>
      <w:r>
        <w:t xml:space="preserve">, Vice President of Legal and Regulatory Affairs, SES </w:t>
      </w:r>
      <w:r>
        <w:t>Americom</w:t>
      </w:r>
      <w:r>
        <w:t xml:space="preserve">, Inc., Kelly </w:t>
      </w:r>
      <w:r>
        <w:t>Tymburski</w:t>
      </w:r>
      <w:r>
        <w:t xml:space="preserve">, LMI Advisors LLC, Counsel, Eutelsat S.A., Jonathan Wiener, </w:t>
      </w:r>
      <w:r>
        <w:t>Golderg</w:t>
      </w:r>
      <w:r>
        <w:t xml:space="preserve">, </w:t>
      </w:r>
      <w:r>
        <w:t>Godles</w:t>
      </w:r>
      <w:r>
        <w:t xml:space="preserve">, Wiener, &amp; Wright LLP, Counsel, </w:t>
      </w:r>
      <w:r>
        <w:t>Telesat</w:t>
      </w:r>
      <w:r>
        <w:t xml:space="preserve"> Canada, to Marlene H. Dortch, Secretary, FCC, GN Docket No. 18-122, at 14-15 (filed Aug. 21, 2020) (Satellite Operators </w:t>
      </w:r>
      <w:r>
        <w:rPr>
          <w:i/>
          <w:iCs/>
        </w:rPr>
        <w:t xml:space="preserve">Ex </w:t>
      </w:r>
      <w:r>
        <w:rPr>
          <w:i/>
          <w:iCs/>
        </w:rPr>
        <w:t>Parte</w:t>
      </w:r>
      <w:r>
        <w:t>).</w:t>
      </w:r>
    </w:p>
  </w:footnote>
  <w:footnote w:id="11">
    <w:p w:rsidR="00F4037F" w:rsidRPr="007C320B" w:rsidP="007C320B" w14:paraId="55360C89" w14:textId="5C7AA7D7">
      <w:pPr>
        <w:pStyle w:val="FootnoteText"/>
      </w:pPr>
      <w:r w:rsidRPr="002A5831">
        <w:rPr>
          <w:rStyle w:val="FootnoteReference"/>
        </w:rPr>
        <w:footnoteRef/>
      </w:r>
      <w:r w:rsidRPr="002A5831">
        <w:t xml:space="preserve"> </w:t>
      </w:r>
      <w:r w:rsidRPr="002A5831" w:rsidR="00486CDE">
        <w:rPr>
          <w:i/>
          <w:iCs/>
        </w:rPr>
        <w:t xml:space="preserve">See </w:t>
      </w:r>
      <w:r w:rsidR="007C320B">
        <w:t xml:space="preserve">Satellite Operators </w:t>
      </w:r>
      <w:r w:rsidR="007C320B">
        <w:rPr>
          <w:i/>
          <w:iCs/>
        </w:rPr>
        <w:t xml:space="preserve">Ex </w:t>
      </w:r>
      <w:r w:rsidR="007C320B">
        <w:rPr>
          <w:i/>
          <w:iCs/>
        </w:rPr>
        <w:t>Parte</w:t>
      </w:r>
      <w:r w:rsidR="007C320B">
        <w:t xml:space="preserve"> at 14-15</w:t>
      </w:r>
      <w:r w:rsidR="00BE5832">
        <w:t>, 7</w:t>
      </w:r>
      <w:r w:rsidR="007C320B">
        <w:t xml:space="preserve"> (d</w:t>
      </w:r>
      <w:r w:rsidR="00995B11">
        <w:t>escribing</w:t>
      </w:r>
      <w:r w:rsidR="007C320B">
        <w:t xml:space="preserve"> how RSM meets each element of the required criteria and stating “RSM will immediately deploy a focused team that possesses intimate knowledge of the C-Band Clearing initiative in order to synthesize all electing </w:t>
      </w:r>
      <w:r w:rsidR="00C67103">
        <w:t>[</w:t>
      </w:r>
      <w:r w:rsidR="007C320B">
        <w:t>operators</w:t>
      </w:r>
      <w:r w:rsidR="00C67103">
        <w:t>]</w:t>
      </w:r>
      <w:r w:rsidR="007C320B">
        <w:t xml:space="preserve"> transition plans.”).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706C42" w14:textId="15E0844B">
    <w:pPr>
      <w:pStyle w:val="Header"/>
      <w:rPr>
        <w:b w:val="0"/>
      </w:rPr>
    </w:pPr>
    <w:r>
      <w:tab/>
      <w:t>Federal Communications Commission</w:t>
    </w:r>
    <w:r>
      <w:tab/>
    </w:r>
    <w:r w:rsidR="00A24C12">
      <w:t>DA 20-</w:t>
    </w:r>
    <w:r w:rsidR="00EF2C82">
      <w:t>1133</w:t>
    </w:r>
  </w:p>
  <w:p w:rsidR="00D25FB5" w14:paraId="4BF5F4F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C2D8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E110C3" w14:textId="30D6DEA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24C12">
      <w:rPr>
        <w:spacing w:val="-2"/>
      </w:rPr>
      <w:t>DA 20-</w:t>
    </w:r>
    <w:r w:rsidR="00EF2C82">
      <w:rPr>
        <w:spacing w:val="-2"/>
      </w:rPr>
      <w:t>1133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409C"/>
    <w:rsid w:val="00035485"/>
    <w:rsid w:val="00036039"/>
    <w:rsid w:val="00037F90"/>
    <w:rsid w:val="00062FE7"/>
    <w:rsid w:val="00084B27"/>
    <w:rsid w:val="000875BF"/>
    <w:rsid w:val="00096D8C"/>
    <w:rsid w:val="000C0B65"/>
    <w:rsid w:val="000E05FE"/>
    <w:rsid w:val="000E306E"/>
    <w:rsid w:val="000E3D42"/>
    <w:rsid w:val="00100815"/>
    <w:rsid w:val="00122BD5"/>
    <w:rsid w:val="0012644B"/>
    <w:rsid w:val="00133F79"/>
    <w:rsid w:val="00142A93"/>
    <w:rsid w:val="001549E1"/>
    <w:rsid w:val="00187A8F"/>
    <w:rsid w:val="00194A66"/>
    <w:rsid w:val="001B3FFE"/>
    <w:rsid w:val="001D6BCF"/>
    <w:rsid w:val="001E01CA"/>
    <w:rsid w:val="001E4CDB"/>
    <w:rsid w:val="001E58A7"/>
    <w:rsid w:val="001E6D39"/>
    <w:rsid w:val="002016D2"/>
    <w:rsid w:val="00227579"/>
    <w:rsid w:val="002529C6"/>
    <w:rsid w:val="002612C4"/>
    <w:rsid w:val="00275CF5"/>
    <w:rsid w:val="0028301F"/>
    <w:rsid w:val="00285017"/>
    <w:rsid w:val="002853AF"/>
    <w:rsid w:val="002A2D2E"/>
    <w:rsid w:val="002A5831"/>
    <w:rsid w:val="002B3935"/>
    <w:rsid w:val="002C00E8"/>
    <w:rsid w:val="002E63DD"/>
    <w:rsid w:val="00323B30"/>
    <w:rsid w:val="003301A3"/>
    <w:rsid w:val="00343749"/>
    <w:rsid w:val="003660ED"/>
    <w:rsid w:val="00386731"/>
    <w:rsid w:val="003B0550"/>
    <w:rsid w:val="003B694F"/>
    <w:rsid w:val="003F0975"/>
    <w:rsid w:val="003F171C"/>
    <w:rsid w:val="003F2D8A"/>
    <w:rsid w:val="00412FC5"/>
    <w:rsid w:val="00422276"/>
    <w:rsid w:val="004242F1"/>
    <w:rsid w:val="004433C4"/>
    <w:rsid w:val="00445A00"/>
    <w:rsid w:val="00451B0F"/>
    <w:rsid w:val="004755C3"/>
    <w:rsid w:val="00484F5D"/>
    <w:rsid w:val="00486CDE"/>
    <w:rsid w:val="004B5600"/>
    <w:rsid w:val="004C2EE3"/>
    <w:rsid w:val="004E4A22"/>
    <w:rsid w:val="004F33DF"/>
    <w:rsid w:val="004F4D84"/>
    <w:rsid w:val="00506F8D"/>
    <w:rsid w:val="00511968"/>
    <w:rsid w:val="00522164"/>
    <w:rsid w:val="00543D0D"/>
    <w:rsid w:val="005531CD"/>
    <w:rsid w:val="0055445D"/>
    <w:rsid w:val="0055614C"/>
    <w:rsid w:val="00566D06"/>
    <w:rsid w:val="00593B9B"/>
    <w:rsid w:val="005A5EB5"/>
    <w:rsid w:val="005C071C"/>
    <w:rsid w:val="005D4F7B"/>
    <w:rsid w:val="005E14C2"/>
    <w:rsid w:val="005F4507"/>
    <w:rsid w:val="00607BA5"/>
    <w:rsid w:val="0061180A"/>
    <w:rsid w:val="00626EB6"/>
    <w:rsid w:val="00646239"/>
    <w:rsid w:val="00651E12"/>
    <w:rsid w:val="00655D03"/>
    <w:rsid w:val="00655E0F"/>
    <w:rsid w:val="00683388"/>
    <w:rsid w:val="00683F84"/>
    <w:rsid w:val="006A6A81"/>
    <w:rsid w:val="006B4BDA"/>
    <w:rsid w:val="006C12E6"/>
    <w:rsid w:val="006D02DA"/>
    <w:rsid w:val="006E6AA5"/>
    <w:rsid w:val="006F7393"/>
    <w:rsid w:val="00701E98"/>
    <w:rsid w:val="0070224F"/>
    <w:rsid w:val="007115F7"/>
    <w:rsid w:val="00765437"/>
    <w:rsid w:val="007745F3"/>
    <w:rsid w:val="00785689"/>
    <w:rsid w:val="0079093D"/>
    <w:rsid w:val="0079754B"/>
    <w:rsid w:val="007A1E6D"/>
    <w:rsid w:val="007B0EB2"/>
    <w:rsid w:val="007C320B"/>
    <w:rsid w:val="00810B6F"/>
    <w:rsid w:val="00822CE0"/>
    <w:rsid w:val="00830D24"/>
    <w:rsid w:val="00841AB1"/>
    <w:rsid w:val="008C68F1"/>
    <w:rsid w:val="008D0896"/>
    <w:rsid w:val="00904BF6"/>
    <w:rsid w:val="0091797D"/>
    <w:rsid w:val="0092029C"/>
    <w:rsid w:val="00921803"/>
    <w:rsid w:val="00923386"/>
    <w:rsid w:val="00926503"/>
    <w:rsid w:val="00926A04"/>
    <w:rsid w:val="00954BC1"/>
    <w:rsid w:val="00963EBA"/>
    <w:rsid w:val="0096675A"/>
    <w:rsid w:val="009726D8"/>
    <w:rsid w:val="00995B11"/>
    <w:rsid w:val="009B4A89"/>
    <w:rsid w:val="009D4FE5"/>
    <w:rsid w:val="009D7308"/>
    <w:rsid w:val="009E129F"/>
    <w:rsid w:val="009F76DB"/>
    <w:rsid w:val="00A24C12"/>
    <w:rsid w:val="00A32C3B"/>
    <w:rsid w:val="00A45F4F"/>
    <w:rsid w:val="00A534CA"/>
    <w:rsid w:val="00A600A9"/>
    <w:rsid w:val="00A90765"/>
    <w:rsid w:val="00AA55B7"/>
    <w:rsid w:val="00AA5B9E"/>
    <w:rsid w:val="00AB2407"/>
    <w:rsid w:val="00AB53DF"/>
    <w:rsid w:val="00AF060A"/>
    <w:rsid w:val="00B07E5C"/>
    <w:rsid w:val="00B62FF7"/>
    <w:rsid w:val="00B80BEB"/>
    <w:rsid w:val="00B811F7"/>
    <w:rsid w:val="00B97D36"/>
    <w:rsid w:val="00BA5DC6"/>
    <w:rsid w:val="00BA6196"/>
    <w:rsid w:val="00BA677C"/>
    <w:rsid w:val="00BC6D8C"/>
    <w:rsid w:val="00BE5832"/>
    <w:rsid w:val="00BF2F85"/>
    <w:rsid w:val="00C1666C"/>
    <w:rsid w:val="00C34006"/>
    <w:rsid w:val="00C36B4C"/>
    <w:rsid w:val="00C426B1"/>
    <w:rsid w:val="00C65679"/>
    <w:rsid w:val="00C66160"/>
    <w:rsid w:val="00C67103"/>
    <w:rsid w:val="00C721AC"/>
    <w:rsid w:val="00C823A1"/>
    <w:rsid w:val="00C90D6A"/>
    <w:rsid w:val="00CA247E"/>
    <w:rsid w:val="00CA6D21"/>
    <w:rsid w:val="00CB21EB"/>
    <w:rsid w:val="00CC72B6"/>
    <w:rsid w:val="00CD0BB6"/>
    <w:rsid w:val="00D0218D"/>
    <w:rsid w:val="00D25FB5"/>
    <w:rsid w:val="00D30DCD"/>
    <w:rsid w:val="00D44223"/>
    <w:rsid w:val="00D866F4"/>
    <w:rsid w:val="00DA2529"/>
    <w:rsid w:val="00DB130A"/>
    <w:rsid w:val="00DB13AD"/>
    <w:rsid w:val="00DB2EBB"/>
    <w:rsid w:val="00DC10A1"/>
    <w:rsid w:val="00DC655F"/>
    <w:rsid w:val="00DD0B59"/>
    <w:rsid w:val="00DD7EBD"/>
    <w:rsid w:val="00DF5A56"/>
    <w:rsid w:val="00DF62B6"/>
    <w:rsid w:val="00E07225"/>
    <w:rsid w:val="00E215A3"/>
    <w:rsid w:val="00E45B0C"/>
    <w:rsid w:val="00E5409F"/>
    <w:rsid w:val="00E60CFC"/>
    <w:rsid w:val="00EA77AA"/>
    <w:rsid w:val="00EB0BEB"/>
    <w:rsid w:val="00EC5EDB"/>
    <w:rsid w:val="00ED458E"/>
    <w:rsid w:val="00EE6488"/>
    <w:rsid w:val="00EF2C82"/>
    <w:rsid w:val="00F021FA"/>
    <w:rsid w:val="00F20C65"/>
    <w:rsid w:val="00F2116F"/>
    <w:rsid w:val="00F257CC"/>
    <w:rsid w:val="00F4037F"/>
    <w:rsid w:val="00F62E97"/>
    <w:rsid w:val="00F63996"/>
    <w:rsid w:val="00F64209"/>
    <w:rsid w:val="00F93BF5"/>
    <w:rsid w:val="00FF21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F4037F"/>
    <w:rPr>
      <w:rFonts w:ascii="Segoe UI" w:hAnsi="Segoe UI" w:cs="Segoe UI"/>
      <w:sz w:val="18"/>
      <w:szCs w:val="18"/>
    </w:rPr>
  </w:style>
  <w:style w:type="character" w:customStyle="1" w:styleId="BalloonTextChar">
    <w:name w:val="Balloon Text Char"/>
    <w:basedOn w:val="DefaultParagraphFont"/>
    <w:link w:val="BalloonText"/>
    <w:rsid w:val="00F4037F"/>
    <w:rPr>
      <w:rFonts w:ascii="Segoe UI" w:hAnsi="Segoe UI" w:cs="Segoe UI"/>
      <w:snapToGrid w:val="0"/>
      <w:kern w:val="28"/>
      <w:sz w:val="18"/>
      <w:szCs w:val="18"/>
    </w:rPr>
  </w:style>
  <w:style w:type="character" w:styleId="CommentReference">
    <w:name w:val="annotation reference"/>
    <w:basedOn w:val="DefaultParagraphFont"/>
    <w:rsid w:val="00765437"/>
    <w:rPr>
      <w:sz w:val="16"/>
      <w:szCs w:val="16"/>
    </w:rPr>
  </w:style>
  <w:style w:type="paragraph" w:styleId="CommentText">
    <w:name w:val="annotation text"/>
    <w:basedOn w:val="Normal"/>
    <w:link w:val="CommentTextChar"/>
    <w:rsid w:val="00765437"/>
    <w:rPr>
      <w:sz w:val="20"/>
    </w:rPr>
  </w:style>
  <w:style w:type="character" w:customStyle="1" w:styleId="CommentTextChar">
    <w:name w:val="Comment Text Char"/>
    <w:basedOn w:val="DefaultParagraphFont"/>
    <w:link w:val="CommentText"/>
    <w:rsid w:val="00765437"/>
    <w:rPr>
      <w:snapToGrid w:val="0"/>
      <w:kern w:val="28"/>
    </w:rPr>
  </w:style>
  <w:style w:type="paragraph" w:styleId="CommentSubject">
    <w:name w:val="annotation subject"/>
    <w:basedOn w:val="CommentText"/>
    <w:next w:val="CommentText"/>
    <w:link w:val="CommentSubjectChar"/>
    <w:rsid w:val="00765437"/>
    <w:rPr>
      <w:b/>
      <w:bCs/>
    </w:rPr>
  </w:style>
  <w:style w:type="character" w:customStyle="1" w:styleId="CommentSubjectChar">
    <w:name w:val="Comment Subject Char"/>
    <w:basedOn w:val="CommentTextChar"/>
    <w:link w:val="CommentSubject"/>
    <w:rsid w:val="00765437"/>
    <w:rPr>
      <w:b/>
      <w:bCs/>
      <w:snapToGrid w:val="0"/>
      <w:kern w:val="28"/>
    </w:rPr>
  </w:style>
  <w:style w:type="paragraph" w:styleId="Revision">
    <w:name w:val="Revision"/>
    <w:hidden/>
    <w:uiPriority w:val="99"/>
    <w:semiHidden/>
    <w:rsid w:val="002853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