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206E3" w:rsidP="008206E3" w14:paraId="17B2C82C" w14:textId="77777777">
      <w:pPr>
        <w:jc w:val="center"/>
        <w:rPr>
          <w:b/>
        </w:rPr>
      </w:pPr>
      <w:r w:rsidRPr="0070224F">
        <w:rPr>
          <w:rFonts w:ascii="Times New Roman Bold" w:hAnsi="Times New Roman Bold"/>
          <w:b/>
          <w:kern w:val="0"/>
          <w:szCs w:val="22"/>
        </w:rPr>
        <w:t>Before</w:t>
      </w:r>
      <w:r>
        <w:rPr>
          <w:b/>
        </w:rPr>
        <w:t xml:space="preserve"> the</w:t>
      </w:r>
    </w:p>
    <w:p w:rsidR="008206E3" w:rsidP="008206E3" w14:paraId="40B5F63C" w14:textId="77777777">
      <w:pPr>
        <w:pStyle w:val="StyleBoldCentered"/>
      </w:pPr>
      <w:r>
        <w:t>F</w:t>
      </w:r>
      <w:r>
        <w:rPr>
          <w:caps w:val="0"/>
        </w:rPr>
        <w:t>ederal Communications Commission</w:t>
      </w:r>
    </w:p>
    <w:p w:rsidR="008206E3" w:rsidP="008206E3" w14:paraId="1FB422C2" w14:textId="77777777">
      <w:pPr>
        <w:pStyle w:val="StyleBoldCentered"/>
      </w:pPr>
      <w:r>
        <w:rPr>
          <w:caps w:val="0"/>
        </w:rPr>
        <w:t>Washington, D.C. 20554</w:t>
      </w:r>
    </w:p>
    <w:p w:rsidR="008206E3" w:rsidP="008206E3" w14:paraId="5CA6207A" w14:textId="77777777"/>
    <w:p w:rsidR="008206E3" w:rsidP="008206E3" w14:paraId="6C38C468" w14:textId="77777777"/>
    <w:tbl>
      <w:tblPr>
        <w:tblW w:w="0" w:type="auto"/>
        <w:tblLayout w:type="fixed"/>
        <w:tblLook w:val="0000"/>
      </w:tblPr>
      <w:tblGrid>
        <w:gridCol w:w="4698"/>
        <w:gridCol w:w="630"/>
        <w:gridCol w:w="4248"/>
      </w:tblGrid>
      <w:tr w14:paraId="066E65CC" w14:textId="77777777" w:rsidTr="00BB4441">
        <w:tblPrEx>
          <w:tblW w:w="0" w:type="auto"/>
          <w:tblLayout w:type="fixed"/>
          <w:tblLook w:val="0000"/>
        </w:tblPrEx>
        <w:tc>
          <w:tcPr>
            <w:tcW w:w="4698" w:type="dxa"/>
          </w:tcPr>
          <w:p w:rsidR="008206E3" w:rsidP="00BB4441" w14:paraId="58D3ACAF" w14:textId="77777777">
            <w:pPr>
              <w:tabs>
                <w:tab w:val="center" w:pos="4680"/>
              </w:tabs>
              <w:suppressAutoHyphens/>
              <w:rPr>
                <w:spacing w:val="-2"/>
              </w:rPr>
            </w:pPr>
            <w:r>
              <w:rPr>
                <w:spacing w:val="-2"/>
              </w:rPr>
              <w:t>In the Matter of</w:t>
            </w:r>
          </w:p>
          <w:p w:rsidR="008206E3" w:rsidP="00BB4441" w14:paraId="4B94ACC9" w14:textId="77777777">
            <w:pPr>
              <w:tabs>
                <w:tab w:val="center" w:pos="4680"/>
              </w:tabs>
              <w:suppressAutoHyphens/>
              <w:rPr>
                <w:spacing w:val="-2"/>
              </w:rPr>
            </w:pPr>
          </w:p>
          <w:p w:rsidR="008206E3" w:rsidRPr="007115F7" w:rsidP="00BB4441" w14:paraId="21B5747C" w14:textId="77777777">
            <w:pPr>
              <w:tabs>
                <w:tab w:val="center" w:pos="4680"/>
              </w:tabs>
              <w:suppressAutoHyphens/>
              <w:rPr>
                <w:spacing w:val="-2"/>
              </w:rPr>
            </w:pPr>
            <w:r>
              <w:rPr>
                <w:spacing w:val="-2"/>
              </w:rPr>
              <w:t>Termination of Certain Proceedings as Dormant</w:t>
            </w:r>
          </w:p>
        </w:tc>
        <w:tc>
          <w:tcPr>
            <w:tcW w:w="630" w:type="dxa"/>
          </w:tcPr>
          <w:p w:rsidR="008206E3" w:rsidP="00BB4441" w14:paraId="49428E3D" w14:textId="77777777">
            <w:pPr>
              <w:tabs>
                <w:tab w:val="center" w:pos="4680"/>
              </w:tabs>
              <w:suppressAutoHyphens/>
              <w:rPr>
                <w:b/>
                <w:spacing w:val="-2"/>
              </w:rPr>
            </w:pPr>
            <w:r>
              <w:rPr>
                <w:b/>
                <w:spacing w:val="-2"/>
              </w:rPr>
              <w:t>)</w:t>
            </w:r>
          </w:p>
          <w:p w:rsidR="008206E3" w:rsidP="00BB4441" w14:paraId="1957A828" w14:textId="77777777">
            <w:pPr>
              <w:tabs>
                <w:tab w:val="center" w:pos="4680"/>
              </w:tabs>
              <w:suppressAutoHyphens/>
              <w:rPr>
                <w:b/>
                <w:spacing w:val="-2"/>
              </w:rPr>
            </w:pPr>
            <w:r>
              <w:rPr>
                <w:b/>
                <w:spacing w:val="-2"/>
              </w:rPr>
              <w:t>)</w:t>
            </w:r>
          </w:p>
          <w:p w:rsidR="008206E3" w:rsidP="00BB4441" w14:paraId="52DAD2E2" w14:textId="77777777">
            <w:pPr>
              <w:tabs>
                <w:tab w:val="center" w:pos="4680"/>
              </w:tabs>
              <w:suppressAutoHyphens/>
              <w:rPr>
                <w:b/>
                <w:spacing w:val="-2"/>
              </w:rPr>
            </w:pPr>
            <w:r>
              <w:rPr>
                <w:b/>
                <w:spacing w:val="-2"/>
              </w:rPr>
              <w:t>)</w:t>
            </w:r>
          </w:p>
          <w:p w:rsidR="008206E3" w:rsidRPr="00283C54" w:rsidP="00BB4441" w14:paraId="2FD90577" w14:textId="77777777">
            <w:pPr>
              <w:tabs>
                <w:tab w:val="center" w:pos="4680"/>
              </w:tabs>
              <w:suppressAutoHyphens/>
              <w:rPr>
                <w:b/>
                <w:spacing w:val="-2"/>
              </w:rPr>
            </w:pPr>
          </w:p>
        </w:tc>
        <w:tc>
          <w:tcPr>
            <w:tcW w:w="4248" w:type="dxa"/>
          </w:tcPr>
          <w:p w:rsidR="008206E3" w:rsidRPr="00DB2F15" w:rsidP="00BB4441" w14:paraId="33B36625" w14:textId="77777777">
            <w:pPr>
              <w:tabs>
                <w:tab w:val="center" w:pos="4680"/>
              </w:tabs>
              <w:suppressAutoHyphens/>
              <w:rPr>
                <w:spacing w:val="-2"/>
              </w:rPr>
            </w:pPr>
          </w:p>
          <w:p w:rsidR="008206E3" w:rsidRPr="00DB2F15" w:rsidP="00BB4441" w14:paraId="046270F6" w14:textId="77777777">
            <w:pPr>
              <w:pStyle w:val="TOAHeading"/>
              <w:tabs>
                <w:tab w:val="center" w:pos="4680"/>
                <w:tab w:val="clear" w:pos="9360"/>
              </w:tabs>
              <w:rPr>
                <w:spacing w:val="-2"/>
              </w:rPr>
            </w:pPr>
          </w:p>
          <w:p w:rsidR="008206E3" w:rsidRPr="00DB2F15" w:rsidP="00BB4441" w14:paraId="4F9446D6" w14:textId="5271E146">
            <w:pPr>
              <w:tabs>
                <w:tab w:val="center" w:pos="4680"/>
              </w:tabs>
              <w:suppressAutoHyphens/>
              <w:rPr>
                <w:spacing w:val="-2"/>
              </w:rPr>
            </w:pPr>
            <w:r w:rsidRPr="00DB2F15">
              <w:rPr>
                <w:spacing w:val="-2"/>
              </w:rPr>
              <w:t xml:space="preserve">CG Docket No. </w:t>
            </w:r>
            <w:r w:rsidRPr="00DB2F15" w:rsidR="00DB2F15">
              <w:rPr>
                <w:spacing w:val="-2"/>
              </w:rPr>
              <w:t>20</w:t>
            </w:r>
            <w:r w:rsidRPr="00DB2F15">
              <w:rPr>
                <w:spacing w:val="-2"/>
              </w:rPr>
              <w:t>-</w:t>
            </w:r>
            <w:r w:rsidRPr="00DB2F15" w:rsidR="00DB2F15">
              <w:rPr>
                <w:spacing w:val="-2"/>
              </w:rPr>
              <w:t>158</w:t>
            </w:r>
          </w:p>
        </w:tc>
      </w:tr>
    </w:tbl>
    <w:p w:rsidR="008206E3" w:rsidP="008206E3" w14:paraId="544405B8" w14:textId="77777777"/>
    <w:p w:rsidR="008206E3" w:rsidP="008206E3" w14:paraId="509C500A" w14:textId="77777777">
      <w:pPr>
        <w:pStyle w:val="StyleBoldCentered"/>
      </w:pPr>
      <w:r>
        <w:t>ORDER</w:t>
      </w:r>
    </w:p>
    <w:p w:rsidR="008206E3" w:rsidP="008206E3" w14:paraId="17B77490" w14:textId="77777777">
      <w:pPr>
        <w:tabs>
          <w:tab w:val="left" w:pos="-720"/>
        </w:tabs>
        <w:suppressAutoHyphens/>
        <w:spacing w:line="227" w:lineRule="auto"/>
        <w:rPr>
          <w:spacing w:val="-2"/>
        </w:rPr>
      </w:pPr>
    </w:p>
    <w:p w:rsidR="008206E3" w:rsidP="008206E3" w14:paraId="73FF857C" w14:textId="5FC97C3E">
      <w:pPr>
        <w:tabs>
          <w:tab w:val="left" w:pos="720"/>
          <w:tab w:val="right" w:pos="9360"/>
        </w:tabs>
        <w:suppressAutoHyphens/>
        <w:spacing w:line="227" w:lineRule="auto"/>
        <w:rPr>
          <w:spacing w:val="-2"/>
        </w:rPr>
      </w:pPr>
      <w:r>
        <w:rPr>
          <w:b/>
          <w:spacing w:val="-2"/>
        </w:rPr>
        <w:t xml:space="preserve">Adopted:  </w:t>
      </w:r>
      <w:r w:rsidRPr="00B7130F" w:rsidR="00B7130F">
        <w:rPr>
          <w:b/>
          <w:spacing w:val="-2"/>
        </w:rPr>
        <w:t>September 28</w:t>
      </w:r>
      <w:r w:rsidRPr="00B7130F" w:rsidR="00D771D6">
        <w:rPr>
          <w:b/>
          <w:spacing w:val="-2"/>
        </w:rPr>
        <w:t xml:space="preserve">, </w:t>
      </w:r>
      <w:r w:rsidR="00A45DA0">
        <w:rPr>
          <w:b/>
          <w:spacing w:val="-2"/>
        </w:rPr>
        <w:t>2020</w:t>
      </w:r>
      <w:r>
        <w:rPr>
          <w:b/>
          <w:spacing w:val="-2"/>
        </w:rPr>
        <w:tab/>
        <w:t xml:space="preserve">Released:  </w:t>
      </w:r>
      <w:r w:rsidRPr="00B7130F" w:rsidR="00B7130F">
        <w:rPr>
          <w:b/>
          <w:spacing w:val="-2"/>
        </w:rPr>
        <w:t>September 28</w:t>
      </w:r>
      <w:r w:rsidRPr="00B7130F" w:rsidR="00D771D6">
        <w:rPr>
          <w:b/>
          <w:spacing w:val="-2"/>
        </w:rPr>
        <w:t xml:space="preserve">, </w:t>
      </w:r>
      <w:r w:rsidRPr="00B7130F" w:rsidR="00A45DA0">
        <w:rPr>
          <w:b/>
          <w:spacing w:val="-2"/>
        </w:rPr>
        <w:t>2020</w:t>
      </w:r>
    </w:p>
    <w:p w:rsidR="008206E3" w:rsidP="008206E3" w14:paraId="2CB0E9B3" w14:textId="77777777"/>
    <w:p w:rsidR="008206E3" w:rsidP="008206E3" w14:paraId="1A02310D" w14:textId="49920902">
      <w:pPr>
        <w:rPr>
          <w:spacing w:val="-2"/>
        </w:rPr>
      </w:pPr>
      <w:r>
        <w:t xml:space="preserve">By the </w:t>
      </w:r>
      <w:r>
        <w:rPr>
          <w:spacing w:val="-2"/>
        </w:rPr>
        <w:t>Chief, Consumer &amp; Governmental Affairs Bureau:</w:t>
      </w:r>
    </w:p>
    <w:p w:rsidR="008206E3" w:rsidP="008206E3" w14:paraId="61207BF7" w14:textId="77777777">
      <w:pPr>
        <w:rPr>
          <w:spacing w:val="-2"/>
        </w:rPr>
      </w:pPr>
    </w:p>
    <w:p w:rsidR="008206E3" w:rsidP="008206E3" w14:paraId="36408E12" w14:textId="77777777"/>
    <w:p w:rsidR="008206E3" w:rsidP="008206E3" w14:paraId="65970C1F" w14:textId="77777777">
      <w:pPr>
        <w:pStyle w:val="Heading1"/>
      </w:pPr>
      <w:r>
        <w:t>INTRODUCTION</w:t>
      </w:r>
    </w:p>
    <w:p w:rsidR="008206E3" w:rsidRPr="009B59BE" w:rsidP="008206E3" w14:paraId="6EB8FB51" w14:textId="0BCC2606">
      <w:pPr>
        <w:pStyle w:val="ParaNum"/>
      </w:pPr>
      <w:r>
        <w:t>By this Order, the Consumer &amp; Governmental Affairs Bureau (CGB) terminates, as dormant, the proceedings listed on the Attachment hereto.</w:t>
      </w:r>
      <w:r>
        <w:rPr>
          <w:rStyle w:val="FootnoteReference"/>
        </w:rPr>
        <w:footnoteReference w:id="3"/>
      </w:r>
      <w:r>
        <w:t xml:space="preserve">  We believe that termination of these proceedings furthers the Commission’s organizational goals of increasing the efficiency of its decision-making, modernizing the agency’s processes in the digital age, and enhancing the openness and transparency of Commission proceedings for practitioners and the public.  </w:t>
      </w:r>
      <w:r w:rsidRPr="00EA4E63">
        <w:t xml:space="preserve">In addition, </w:t>
      </w:r>
      <w:r w:rsidRPr="00EA4E63" w:rsidR="008A2D67">
        <w:t>based on</w:t>
      </w:r>
      <w:r w:rsidRPr="00EA4E63">
        <w:t xml:space="preserve"> further evaluation, we </w:t>
      </w:r>
      <w:r w:rsidR="00853178">
        <w:t>do not terminate</w:t>
      </w:r>
      <w:r w:rsidRPr="00EA4E63">
        <w:t xml:space="preserve"> </w:t>
      </w:r>
      <w:r w:rsidR="009E47E9">
        <w:t>three</w:t>
      </w:r>
      <w:r w:rsidRPr="00EA4E63" w:rsidR="009E47E9">
        <w:t xml:space="preserve"> </w:t>
      </w:r>
      <w:r w:rsidRPr="00EA4E63">
        <w:t xml:space="preserve">proceedings included in the </w:t>
      </w:r>
      <w:r w:rsidRPr="00EA4E63" w:rsidR="00A45DA0">
        <w:rPr>
          <w:i/>
        </w:rPr>
        <w:t>Eighth</w:t>
      </w:r>
      <w:r w:rsidRPr="00EA4E63">
        <w:rPr>
          <w:i/>
        </w:rPr>
        <w:t xml:space="preserve"> Dormant Proceedings Termination Public Notice</w:t>
      </w:r>
      <w:r w:rsidRPr="00EA4E63">
        <w:t>.</w:t>
      </w:r>
      <w:r>
        <w:rPr>
          <w:rStyle w:val="FootnoteReference"/>
        </w:rPr>
        <w:footnoteReference w:id="4"/>
      </w:r>
    </w:p>
    <w:p w:rsidR="008206E3" w:rsidP="008206E3" w14:paraId="498E4E82" w14:textId="77777777">
      <w:pPr>
        <w:pStyle w:val="Heading1"/>
      </w:pPr>
      <w:r>
        <w:t>Background</w:t>
      </w:r>
    </w:p>
    <w:p w:rsidR="008206E3" w:rsidP="008206E3" w14:paraId="7366A345" w14:textId="77777777">
      <w:pPr>
        <w:pStyle w:val="ParaNum"/>
      </w:pPr>
      <w:r>
        <w:t xml:space="preserve">On </w:t>
      </w:r>
      <w:r w:rsidRPr="00D771D6">
        <w:t>February 4, 2011</w:t>
      </w:r>
      <w:r>
        <w:t xml:space="preserve">, the Commission released a Report and Order that, </w:t>
      </w:r>
      <w:r w:rsidRPr="004B67A0">
        <w:rPr>
          <w:i/>
          <w:iCs/>
        </w:rPr>
        <w:t>inter alia,</w:t>
      </w:r>
      <w:r>
        <w:t xml:space="preserve"> amended Section 0.141 of the Commission’s organizational rules to delegate authority to the Chief of CGB to conduct periodic review of all open dockets with the objective of terminating those that were inactive.</w:t>
      </w:r>
      <w:r>
        <w:rPr>
          <w:rStyle w:val="FootnoteReference"/>
          <w:sz w:val="22"/>
          <w:szCs w:val="22"/>
        </w:rPr>
        <w:footnoteReference w:id="5"/>
      </w:r>
      <w:r>
        <w:t xml:space="preserve">  The Commission stated that termination of such proceedings also would include the dismissal as moot of any pending petition, motion, or other request for relief in the terminated proceeding that was procedural in nature or otherwise did not address the merits of the proceeding.</w:t>
      </w:r>
      <w:r>
        <w:rPr>
          <w:rStyle w:val="FootnoteReference"/>
          <w:sz w:val="22"/>
          <w:szCs w:val="22"/>
        </w:rPr>
        <w:footnoteReference w:id="6"/>
      </w:r>
      <w:r>
        <w:t xml:space="preserve">  </w:t>
      </w:r>
    </w:p>
    <w:p w:rsidR="008206E3" w:rsidP="008206E3" w14:paraId="43928A4C" w14:textId="77777777">
      <w:pPr>
        <w:pStyle w:val="ParaNum"/>
      </w:pPr>
      <w:r>
        <w:t xml:space="preserve">Following the release of the </w:t>
      </w:r>
      <w:r w:rsidRPr="004B67A0">
        <w:rPr>
          <w:i/>
          <w:iCs/>
        </w:rPr>
        <w:t>Procedure Order</w:t>
      </w:r>
      <w:r>
        <w:t xml:space="preserve">, CGB, in consultation with the relevant bureaus and offices, conducted a review of all open dockets and identified those dockets that could potentially be terminated.  As a result of that process, CGB issued the </w:t>
      </w:r>
      <w:r w:rsidRPr="004B67A0">
        <w:rPr>
          <w:i/>
          <w:iCs/>
        </w:rPr>
        <w:t>First Dormant Proceedings Termination Public Notice</w:t>
      </w:r>
      <w:r>
        <w:t>, listing the open dockets under consideration for termination, and providing interested parties the opportunity to file comments on those proposed terminations.</w:t>
      </w:r>
      <w:r>
        <w:rPr>
          <w:rStyle w:val="FootnoteReference"/>
        </w:rPr>
        <w:footnoteReference w:id="7"/>
      </w:r>
      <w:r>
        <w:t xml:space="preserve">  After completion of </w:t>
      </w:r>
      <w:r>
        <w:t xml:space="preserve">the comment cycle, by Order released </w:t>
      </w:r>
      <w:r w:rsidRPr="00D771D6">
        <w:t>November 1, 2011</w:t>
      </w:r>
      <w:r>
        <w:t>, CGB terminated as dormant the docketed proceedings listed in the Attachment thereto.</w:t>
      </w:r>
      <w:r>
        <w:rPr>
          <w:rStyle w:val="FootnoteReference"/>
        </w:rPr>
        <w:footnoteReference w:id="8"/>
      </w:r>
      <w:r>
        <w:t xml:space="preserve">  Further dormant proceeding terminations followed.</w:t>
      </w:r>
      <w:r>
        <w:rPr>
          <w:rStyle w:val="FootnoteReference"/>
        </w:rPr>
        <w:footnoteReference w:id="9"/>
      </w:r>
    </w:p>
    <w:p w:rsidR="008206E3" w:rsidP="008206E3" w14:paraId="67D065BE" w14:textId="7E706525">
      <w:pPr>
        <w:pStyle w:val="ParaNum"/>
        <w:tabs>
          <w:tab w:val="left" w:pos="1530"/>
        </w:tabs>
      </w:pPr>
      <w:r w:rsidRPr="00807C36">
        <w:t xml:space="preserve">On </w:t>
      </w:r>
      <w:r w:rsidRPr="00807C36" w:rsidR="00807C36">
        <w:t>June</w:t>
      </w:r>
      <w:r w:rsidRPr="00807C36">
        <w:t xml:space="preserve"> </w:t>
      </w:r>
      <w:r w:rsidRPr="00807C36" w:rsidR="00807C36">
        <w:t>2</w:t>
      </w:r>
      <w:r w:rsidRPr="00807C36">
        <w:t>, 20</w:t>
      </w:r>
      <w:r w:rsidRPr="00807C36" w:rsidR="00807C36">
        <w:t>20</w:t>
      </w:r>
      <w:r>
        <w:t xml:space="preserve">, CGB released the </w:t>
      </w:r>
      <w:r w:rsidRPr="00D771D6" w:rsidR="00D771D6">
        <w:rPr>
          <w:i/>
          <w:iCs/>
        </w:rPr>
        <w:t>Eigh</w:t>
      </w:r>
      <w:r w:rsidRPr="00D771D6">
        <w:rPr>
          <w:i/>
          <w:iCs/>
        </w:rPr>
        <w:t>th</w:t>
      </w:r>
      <w:r w:rsidRPr="004B67A0">
        <w:rPr>
          <w:i/>
          <w:iCs/>
        </w:rPr>
        <w:t xml:space="preserve"> Dormant Proceedings Termination Public Notice </w:t>
      </w:r>
      <w:r>
        <w:t>with comments and reply comments due 30 and 45 days after date of publication in the Federal Register.</w:t>
      </w:r>
      <w:r>
        <w:rPr>
          <w:rStyle w:val="FootnoteReference"/>
        </w:rPr>
        <w:footnoteReference w:id="10"/>
      </w:r>
      <w:r>
        <w:t xml:space="preserve">  </w:t>
      </w:r>
      <w:r w:rsidR="00846927">
        <w:t xml:space="preserve">On July 6, 2020, the Federal Register published </w:t>
      </w:r>
      <w:r w:rsidR="002C4743">
        <w:t xml:space="preserve">the </w:t>
      </w:r>
      <w:r w:rsidRPr="002C4743" w:rsidR="002C4743">
        <w:rPr>
          <w:i/>
          <w:iCs/>
        </w:rPr>
        <w:t xml:space="preserve">Eight Dormant </w:t>
      </w:r>
      <w:r w:rsidRPr="00EA4E63" w:rsidR="002C4743">
        <w:rPr>
          <w:i/>
          <w:iCs/>
        </w:rPr>
        <w:t>Proceedings Termination Public Notice</w:t>
      </w:r>
      <w:r w:rsidRPr="00EA4E63" w:rsidR="002C4743">
        <w:t>.</w:t>
      </w:r>
      <w:r>
        <w:rPr>
          <w:rStyle w:val="FootnoteReference"/>
        </w:rPr>
        <w:footnoteReference w:id="11"/>
      </w:r>
      <w:r w:rsidRPr="00EA4E63" w:rsidR="002C4743">
        <w:t xml:space="preserve">  As a result, comments were due </w:t>
      </w:r>
      <w:r w:rsidRPr="00EA4E63" w:rsidR="00CC4541">
        <w:t>on August 5</w:t>
      </w:r>
      <w:r w:rsidRPr="00EA4E63">
        <w:t xml:space="preserve">, </w:t>
      </w:r>
      <w:r w:rsidRPr="00EA4E63" w:rsidR="00A45DA0">
        <w:t>2020</w:t>
      </w:r>
      <w:r w:rsidRPr="00EA4E63">
        <w:t xml:space="preserve"> and </w:t>
      </w:r>
      <w:r w:rsidRPr="00EA4E63" w:rsidR="002C4743">
        <w:t xml:space="preserve">reply commenters were due on </w:t>
      </w:r>
      <w:r w:rsidRPr="00EA4E63" w:rsidR="00CC4541">
        <w:t>August 20, 2020</w:t>
      </w:r>
      <w:r w:rsidRPr="00EA4E63" w:rsidR="002C4743">
        <w:t>.</w:t>
      </w:r>
      <w:r>
        <w:rPr>
          <w:rStyle w:val="FootnoteReference"/>
        </w:rPr>
        <w:footnoteReference w:id="12"/>
      </w:r>
      <w:r w:rsidRPr="00EA4E63">
        <w:t xml:space="preserve">  In response to the </w:t>
      </w:r>
      <w:r w:rsidRPr="00EA4E63" w:rsidR="00807C36">
        <w:rPr>
          <w:i/>
          <w:iCs/>
        </w:rPr>
        <w:t>Eighth</w:t>
      </w:r>
      <w:r w:rsidRPr="00EA4E63">
        <w:rPr>
          <w:i/>
          <w:iCs/>
        </w:rPr>
        <w:t xml:space="preserve"> Dormant Proceedings Termination Pu</w:t>
      </w:r>
      <w:bookmarkStart w:id="0" w:name="_GoBack"/>
      <w:bookmarkEnd w:id="0"/>
      <w:r w:rsidRPr="00EA4E63">
        <w:rPr>
          <w:i/>
          <w:iCs/>
        </w:rPr>
        <w:t>blic Notice</w:t>
      </w:r>
      <w:r w:rsidRPr="00EA4E63">
        <w:t xml:space="preserve">, we received </w:t>
      </w:r>
      <w:r w:rsidRPr="00EA4E63" w:rsidR="005A213D">
        <w:t>six</w:t>
      </w:r>
      <w:r w:rsidRPr="00EA4E63">
        <w:t xml:space="preserve"> Opposition</w:t>
      </w:r>
      <w:r w:rsidRPr="00EA4E63" w:rsidR="005A213D">
        <w:t>s</w:t>
      </w:r>
      <w:r w:rsidRPr="00EA4E63">
        <w:t xml:space="preserve"> and </w:t>
      </w:r>
      <w:r w:rsidRPr="00EA4E63" w:rsidR="005918E3">
        <w:t>one</w:t>
      </w:r>
      <w:r w:rsidRPr="00EA4E63">
        <w:t xml:space="preserve"> comment.</w:t>
      </w:r>
    </w:p>
    <w:p w:rsidR="008206E3" w:rsidP="008206E3" w14:paraId="40DC0596" w14:textId="77777777">
      <w:pPr>
        <w:pStyle w:val="Heading1"/>
      </w:pPr>
      <w:r>
        <w:t>discussion</w:t>
      </w:r>
    </w:p>
    <w:p w:rsidR="00F25F94" w:rsidP="00C3747E" w14:paraId="246F68AE" w14:textId="42B8B3ED">
      <w:pPr>
        <w:pStyle w:val="ParaNum"/>
      </w:pPr>
      <w:r>
        <w:t xml:space="preserve">Based on our review of the record received in response to the </w:t>
      </w:r>
      <w:r w:rsidRPr="004E6863">
        <w:rPr>
          <w:i/>
        </w:rPr>
        <w:t>Eighth Dormant Proceedings Termination Public Notice</w:t>
      </w:r>
      <w:r>
        <w:t>, we terminate the proceedings listed in the attachment to this Order</w:t>
      </w:r>
      <w:r>
        <w:rPr>
          <w:vertAlign w:val="superscript"/>
        </w:rPr>
        <w:footnoteReference w:id="13"/>
      </w:r>
      <w:r>
        <w:t xml:space="preserve"> and leave open </w:t>
      </w:r>
      <w:r w:rsidRPr="00EA4E63" w:rsidR="00EA4E63">
        <w:t>three</w:t>
      </w:r>
      <w:r w:rsidR="00E01F57">
        <w:t xml:space="preserve"> </w:t>
      </w:r>
      <w:r>
        <w:t xml:space="preserve">proceedings that had been listed in Attachment A to the </w:t>
      </w:r>
      <w:r w:rsidRPr="004E6863">
        <w:rPr>
          <w:i/>
        </w:rPr>
        <w:t>Eighth Dormant Proceedings Termination Public Notice</w:t>
      </w:r>
      <w:r>
        <w:t>.</w:t>
      </w:r>
      <w:r>
        <w:rPr>
          <w:rStyle w:val="FootnoteReference"/>
        </w:rPr>
        <w:footnoteReference w:id="14"/>
      </w:r>
      <w:r>
        <w:t xml:space="preserve"> </w:t>
      </w:r>
      <w:r w:rsidR="00445347">
        <w:t xml:space="preserve"> </w:t>
      </w:r>
    </w:p>
    <w:p w:rsidR="004E6863" w:rsidP="00C3747E" w14:paraId="04117203" w14:textId="487C9646">
      <w:pPr>
        <w:pStyle w:val="ParaNum"/>
      </w:pPr>
      <w:r>
        <w:t>After review of the comments and replies received and our further evaluation, we determined that MB Docket No. 14-261, MB Docket No, 15-146</w:t>
      </w:r>
      <w:r w:rsidR="00353586">
        <w:t xml:space="preserve">, </w:t>
      </w:r>
      <w:r>
        <w:t xml:space="preserve">and </w:t>
      </w:r>
      <w:r w:rsidRPr="00EA4E63">
        <w:rPr>
          <w:bCs/>
        </w:rPr>
        <w:t>ET Docket 15-99</w:t>
      </w:r>
      <w:r>
        <w:t xml:space="preserve"> will remain open.</w:t>
      </w:r>
      <w:r>
        <w:rPr>
          <w:rStyle w:val="FootnoteReference"/>
        </w:rPr>
        <w:footnoteReference w:id="15"/>
      </w:r>
    </w:p>
    <w:p w:rsidR="004E6863" w:rsidRPr="00AC541A" w:rsidP="00853178" w14:paraId="2C4F7CB6" w14:textId="473BFC68">
      <w:pPr>
        <w:pStyle w:val="ParaNum"/>
        <w:tabs>
          <w:tab w:val="clear" w:pos="1440"/>
        </w:tabs>
        <w:rPr>
          <w:bCs/>
        </w:rPr>
      </w:pPr>
      <w:r w:rsidRPr="00E34847">
        <w:rPr>
          <w:b/>
          <w:i/>
          <w:iCs/>
        </w:rPr>
        <w:t>Amendment of Parts 15, 73 and 74 of the Commission</w:t>
      </w:r>
      <w:r w:rsidR="00853178">
        <w:rPr>
          <w:b/>
          <w:i/>
          <w:iCs/>
        </w:rPr>
        <w:t>’</w:t>
      </w:r>
      <w:r w:rsidRPr="00E34847">
        <w:rPr>
          <w:b/>
          <w:i/>
          <w:iCs/>
        </w:rPr>
        <w:t xml:space="preserve">s Rules to Provide for the Preservation of One Vacant Channel in the UHF Television Band For Use By White Space Devices and Wireless </w:t>
      </w:r>
      <w:r w:rsidRPr="00B34BA1">
        <w:rPr>
          <w:b/>
          <w:i/>
          <w:iCs/>
        </w:rPr>
        <w:t>Microphones (MB Docket No</w:t>
      </w:r>
      <w:r>
        <w:rPr>
          <w:b/>
          <w:i/>
          <w:iCs/>
        </w:rPr>
        <w:t>.</w:t>
      </w:r>
      <w:r w:rsidRPr="00B34BA1">
        <w:rPr>
          <w:b/>
          <w:i/>
          <w:iCs/>
        </w:rPr>
        <w:t xml:space="preserve"> 15-146)</w:t>
      </w:r>
      <w:r>
        <w:rPr>
          <w:b/>
          <w:i/>
          <w:iCs/>
        </w:rPr>
        <w:t xml:space="preserve">.  </w:t>
      </w:r>
      <w:r w:rsidRPr="00545C13">
        <w:rPr>
          <w:bCs/>
        </w:rPr>
        <w:t xml:space="preserve">Several commenters suggest that issues implicated </w:t>
      </w:r>
      <w:r w:rsidRPr="00545C13">
        <w:rPr>
          <w:bCs/>
        </w:rPr>
        <w:t>in th</w:t>
      </w:r>
      <w:r>
        <w:rPr>
          <w:bCs/>
        </w:rPr>
        <w:t>is</w:t>
      </w:r>
      <w:r w:rsidRPr="00545C13">
        <w:rPr>
          <w:bCs/>
        </w:rPr>
        <w:t xml:space="preserve"> proceeding remain active and unresolved</w:t>
      </w:r>
      <w:r w:rsidRPr="00AC541A">
        <w:rPr>
          <w:bCs/>
        </w:rPr>
        <w:t>.</w:t>
      </w:r>
      <w:r>
        <w:rPr>
          <w:rStyle w:val="FootnoteReference"/>
          <w:bCs/>
        </w:rPr>
        <w:footnoteReference w:id="16"/>
      </w:r>
      <w:r w:rsidRPr="00AC541A">
        <w:rPr>
          <w:bCs/>
        </w:rPr>
        <w:t xml:space="preserve"> </w:t>
      </w:r>
      <w:r w:rsidR="0017759B">
        <w:rPr>
          <w:bCs/>
        </w:rPr>
        <w:t xml:space="preserve"> </w:t>
      </w:r>
      <w:r w:rsidRPr="00AC541A">
        <w:rPr>
          <w:bCs/>
        </w:rPr>
        <w:t xml:space="preserve">In their reply comments, </w:t>
      </w:r>
      <w:r>
        <w:rPr>
          <w:bCs/>
        </w:rPr>
        <w:t>t</w:t>
      </w:r>
      <w:r w:rsidRPr="00AC541A">
        <w:rPr>
          <w:bCs/>
        </w:rPr>
        <w:t xml:space="preserve">he National Association of Broadcasters </w:t>
      </w:r>
      <w:r>
        <w:rPr>
          <w:bCs/>
        </w:rPr>
        <w:t xml:space="preserve">(NAB) </w:t>
      </w:r>
      <w:r w:rsidRPr="00AC541A">
        <w:rPr>
          <w:bCs/>
        </w:rPr>
        <w:t>disagrees</w:t>
      </w:r>
      <w:r>
        <w:rPr>
          <w:bCs/>
        </w:rPr>
        <w:t>, and notes the absence of recent filings in the docket.</w:t>
      </w:r>
      <w:r>
        <w:rPr>
          <w:rStyle w:val="FootnoteReference"/>
          <w:bCs/>
        </w:rPr>
        <w:footnoteReference w:id="17"/>
      </w:r>
      <w:r>
        <w:rPr>
          <w:bCs/>
        </w:rPr>
        <w:t xml:space="preserve">  We find that based upon the debate that the </w:t>
      </w:r>
      <w:r w:rsidRPr="001857F7">
        <w:rPr>
          <w:bCs/>
          <w:i/>
          <w:iCs/>
        </w:rPr>
        <w:t>Termination Notice</w:t>
      </w:r>
      <w:r>
        <w:rPr>
          <w:bCs/>
        </w:rPr>
        <w:t xml:space="preserve"> brought forward, </w:t>
      </w:r>
      <w:r w:rsidR="00853178">
        <w:rPr>
          <w:bCs/>
        </w:rPr>
        <w:t xml:space="preserve">this proceeding </w:t>
      </w:r>
      <w:r>
        <w:rPr>
          <w:bCs/>
        </w:rPr>
        <w:t xml:space="preserve">does not appear </w:t>
      </w:r>
      <w:r w:rsidR="00853178">
        <w:rPr>
          <w:bCs/>
        </w:rPr>
        <w:t>to be</w:t>
      </w:r>
      <w:r>
        <w:rPr>
          <w:bCs/>
        </w:rPr>
        <w:t xml:space="preserve"> a good candidate for termination under delegated authority at this time. </w:t>
      </w:r>
    </w:p>
    <w:p w:rsidR="004E6863" w:rsidP="00C3747E" w14:paraId="00701EA0" w14:textId="6FCF1ABC">
      <w:pPr>
        <w:pStyle w:val="ParaNum"/>
        <w:tabs>
          <w:tab w:val="clear" w:pos="1440"/>
        </w:tabs>
      </w:pPr>
      <w:r w:rsidRPr="00D2047D">
        <w:rPr>
          <w:b/>
          <w:bCs/>
          <w:i/>
          <w:iCs/>
        </w:rPr>
        <w:t>Multichannel Video Programming Distribution Services (MB Docket No. 14-261)</w:t>
      </w:r>
      <w:r>
        <w:t xml:space="preserve">. The </w:t>
      </w:r>
      <w:r w:rsidR="00916734">
        <w:t>Affiliates</w:t>
      </w:r>
      <w:r>
        <w:t xml:space="preserve"> Associations objects to the proposed termination of this proceeding, contending that recent </w:t>
      </w:r>
      <w:r w:rsidRPr="002A3656">
        <w:rPr>
          <w:i/>
          <w:iCs/>
        </w:rPr>
        <w:t xml:space="preserve">ex </w:t>
      </w:r>
      <w:r w:rsidRPr="002A3656">
        <w:rPr>
          <w:i/>
          <w:iCs/>
        </w:rPr>
        <w:t>parte</w:t>
      </w:r>
      <w:r>
        <w:t xml:space="preserve"> filings in the docket indicate ongoing communications with the Commission on the issues raised in the proceeding.</w:t>
      </w:r>
      <w:r>
        <w:rPr>
          <w:rStyle w:val="FootnoteReference"/>
        </w:rPr>
        <w:footnoteReference w:id="18"/>
      </w:r>
      <w:r>
        <w:t xml:space="preserve">  Upon further evaluation, we find that </w:t>
      </w:r>
      <w:r w:rsidR="00853178">
        <w:t>this proceeding does not appear to be a good candidate for termination under delegated authority</w:t>
      </w:r>
      <w:r w:rsidR="00853178">
        <w:t xml:space="preserve"> </w:t>
      </w:r>
      <w:r>
        <w:t xml:space="preserve">at this time. </w:t>
      </w:r>
    </w:p>
    <w:p w:rsidR="004E6863" w:rsidRPr="00F07173" w:rsidP="00C3747E" w14:paraId="68537EB2" w14:textId="6F80DBAC">
      <w:pPr>
        <w:pStyle w:val="ParaNum"/>
        <w:tabs>
          <w:tab w:val="clear" w:pos="1440"/>
        </w:tabs>
        <w:rPr>
          <w:b/>
          <w:i/>
          <w:szCs w:val="22"/>
        </w:rPr>
      </w:pPr>
      <w:r w:rsidRPr="00F07173">
        <w:rPr>
          <w:b/>
          <w:bCs/>
          <w:i/>
          <w:iCs/>
        </w:rPr>
        <w:t xml:space="preserve">Amendment of Parts 2, 15, 80, 90, 97, and 101 of the Commission’s Rules Regarding Implementation of the Final Acts of the World Radiocommunication Conference (Geneva, 2012)(WRC-12), Other Allocation Issues, and Related Rule Updates (ET Docket No. </w:t>
      </w:r>
      <w:r w:rsidRPr="543342E0">
        <w:rPr>
          <w:b/>
          <w:bCs/>
          <w:i/>
          <w:iCs/>
        </w:rPr>
        <w:t>15-99 ).</w:t>
      </w:r>
      <w:r w:rsidRPr="543342E0" w:rsidR="3F895EB6">
        <w:rPr>
          <w:b/>
          <w:bCs/>
          <w:i/>
          <w:iCs/>
        </w:rPr>
        <w:t xml:space="preserve">  </w:t>
      </w:r>
      <w:r w:rsidRPr="543342E0" w:rsidR="63D91597">
        <w:t xml:space="preserve">Aerospace </w:t>
      </w:r>
      <w:r w:rsidRPr="543342E0" w:rsidR="6495BC45">
        <w:t>and</w:t>
      </w:r>
      <w:r w:rsidRPr="543342E0" w:rsidR="63D91597">
        <w:t xml:space="preserve"> Flight Test Radio Coord</w:t>
      </w:r>
      <w:r w:rsidRPr="543342E0" w:rsidR="32706025">
        <w:t>ination</w:t>
      </w:r>
      <w:r w:rsidRPr="543342E0" w:rsidR="63D91597">
        <w:t xml:space="preserve"> Council, Inc. </w:t>
      </w:r>
      <w:r w:rsidR="3F895EB6">
        <w:t>objects to the proposed termination of this proceeding, contending that</w:t>
      </w:r>
      <w:r w:rsidR="39FBF6A9">
        <w:t xml:space="preserve"> </w:t>
      </w:r>
      <w:r w:rsidR="46E2CD52">
        <w:t xml:space="preserve">the proceeding </w:t>
      </w:r>
      <w:r w:rsidR="39FBF6A9">
        <w:t>“includes an unresolved spectrum allocation issue</w:t>
      </w:r>
      <w:r w:rsidR="3F895EB6">
        <w:t>.</w:t>
      </w:r>
      <w:r w:rsidR="056624DC">
        <w:t>”</w:t>
      </w:r>
      <w:r>
        <w:rPr>
          <w:rStyle w:val="FootnoteReference"/>
        </w:rPr>
        <w:footnoteReference w:id="19"/>
      </w:r>
      <w:r w:rsidR="3F895EB6">
        <w:t xml:space="preserve">  </w:t>
      </w:r>
      <w:r w:rsidR="08C99A46">
        <w:t xml:space="preserve">We find that this </w:t>
      </w:r>
      <w:r w:rsidR="41B143C9">
        <w:t xml:space="preserve">proceeding </w:t>
      </w:r>
      <w:r w:rsidR="08C99A46">
        <w:t>does not appear to be a good candidate for termination under delegated authority at this time.</w:t>
      </w:r>
    </w:p>
    <w:p w:rsidR="008206E3" w:rsidP="008206E3" w14:paraId="26D94FD7" w14:textId="77777777">
      <w:pPr>
        <w:pStyle w:val="Heading1"/>
      </w:pPr>
      <w:r>
        <w:t>procedural matters</w:t>
      </w:r>
    </w:p>
    <w:p w:rsidR="008206E3" w:rsidP="008206E3" w14:paraId="79D8AE63" w14:textId="77777777">
      <w:pPr>
        <w:pStyle w:val="ParaNum"/>
      </w:pPr>
      <w:r>
        <w:t>Upon publication of this Order in the Federal Register, the proceedings listed in the Attachment hereto will be terminated in the Electronic Comment Filing System (ECFS).  The record in the terminated proceedings will remain part of the Commission’s official records, and the various pleadings, orders, and other documents in these proceedings will continue to be accessible to the public, post-termination.</w:t>
      </w:r>
      <w:r w:rsidRPr="363F9BAD">
        <w:t xml:space="preserve">  </w:t>
      </w:r>
      <w:r>
        <w:t>Furthermore, s</w:t>
      </w:r>
      <w:r w:rsidRPr="00115822">
        <w:t xml:space="preserve">hould no petitions for reconsideration, applications for review, or petitions for judicial review </w:t>
      </w:r>
      <w:r>
        <w:t xml:space="preserve">of this Order </w:t>
      </w:r>
      <w:r w:rsidRPr="00115822">
        <w:t xml:space="preserve">be timely filed, the </w:t>
      </w:r>
      <w:r>
        <w:t>above-captioned proceeding</w:t>
      </w:r>
      <w:r w:rsidRPr="00115822">
        <w:t xml:space="preserve"> shall be terminated, and the docket will be closed</w:t>
      </w:r>
      <w:r w:rsidRPr="363F9BAD">
        <w:t>.</w:t>
      </w:r>
    </w:p>
    <w:p w:rsidR="008206E3" w:rsidP="008206E3" w14:paraId="08A71084" w14:textId="23287ECD">
      <w:pPr>
        <w:pStyle w:val="ParaNum"/>
      </w:pPr>
      <w:r>
        <w:t xml:space="preserve">For additional information concerning this Order, please contact </w:t>
      </w:r>
      <w:r w:rsidR="00793816">
        <w:t>Zac Champ</w:t>
      </w:r>
      <w:r>
        <w:t xml:space="preserve"> at (202) 418-</w:t>
      </w:r>
      <w:r w:rsidR="002642F4">
        <w:t>1495</w:t>
      </w:r>
      <w:r>
        <w:t xml:space="preserve">, or via e-mail at </w:t>
      </w:r>
      <w:hyperlink r:id="rId5" w:history="1">
        <w:r w:rsidRPr="543342E0" w:rsidR="003F06AE">
          <w:rPr>
            <w:rStyle w:val="Hyperlink"/>
          </w:rPr>
          <w:t>Zac.Champ@fcc.gov</w:t>
        </w:r>
      </w:hyperlink>
      <w:r w:rsidRPr="363F9BAD">
        <w:t xml:space="preserve">. </w:t>
      </w:r>
    </w:p>
    <w:p w:rsidR="008206E3" w:rsidP="008206E3" w14:paraId="0C3157DF" w14:textId="77777777">
      <w:pPr>
        <w:pStyle w:val="Heading1"/>
      </w:pPr>
      <w:r>
        <w:t>ordering clauses</w:t>
      </w:r>
    </w:p>
    <w:p w:rsidR="008206E3" w:rsidP="008206E3" w14:paraId="5C04B72A" w14:textId="77777777">
      <w:pPr>
        <w:pStyle w:val="ParaNum"/>
      </w:pPr>
      <w:r>
        <w:t xml:space="preserve">Accordingly, </w:t>
      </w:r>
      <w:r w:rsidRPr="004B67A0">
        <w:rPr>
          <w:b/>
          <w:bCs/>
        </w:rPr>
        <w:t>IT IS ORDERED</w:t>
      </w:r>
      <w:r>
        <w:t>, pursuant to the authority contained in Sections 4(</w:t>
      </w:r>
      <w:r>
        <w:t>i</w:t>
      </w:r>
      <w:r>
        <w:t>) and 4(j) of the Communications Act, 47 U</w:t>
      </w:r>
      <w:r w:rsidRPr="363F9BAD">
        <w:t>.</w:t>
      </w:r>
      <w:r>
        <w:t>S</w:t>
      </w:r>
      <w:r w:rsidRPr="363F9BAD">
        <w:t>.</w:t>
      </w:r>
      <w:r>
        <w:t>C</w:t>
      </w:r>
      <w:r w:rsidRPr="363F9BAD">
        <w:t xml:space="preserve">. </w:t>
      </w:r>
      <w:r>
        <w:t>Sections 154(</w:t>
      </w:r>
      <w:r>
        <w:t>i</w:t>
      </w:r>
      <w:r>
        <w:t>) and (j), and Section 0.141 of the Commission’s rules, 47 CFR Section 0.141, that the proceedings set forth in the Attachment hereto are TERMINATED.</w:t>
      </w:r>
    </w:p>
    <w:p w:rsidR="008206E3" w:rsidP="008206E3" w14:paraId="3BF3A617" w14:textId="77777777">
      <w:pPr>
        <w:pStyle w:val="ParaNum"/>
        <w:widowControl/>
      </w:pPr>
      <w:r>
        <w:t xml:space="preserve"> </w:t>
      </w:r>
      <w:r w:rsidRPr="008206E3">
        <w:rPr>
          <w:b/>
        </w:rPr>
        <w:t>IT IS FURTHER ORDERED</w:t>
      </w:r>
      <w:r w:rsidRPr="00E00A69">
        <w:t xml:space="preserve"> that should no petitions for reconsideration, applications for review, or petitions for judicial review of this Order be timely filed, the above-captioned proceeding shall be </w:t>
      </w:r>
      <w:r>
        <w:t>TERMINATED</w:t>
      </w:r>
      <w:r w:rsidRPr="00E00A69">
        <w:t>, and the docket will be closed</w:t>
      </w:r>
      <w:r>
        <w:t>.</w:t>
      </w:r>
    </w:p>
    <w:p w:rsidR="008206E3" w:rsidP="008206E3" w14:paraId="0D37A669" w14:textId="77777777">
      <w:pPr>
        <w:pStyle w:val="ParaNum"/>
        <w:numPr>
          <w:ilvl w:val="0"/>
          <w:numId w:val="0"/>
        </w:numPr>
        <w:ind w:firstLine="720"/>
      </w:pPr>
    </w:p>
    <w:p w:rsidR="008206E3" w:rsidP="008206E3" w14:paraId="2AF7CCC2" w14:textId="13296ED4">
      <w:pPr>
        <w:pStyle w:val="ParaNum"/>
        <w:numPr>
          <w:ilvl w:val="0"/>
          <w:numId w:val="0"/>
        </w:numPr>
        <w:ind w:left="3600" w:firstLine="720"/>
      </w:pPr>
      <w:r>
        <w:br w:type="column"/>
      </w:r>
      <w:r w:rsidR="00F11AEE">
        <w:t>FEDERAL COMMUNICATIONS COMMISSION</w:t>
      </w:r>
    </w:p>
    <w:p w:rsidR="008206E3" w:rsidP="008206E3" w14:paraId="7F76F44E" w14:textId="77777777">
      <w:pPr>
        <w:pStyle w:val="ParaNum"/>
        <w:numPr>
          <w:ilvl w:val="0"/>
          <w:numId w:val="0"/>
        </w:numPr>
        <w:ind w:left="3600" w:firstLine="720"/>
      </w:pPr>
    </w:p>
    <w:p w:rsidR="008206E3" w:rsidP="008206E3" w14:paraId="11875FA1" w14:textId="77777777">
      <w:pPr>
        <w:pStyle w:val="ParaNum"/>
        <w:numPr>
          <w:ilvl w:val="0"/>
          <w:numId w:val="0"/>
        </w:numPr>
        <w:ind w:left="3600" w:firstLine="720"/>
      </w:pPr>
    </w:p>
    <w:p w:rsidR="008206E3" w:rsidP="008206E3" w14:paraId="116C70BE" w14:textId="4C40BA71">
      <w:pPr>
        <w:pStyle w:val="ParaNum"/>
        <w:numPr>
          <w:ilvl w:val="0"/>
          <w:numId w:val="0"/>
        </w:numPr>
        <w:spacing w:after="0"/>
        <w:ind w:left="3600" w:firstLine="720"/>
      </w:pPr>
      <w:r>
        <w:t xml:space="preserve">G. Patrick Webre, Chief </w:t>
      </w:r>
    </w:p>
    <w:p w:rsidR="008206E3" w:rsidRPr="004C5F2E" w:rsidP="008206E3" w14:paraId="082DE6EB" w14:textId="77777777">
      <w:pPr>
        <w:pStyle w:val="ParaNum"/>
        <w:numPr>
          <w:ilvl w:val="0"/>
          <w:numId w:val="0"/>
        </w:numPr>
        <w:spacing w:after="0"/>
        <w:ind w:left="3600" w:firstLine="720"/>
      </w:pPr>
      <w:r>
        <w:t>Consumer &amp; Governmental Affairs Bureau</w:t>
      </w:r>
    </w:p>
    <w:p w:rsidR="008206E3" w:rsidP="008206E3" w14:paraId="64007A32" w14:textId="77777777">
      <w:pPr>
        <w:pStyle w:val="ParaNum"/>
        <w:numPr>
          <w:ilvl w:val="0"/>
          <w:numId w:val="0"/>
        </w:numPr>
        <w:ind w:left="720"/>
        <w:rPr>
          <w:highlight w:val="yellow"/>
        </w:rPr>
        <w:sectPr w:rsidSect="00784FC0">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pPr>
    </w:p>
    <w:p w:rsidR="008206E3" w:rsidP="008206E3" w14:paraId="015CAC2E" w14:textId="77777777">
      <w:pPr>
        <w:pStyle w:val="ParaNum"/>
        <w:numPr>
          <w:ilvl w:val="0"/>
          <w:numId w:val="0"/>
        </w:numPr>
        <w:ind w:left="720"/>
        <w:rPr>
          <w:b/>
          <w:bCs/>
          <w:color w:val="242021"/>
          <w:position w:val="-1"/>
          <w:sz w:val="52"/>
          <w:szCs w:val="52"/>
        </w:rPr>
      </w:pPr>
    </w:p>
    <w:p w:rsidR="008206E3" w:rsidP="008206E3" w14:paraId="5B461649" w14:textId="77777777">
      <w:pPr>
        <w:pStyle w:val="ParaNum"/>
        <w:numPr>
          <w:ilvl w:val="0"/>
          <w:numId w:val="0"/>
        </w:numPr>
        <w:ind w:left="720"/>
        <w:rPr>
          <w:b/>
          <w:bCs/>
          <w:color w:val="242021"/>
          <w:position w:val="-1"/>
          <w:sz w:val="52"/>
          <w:szCs w:val="52"/>
        </w:rPr>
      </w:pPr>
    </w:p>
    <w:p w:rsidR="008206E3" w:rsidP="008206E3" w14:paraId="2AD1C37E" w14:textId="77777777">
      <w:pPr>
        <w:pStyle w:val="ParaNum"/>
        <w:numPr>
          <w:ilvl w:val="0"/>
          <w:numId w:val="0"/>
        </w:numPr>
        <w:ind w:left="720"/>
        <w:rPr>
          <w:b/>
          <w:bCs/>
          <w:color w:val="242021"/>
          <w:position w:val="-1"/>
          <w:sz w:val="52"/>
          <w:szCs w:val="52"/>
        </w:rPr>
      </w:pPr>
    </w:p>
    <w:p w:rsidR="008206E3" w:rsidP="008206E3" w14:paraId="4C4576F7" w14:textId="77777777">
      <w:pPr>
        <w:pStyle w:val="ParaNum"/>
        <w:numPr>
          <w:ilvl w:val="0"/>
          <w:numId w:val="0"/>
        </w:numPr>
        <w:ind w:left="720"/>
        <w:rPr>
          <w:b/>
          <w:bCs/>
          <w:color w:val="242021"/>
          <w:position w:val="-1"/>
          <w:sz w:val="52"/>
          <w:szCs w:val="52"/>
        </w:rPr>
      </w:pPr>
    </w:p>
    <w:p w:rsidR="008206E3" w:rsidP="008206E3" w14:paraId="1FF1B26E" w14:textId="77777777">
      <w:pPr>
        <w:pStyle w:val="ParaNum"/>
        <w:numPr>
          <w:ilvl w:val="0"/>
          <w:numId w:val="0"/>
        </w:numPr>
        <w:ind w:left="720"/>
        <w:rPr>
          <w:b/>
          <w:bCs/>
          <w:color w:val="242021"/>
          <w:position w:val="-1"/>
          <w:sz w:val="52"/>
          <w:szCs w:val="52"/>
        </w:rPr>
      </w:pPr>
    </w:p>
    <w:p w:rsidR="008206E3" w:rsidP="008206E3" w14:paraId="1656F17E" w14:textId="77777777">
      <w:pPr>
        <w:pStyle w:val="ParaNum"/>
        <w:numPr>
          <w:ilvl w:val="0"/>
          <w:numId w:val="0"/>
        </w:numPr>
        <w:ind w:left="720"/>
        <w:rPr>
          <w:b/>
          <w:bCs/>
          <w:color w:val="242021"/>
          <w:position w:val="-1"/>
          <w:sz w:val="52"/>
          <w:szCs w:val="52"/>
        </w:rPr>
      </w:pPr>
    </w:p>
    <w:p w:rsidR="008206E3" w:rsidP="008206E3" w14:paraId="207B25D9" w14:textId="77777777">
      <w:pPr>
        <w:pStyle w:val="ParaNum"/>
        <w:numPr>
          <w:ilvl w:val="0"/>
          <w:numId w:val="0"/>
        </w:numPr>
        <w:ind w:left="720"/>
        <w:jc w:val="center"/>
        <w:rPr>
          <w:b/>
          <w:bCs/>
          <w:color w:val="242021"/>
          <w:position w:val="-1"/>
          <w:sz w:val="52"/>
          <w:szCs w:val="52"/>
        </w:rPr>
      </w:pPr>
    </w:p>
    <w:p w:rsidR="008206E3" w:rsidP="008206E3" w14:paraId="2F67BCB7" w14:textId="77777777">
      <w:pPr>
        <w:pStyle w:val="ParaNum"/>
        <w:numPr>
          <w:ilvl w:val="0"/>
          <w:numId w:val="0"/>
        </w:numPr>
        <w:ind w:left="720"/>
        <w:jc w:val="center"/>
        <w:rPr>
          <w:b/>
          <w:bCs/>
          <w:color w:val="242021"/>
          <w:position w:val="-1"/>
          <w:sz w:val="52"/>
          <w:szCs w:val="52"/>
        </w:rPr>
      </w:pPr>
    </w:p>
    <w:p w:rsidR="008206E3" w:rsidRPr="00802192" w:rsidP="009B59BE" w14:paraId="39BF8BE0" w14:textId="77777777">
      <w:pPr>
        <w:pStyle w:val="ParaNum"/>
        <w:numPr>
          <w:ilvl w:val="0"/>
          <w:numId w:val="0"/>
        </w:numPr>
        <w:jc w:val="center"/>
        <w:rPr>
          <w:highlight w:val="yellow"/>
        </w:rPr>
      </w:pPr>
      <w:r w:rsidRPr="006B66B9">
        <w:rPr>
          <w:b/>
          <w:bCs/>
          <w:color w:val="242021"/>
          <w:position w:val="-1"/>
          <w:sz w:val="52"/>
          <w:szCs w:val="52"/>
        </w:rPr>
        <w:t>ATTACHMENT</w:t>
      </w:r>
    </w:p>
    <w:p w:rsidR="002C00E8" w:rsidRPr="008206E3" w:rsidP="008206E3" w14:paraId="0465F096" w14:textId="77777777"/>
    <w:sectPr w:rsidSect="008206E3">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6E3" w:rsidP="0055614C" w14:paraId="27D68E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8206E3" w14:paraId="6D17C9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6E3" w:rsidP="0055614C" w14:paraId="475C00B8" w14:textId="77777777">
    <w:pPr>
      <w:pStyle w:val="Footer"/>
      <w:framePr w:wrap="around" w:vAnchor="text" w:hAnchor="margin" w:xAlign="center" w:y="1"/>
    </w:pPr>
    <w:r>
      <w:fldChar w:fldCharType="begin"/>
    </w:r>
    <w:r>
      <w:instrText xml:space="preserve">PAGE  </w:instrText>
    </w:r>
    <w:r>
      <w:fldChar w:fldCharType="separate"/>
    </w:r>
    <w:r w:rsidR="000B5BAA">
      <w:rPr>
        <w:noProof/>
      </w:rPr>
      <w:t>2</w:t>
    </w:r>
    <w:r>
      <w:fldChar w:fldCharType="end"/>
    </w:r>
  </w:p>
  <w:p w:rsidR="008206E3" w14:paraId="2F945DE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6E3" w14:paraId="00D87A66"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BCC9B1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366D60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31054D"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8C096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610F2" w14:paraId="50476AEB" w14:textId="77777777">
      <w:r>
        <w:separator/>
      </w:r>
    </w:p>
  </w:footnote>
  <w:footnote w:type="continuationSeparator" w:id="1">
    <w:p w:rsidR="00B610F2" w:rsidP="00C721AC" w14:paraId="7681E37C" w14:textId="77777777">
      <w:pPr>
        <w:spacing w:before="120"/>
        <w:rPr>
          <w:sz w:val="20"/>
        </w:rPr>
      </w:pPr>
      <w:r>
        <w:rPr>
          <w:sz w:val="20"/>
        </w:rPr>
        <w:t xml:space="preserve">(Continued from previous page)  </w:t>
      </w:r>
      <w:r>
        <w:rPr>
          <w:sz w:val="20"/>
        </w:rPr>
        <w:separator/>
      </w:r>
    </w:p>
  </w:footnote>
  <w:footnote w:type="continuationNotice" w:id="2">
    <w:p w:rsidR="00B610F2" w:rsidP="00C721AC" w14:paraId="6F884FBA" w14:textId="77777777">
      <w:pPr>
        <w:jc w:val="right"/>
        <w:rPr>
          <w:sz w:val="20"/>
        </w:rPr>
      </w:pPr>
      <w:r>
        <w:rPr>
          <w:sz w:val="20"/>
        </w:rPr>
        <w:t>(continued….)</w:t>
      </w:r>
    </w:p>
  </w:footnote>
  <w:footnote w:id="3">
    <w:p w:rsidR="008206E3" w:rsidRPr="00511B21" w:rsidP="008206E3" w14:paraId="160D988F" w14:textId="634B1787">
      <w:pPr>
        <w:pStyle w:val="FootnoteText"/>
      </w:pPr>
      <w:r>
        <w:rPr>
          <w:rStyle w:val="FootnoteReference"/>
        </w:rPr>
        <w:footnoteRef/>
      </w:r>
      <w:r>
        <w:t xml:space="preserve"> We note that all of the proceedings listed on the Attachment hereto were also listed in the Attachment to the </w:t>
      </w:r>
      <w:r>
        <w:rPr>
          <w:i/>
        </w:rPr>
        <w:t xml:space="preserve">Termination of Certain Proceedings as Dormant </w:t>
      </w:r>
      <w:r>
        <w:t xml:space="preserve">Public Notice released on </w:t>
      </w:r>
      <w:r w:rsidR="005C29D8">
        <w:t>June 2</w:t>
      </w:r>
      <w:r>
        <w:t xml:space="preserve">, </w:t>
      </w:r>
      <w:r w:rsidR="005C29D8">
        <w:t>2020</w:t>
      </w:r>
      <w:r>
        <w:t xml:space="preserve">.  </w:t>
      </w:r>
      <w:r>
        <w:rPr>
          <w:i/>
        </w:rPr>
        <w:t>Consumer &amp; Governmental Affairs Bureau Seeks Comment on Termination of Certain Proceedings as Dormant</w:t>
      </w:r>
      <w:r>
        <w:t xml:space="preserve">, Public Notice, </w:t>
      </w:r>
      <w:r w:rsidR="00DE4865">
        <w:t>CG Docket No. 20-158</w:t>
      </w:r>
      <w:r w:rsidR="0084719D">
        <w:t xml:space="preserve">, 35 FCC </w:t>
      </w:r>
      <w:r w:rsidR="0084719D">
        <w:t>Rcd</w:t>
      </w:r>
      <w:r w:rsidR="0084719D">
        <w:t xml:space="preserve"> 5525 (CGB Jun. 2, 2020)</w:t>
      </w:r>
      <w:r w:rsidR="000C66D3">
        <w:t xml:space="preserve"> (</w:t>
      </w:r>
      <w:r w:rsidRPr="00DA2548" w:rsidR="000C66D3">
        <w:rPr>
          <w:i/>
          <w:iCs/>
        </w:rPr>
        <w:t>Eighth Dormant Proceedings Termination Public Notice</w:t>
      </w:r>
      <w:r w:rsidR="000C66D3">
        <w:t>).</w:t>
      </w:r>
      <w:r>
        <w:t xml:space="preserve"> </w:t>
      </w:r>
    </w:p>
  </w:footnote>
  <w:footnote w:id="4">
    <w:p w:rsidR="00134739" w:rsidRPr="000533C2" w14:paraId="1E4DB0CD" w14:textId="13620007">
      <w:pPr>
        <w:pStyle w:val="FootnoteText"/>
      </w:pPr>
      <w:r>
        <w:rPr>
          <w:rStyle w:val="FootnoteReference"/>
        </w:rPr>
        <w:footnoteRef/>
      </w:r>
      <w:r>
        <w:t xml:space="preserve"> </w:t>
      </w:r>
      <w:r w:rsidRPr="00EC799D" w:rsidR="00EC799D">
        <w:rPr>
          <w:i/>
          <w:iCs/>
        </w:rPr>
        <w:t>Id</w:t>
      </w:r>
      <w:r w:rsidR="000533C2">
        <w:t>.</w:t>
      </w:r>
    </w:p>
  </w:footnote>
  <w:footnote w:id="5">
    <w:p w:rsidR="008206E3" w:rsidP="008206E3" w14:paraId="22A25F7F" w14:textId="77777777">
      <w:pPr>
        <w:pStyle w:val="FootnoteText"/>
      </w:pPr>
      <w:r>
        <w:rPr>
          <w:rStyle w:val="FootnoteReference"/>
        </w:rPr>
        <w:footnoteRef/>
      </w:r>
      <w:r>
        <w:t xml:space="preserve"> </w:t>
      </w:r>
      <w:r>
        <w:rPr>
          <w:i/>
        </w:rPr>
        <w:t>Amendment of Certain of the Commission’s Part 1 Rules of Practice and Procedure and Part 0 Rules of Commission Organization</w:t>
      </w:r>
      <w:r>
        <w:t xml:space="preserve">, CG Docket No. 10-44, Report and Order, 26 FCC </w:t>
      </w:r>
      <w:r>
        <w:t>Rcd</w:t>
      </w:r>
      <w:r>
        <w:t xml:space="preserve"> 1594 (2011) (“</w:t>
      </w:r>
      <w:r>
        <w:rPr>
          <w:i/>
        </w:rPr>
        <w:t>Procedure Order</w:t>
      </w:r>
      <w:r>
        <w:t xml:space="preserve">”). </w:t>
      </w:r>
    </w:p>
  </w:footnote>
  <w:footnote w:id="6">
    <w:p w:rsidR="008206E3" w:rsidP="008206E3" w14:paraId="4A3651CB" w14:textId="77777777">
      <w:pPr>
        <w:pStyle w:val="FootnoteText"/>
        <w:tabs>
          <w:tab w:val="center" w:pos="5400"/>
        </w:tabs>
      </w:pPr>
      <w:r>
        <w:rPr>
          <w:rStyle w:val="FootnoteReference"/>
        </w:rPr>
        <w:footnoteRef/>
      </w:r>
      <w:r>
        <w:t xml:space="preserve"> </w:t>
      </w:r>
      <w:r>
        <w:rPr>
          <w:i/>
        </w:rPr>
        <w:t>Id.</w:t>
      </w:r>
      <w:r>
        <w:t xml:space="preserve"> at 1604, para. 24.       </w:t>
      </w:r>
      <w:r>
        <w:tab/>
      </w:r>
    </w:p>
  </w:footnote>
  <w:footnote w:id="7">
    <w:p w:rsidR="008206E3" w:rsidP="008206E3" w14:paraId="20ECBD9A" w14:textId="77777777">
      <w:pPr>
        <w:pStyle w:val="FootnoteText"/>
      </w:pPr>
      <w:r>
        <w:rPr>
          <w:rStyle w:val="FootnoteReference"/>
        </w:rPr>
        <w:footnoteRef/>
      </w:r>
      <w:r>
        <w:t xml:space="preserve"> </w:t>
      </w:r>
      <w:r>
        <w:rPr>
          <w:i/>
        </w:rPr>
        <w:t>Consumer &amp; Governmental Affairs Bureau Seeks Comment on Termination of Certain Proceedings as Dormant</w:t>
      </w:r>
      <w:r>
        <w:t xml:space="preserve">, 26 FCC </w:t>
      </w:r>
      <w:r>
        <w:t>Rcd</w:t>
      </w:r>
      <w:r>
        <w:t xml:space="preserve"> 7850 (CGB 2011) </w:t>
      </w:r>
      <w:r w:rsidRPr="0040250E">
        <w:t>(“</w:t>
      </w:r>
      <w:r>
        <w:rPr>
          <w:i/>
        </w:rPr>
        <w:t>First Dormant Proceedings Termination Public Notice</w:t>
      </w:r>
      <w:r w:rsidRPr="0040250E">
        <w:t>”).</w:t>
      </w:r>
    </w:p>
  </w:footnote>
  <w:footnote w:id="8">
    <w:p w:rsidR="008206E3" w:rsidP="008206E3" w14:paraId="35328327" w14:textId="77777777">
      <w:pPr>
        <w:pStyle w:val="FootnoteText"/>
      </w:pPr>
      <w:r>
        <w:rPr>
          <w:rStyle w:val="FootnoteReference"/>
        </w:rPr>
        <w:footnoteRef/>
      </w:r>
      <w:r>
        <w:t xml:space="preserve"> </w:t>
      </w:r>
      <w:r>
        <w:rPr>
          <w:i/>
          <w:iCs/>
        </w:rPr>
        <w:t>Termination</w:t>
      </w:r>
      <w:r>
        <w:rPr>
          <w:i/>
          <w:iCs/>
          <w:spacing w:val="-9"/>
        </w:rPr>
        <w:t xml:space="preserve"> </w:t>
      </w:r>
      <w:r>
        <w:rPr>
          <w:i/>
          <w:iCs/>
        </w:rPr>
        <w:t>of</w:t>
      </w:r>
      <w:r>
        <w:rPr>
          <w:i/>
          <w:iCs/>
          <w:spacing w:val="-1"/>
        </w:rPr>
        <w:t xml:space="preserve"> </w:t>
      </w:r>
      <w:r>
        <w:rPr>
          <w:i/>
          <w:iCs/>
        </w:rPr>
        <w:t>Certain</w:t>
      </w:r>
      <w:r>
        <w:rPr>
          <w:i/>
          <w:iCs/>
          <w:spacing w:val="-5"/>
        </w:rPr>
        <w:t xml:space="preserve"> </w:t>
      </w:r>
      <w:r>
        <w:rPr>
          <w:i/>
          <w:iCs/>
        </w:rPr>
        <w:t>Proceedings</w:t>
      </w:r>
      <w:r>
        <w:rPr>
          <w:i/>
          <w:iCs/>
          <w:spacing w:val="-9"/>
        </w:rPr>
        <w:t xml:space="preserve"> </w:t>
      </w:r>
      <w:r>
        <w:rPr>
          <w:i/>
          <w:iCs/>
        </w:rPr>
        <w:t>as</w:t>
      </w:r>
      <w:r>
        <w:rPr>
          <w:i/>
          <w:iCs/>
          <w:spacing w:val="-1"/>
        </w:rPr>
        <w:t xml:space="preserve"> </w:t>
      </w:r>
      <w:r>
        <w:rPr>
          <w:i/>
          <w:iCs/>
        </w:rPr>
        <w:t>Dormant</w:t>
      </w:r>
      <w:r>
        <w:t>,</w:t>
      </w:r>
      <w:r>
        <w:rPr>
          <w:spacing w:val="-8"/>
        </w:rPr>
        <w:t xml:space="preserve"> </w:t>
      </w:r>
      <w:r>
        <w:t>Order,</w:t>
      </w:r>
      <w:r>
        <w:rPr>
          <w:spacing w:val="-5"/>
        </w:rPr>
        <w:t xml:space="preserve"> </w:t>
      </w:r>
      <w:r>
        <w:t>26</w:t>
      </w:r>
      <w:r>
        <w:rPr>
          <w:spacing w:val="-2"/>
        </w:rPr>
        <w:t xml:space="preserve"> </w:t>
      </w:r>
      <w:r>
        <w:t>FCC</w:t>
      </w:r>
      <w:r>
        <w:rPr>
          <w:spacing w:val="-4"/>
        </w:rPr>
        <w:t xml:space="preserve"> </w:t>
      </w:r>
      <w:r>
        <w:t>Rcd</w:t>
      </w:r>
      <w:r>
        <w:rPr>
          <w:spacing w:val="-3"/>
        </w:rPr>
        <w:t xml:space="preserve"> </w:t>
      </w:r>
      <w:r>
        <w:t>15312</w:t>
      </w:r>
      <w:r>
        <w:rPr>
          <w:spacing w:val="-5"/>
        </w:rPr>
        <w:t xml:space="preserve"> </w:t>
      </w:r>
      <w:r>
        <w:t>(CGB</w:t>
      </w:r>
      <w:r>
        <w:rPr>
          <w:spacing w:val="-5"/>
        </w:rPr>
        <w:t xml:space="preserve"> </w:t>
      </w:r>
      <w:r>
        <w:t>2011) (“</w:t>
      </w:r>
      <w:r>
        <w:rPr>
          <w:i/>
        </w:rPr>
        <w:t>First Dormant Proceedings Termination Order</w:t>
      </w:r>
      <w:r w:rsidRPr="00DF6250">
        <w:t>”).</w:t>
      </w:r>
    </w:p>
  </w:footnote>
  <w:footnote w:id="9">
    <w:p w:rsidR="008206E3" w:rsidRPr="007F764F" w:rsidP="008206E3" w14:paraId="6DDE5093" w14:textId="3B230D1B">
      <w:pPr>
        <w:pStyle w:val="FootnoteText"/>
        <w:rPr>
          <w:i/>
        </w:rPr>
      </w:pPr>
      <w:r>
        <w:rPr>
          <w:rStyle w:val="FootnoteReference"/>
        </w:rPr>
        <w:footnoteRef/>
      </w:r>
      <w:r>
        <w:t xml:space="preserve"> </w:t>
      </w:r>
      <w:r w:rsidRPr="008868E5">
        <w:rPr>
          <w:i/>
        </w:rPr>
        <w:t>See</w:t>
      </w:r>
      <w:r>
        <w:t xml:space="preserve"> </w:t>
      </w:r>
      <w:r w:rsidRPr="00E9704F">
        <w:rPr>
          <w:i/>
          <w:color w:val="242021"/>
        </w:rPr>
        <w:t>Consumer &amp; Governmental Affairs Bureau Seeks Comment on Termination of Certain Proceedings as Dormant</w:t>
      </w:r>
      <w:r w:rsidRPr="00E9704F">
        <w:rPr>
          <w:color w:val="242021"/>
        </w:rPr>
        <w:t xml:space="preserve">, 27 FCC </w:t>
      </w:r>
      <w:r w:rsidRPr="00E9704F">
        <w:rPr>
          <w:color w:val="242021"/>
        </w:rPr>
        <w:t>Rcd</w:t>
      </w:r>
      <w:r w:rsidRPr="00E9704F">
        <w:rPr>
          <w:color w:val="242021"/>
        </w:rPr>
        <w:t xml:space="preserve"> 1613 (CGB</w:t>
      </w:r>
      <w:r w:rsidRPr="00E9704F">
        <w:rPr>
          <w:color w:val="242021"/>
          <w:spacing w:val="-5"/>
        </w:rPr>
        <w:t xml:space="preserve"> </w:t>
      </w:r>
      <w:r w:rsidRPr="00E9704F">
        <w:rPr>
          <w:color w:val="242021"/>
        </w:rPr>
        <w:t>2012)</w:t>
      </w:r>
      <w:r>
        <w:rPr>
          <w:color w:val="242021"/>
        </w:rPr>
        <w:t>;</w:t>
      </w:r>
      <w:r w:rsidRPr="008868E5">
        <w:rPr>
          <w:i/>
          <w:iCs/>
          <w:color w:val="242021"/>
        </w:rPr>
        <w:t xml:space="preserve"> </w:t>
      </w:r>
      <w:r w:rsidRPr="00E9704F">
        <w:rPr>
          <w:i/>
          <w:iCs/>
          <w:color w:val="242021"/>
        </w:rPr>
        <w:t>Termination</w:t>
      </w:r>
      <w:r w:rsidRPr="00E9704F">
        <w:rPr>
          <w:i/>
          <w:iCs/>
          <w:color w:val="242021"/>
          <w:spacing w:val="-9"/>
        </w:rPr>
        <w:t xml:space="preserve"> </w:t>
      </w:r>
      <w:r w:rsidRPr="00E9704F">
        <w:rPr>
          <w:i/>
          <w:iCs/>
          <w:color w:val="242021"/>
        </w:rPr>
        <w:t>of</w:t>
      </w:r>
      <w:r w:rsidRPr="00E9704F">
        <w:rPr>
          <w:i/>
          <w:iCs/>
          <w:color w:val="242021"/>
          <w:spacing w:val="-1"/>
        </w:rPr>
        <w:t xml:space="preserve"> </w:t>
      </w:r>
      <w:r w:rsidRPr="00E9704F">
        <w:rPr>
          <w:i/>
          <w:iCs/>
          <w:color w:val="242021"/>
        </w:rPr>
        <w:t>Certain</w:t>
      </w:r>
      <w:r w:rsidRPr="00E9704F">
        <w:rPr>
          <w:i/>
          <w:iCs/>
          <w:color w:val="242021"/>
          <w:spacing w:val="-5"/>
        </w:rPr>
        <w:t xml:space="preserve"> </w:t>
      </w:r>
      <w:r w:rsidRPr="00E9704F">
        <w:rPr>
          <w:i/>
          <w:iCs/>
          <w:color w:val="242021"/>
        </w:rPr>
        <w:t>Proceedings</w:t>
      </w:r>
      <w:r w:rsidRPr="00E9704F">
        <w:rPr>
          <w:i/>
          <w:iCs/>
          <w:color w:val="242021"/>
          <w:spacing w:val="-9"/>
        </w:rPr>
        <w:t xml:space="preserve"> </w:t>
      </w:r>
      <w:r w:rsidRPr="00E9704F">
        <w:rPr>
          <w:i/>
          <w:iCs/>
          <w:color w:val="242021"/>
        </w:rPr>
        <w:t>as</w:t>
      </w:r>
      <w:r w:rsidRPr="00E9704F">
        <w:rPr>
          <w:i/>
          <w:iCs/>
          <w:color w:val="242021"/>
          <w:spacing w:val="-1"/>
        </w:rPr>
        <w:t xml:space="preserve"> </w:t>
      </w:r>
      <w:r w:rsidRPr="00E9704F">
        <w:rPr>
          <w:i/>
          <w:iCs/>
          <w:color w:val="242021"/>
        </w:rPr>
        <w:t>Dormant</w:t>
      </w:r>
      <w:r w:rsidRPr="00E9704F">
        <w:rPr>
          <w:color w:val="242021"/>
        </w:rPr>
        <w:t>,</w:t>
      </w:r>
      <w:r w:rsidRPr="00E9704F">
        <w:rPr>
          <w:color w:val="242021"/>
          <w:spacing w:val="-8"/>
        </w:rPr>
        <w:t xml:space="preserve"> </w:t>
      </w:r>
      <w:r w:rsidRPr="00E9704F">
        <w:rPr>
          <w:color w:val="242021"/>
        </w:rPr>
        <w:t>Order</w:t>
      </w:r>
      <w:r w:rsidRPr="00E9704F">
        <w:t xml:space="preserve">, 27 FCC </w:t>
      </w:r>
      <w:r w:rsidRPr="00E9704F">
        <w:t>Rcd</w:t>
      </w:r>
      <w:r w:rsidRPr="00E9704F">
        <w:t xml:space="preserve"> 11284 </w:t>
      </w:r>
      <w:r w:rsidRPr="00E9704F">
        <w:rPr>
          <w:color w:val="242021"/>
        </w:rPr>
        <w:t>(CGB</w:t>
      </w:r>
      <w:r w:rsidRPr="00E9704F">
        <w:rPr>
          <w:color w:val="242021"/>
          <w:spacing w:val="-5"/>
        </w:rPr>
        <w:t xml:space="preserve"> </w:t>
      </w:r>
      <w:r w:rsidRPr="00E9704F">
        <w:rPr>
          <w:color w:val="242021"/>
        </w:rPr>
        <w:t>2012)</w:t>
      </w:r>
      <w:r>
        <w:rPr>
          <w:color w:val="242021"/>
        </w:rPr>
        <w:t>;</w:t>
      </w:r>
      <w:r w:rsidRPr="008868E5">
        <w:rPr>
          <w:i/>
          <w:color w:val="242021"/>
        </w:rPr>
        <w:t xml:space="preserve"> </w:t>
      </w:r>
      <w:r w:rsidRPr="00E9704F">
        <w:rPr>
          <w:i/>
          <w:color w:val="242021"/>
        </w:rPr>
        <w:t>Consumer &amp; Governmental Affairs Bureau Seeks Comment on Termination of Certain Proceedings as Dormant</w:t>
      </w:r>
      <w:r>
        <w:rPr>
          <w:color w:val="242021"/>
        </w:rPr>
        <w:t xml:space="preserve">, 29 FCC </w:t>
      </w:r>
      <w:r>
        <w:rPr>
          <w:color w:val="242021"/>
        </w:rPr>
        <w:t>Rcd</w:t>
      </w:r>
      <w:r>
        <w:rPr>
          <w:color w:val="242021"/>
        </w:rPr>
        <w:t xml:space="preserve"> 7664</w:t>
      </w:r>
      <w:r w:rsidRPr="00E9704F">
        <w:rPr>
          <w:color w:val="242021"/>
        </w:rPr>
        <w:t xml:space="preserve"> (CGB</w:t>
      </w:r>
      <w:r w:rsidRPr="00E9704F">
        <w:rPr>
          <w:color w:val="242021"/>
          <w:spacing w:val="-5"/>
        </w:rPr>
        <w:t xml:space="preserve"> </w:t>
      </w:r>
      <w:r w:rsidRPr="00E9704F">
        <w:rPr>
          <w:color w:val="242021"/>
        </w:rPr>
        <w:t>2014)</w:t>
      </w:r>
      <w:r>
        <w:rPr>
          <w:color w:val="242021"/>
        </w:rPr>
        <w:t xml:space="preserve">; </w:t>
      </w:r>
      <w:r w:rsidRPr="00E9704F">
        <w:rPr>
          <w:i/>
          <w:iCs/>
          <w:color w:val="242021"/>
        </w:rPr>
        <w:t>Termination</w:t>
      </w:r>
      <w:r w:rsidRPr="00E9704F">
        <w:rPr>
          <w:i/>
          <w:iCs/>
          <w:color w:val="242021"/>
          <w:spacing w:val="-9"/>
        </w:rPr>
        <w:t xml:space="preserve"> </w:t>
      </w:r>
      <w:r w:rsidRPr="00E9704F">
        <w:rPr>
          <w:i/>
          <w:iCs/>
          <w:color w:val="242021"/>
        </w:rPr>
        <w:t>of</w:t>
      </w:r>
      <w:r w:rsidRPr="00E9704F">
        <w:rPr>
          <w:i/>
          <w:iCs/>
          <w:color w:val="242021"/>
          <w:spacing w:val="-1"/>
        </w:rPr>
        <w:t xml:space="preserve"> </w:t>
      </w:r>
      <w:r w:rsidRPr="00E9704F">
        <w:rPr>
          <w:i/>
          <w:iCs/>
          <w:color w:val="242021"/>
        </w:rPr>
        <w:t>Certain</w:t>
      </w:r>
      <w:r w:rsidRPr="00E9704F">
        <w:rPr>
          <w:i/>
          <w:iCs/>
          <w:color w:val="242021"/>
          <w:spacing w:val="-5"/>
        </w:rPr>
        <w:t xml:space="preserve"> </w:t>
      </w:r>
      <w:r w:rsidRPr="00E9704F">
        <w:rPr>
          <w:i/>
          <w:iCs/>
          <w:color w:val="242021"/>
        </w:rPr>
        <w:t>Proceedings</w:t>
      </w:r>
      <w:r w:rsidRPr="00E9704F">
        <w:rPr>
          <w:i/>
          <w:iCs/>
          <w:color w:val="242021"/>
          <w:spacing w:val="-9"/>
        </w:rPr>
        <w:t xml:space="preserve"> </w:t>
      </w:r>
      <w:r w:rsidRPr="00E9704F">
        <w:rPr>
          <w:i/>
          <w:iCs/>
          <w:color w:val="242021"/>
        </w:rPr>
        <w:t>as</w:t>
      </w:r>
      <w:r w:rsidRPr="00E9704F">
        <w:rPr>
          <w:i/>
          <w:iCs/>
          <w:color w:val="242021"/>
          <w:spacing w:val="-1"/>
        </w:rPr>
        <w:t xml:space="preserve"> </w:t>
      </w:r>
      <w:r w:rsidRPr="00E9704F">
        <w:rPr>
          <w:i/>
          <w:iCs/>
          <w:color w:val="242021"/>
        </w:rPr>
        <w:t>Dormant</w:t>
      </w:r>
      <w:r w:rsidRPr="00E9704F">
        <w:rPr>
          <w:color w:val="242021"/>
          <w:spacing w:val="-8"/>
        </w:rPr>
        <w:t xml:space="preserve">, </w:t>
      </w:r>
      <w:r w:rsidRPr="00E9704F">
        <w:rPr>
          <w:color w:val="242021"/>
        </w:rPr>
        <w:t xml:space="preserve">Order, 29 FCC </w:t>
      </w:r>
      <w:r w:rsidRPr="00E9704F">
        <w:rPr>
          <w:color w:val="242021"/>
        </w:rPr>
        <w:t>Rcd</w:t>
      </w:r>
      <w:r w:rsidRPr="00E9704F">
        <w:rPr>
          <w:color w:val="242021"/>
        </w:rPr>
        <w:t xml:space="preserve"> 11017 (CGB 2014)</w:t>
      </w:r>
      <w:r>
        <w:rPr>
          <w:color w:val="242021"/>
        </w:rPr>
        <w:t xml:space="preserve">; </w:t>
      </w:r>
      <w:r w:rsidRPr="00E9704F">
        <w:rPr>
          <w:i/>
        </w:rPr>
        <w:t>Consumer &amp; Governmental Affairs Bureau Seeks Comment on Termination of Certain Proceedings as Dormant</w:t>
      </w:r>
      <w:r w:rsidRPr="00E9704F">
        <w:t xml:space="preserve">, 29 FCC </w:t>
      </w:r>
      <w:r w:rsidRPr="00E9704F">
        <w:t>Rcd</w:t>
      </w:r>
      <w:r w:rsidRPr="00E9704F">
        <w:t xml:space="preserve"> 11168 (CGB 2014)</w:t>
      </w:r>
      <w:r>
        <w:t xml:space="preserve">; </w:t>
      </w:r>
      <w:r w:rsidRPr="00E9704F">
        <w:rPr>
          <w:i/>
        </w:rPr>
        <w:t>Termination of Certain Proceedings as Dormant</w:t>
      </w:r>
      <w:r w:rsidRPr="00E9704F">
        <w:t xml:space="preserve">, Order, 29 FCC </w:t>
      </w:r>
      <w:r w:rsidRPr="00E9704F">
        <w:t>Rcd</w:t>
      </w:r>
      <w:r w:rsidRPr="00E9704F">
        <w:t xml:space="preserve"> 16059 (CGB 2014)</w:t>
      </w:r>
      <w:r>
        <w:t xml:space="preserve">; </w:t>
      </w:r>
      <w:r w:rsidRPr="00E9704F">
        <w:rPr>
          <w:i/>
        </w:rPr>
        <w:t>Consumer &amp; Governmental Affairs Bureau Seeks Comment on Termination of Certain Proceedings as Dormant</w:t>
      </w:r>
      <w:r w:rsidRPr="00E9704F">
        <w:t>,</w:t>
      </w:r>
      <w:r>
        <w:t xml:space="preserve"> 31 FCC </w:t>
      </w:r>
      <w:r>
        <w:t>Rcd</w:t>
      </w:r>
      <w:r>
        <w:t xml:space="preserve"> 1205 (CGB 2016); </w:t>
      </w:r>
      <w:r w:rsidRPr="00E9704F">
        <w:rPr>
          <w:i/>
        </w:rPr>
        <w:t>Termination of Certain Proceedings as Dormant</w:t>
      </w:r>
      <w:r w:rsidRPr="00E9704F">
        <w:t xml:space="preserve">, Order, </w:t>
      </w:r>
      <w:r>
        <w:t xml:space="preserve">31 FCC </w:t>
      </w:r>
      <w:r>
        <w:t>Rcd</w:t>
      </w:r>
      <w:r>
        <w:t xml:space="preserve"> 7584 (CGB 2016)</w:t>
      </w:r>
      <w:r w:rsidR="005E30C3">
        <w:t>;</w:t>
      </w:r>
      <w:r w:rsidRPr="005E30C3" w:rsidR="005E30C3">
        <w:t xml:space="preserve"> Consumer &amp; Governmental Affairs Bureau Seeks Comment on Termination of Certain Proceedings as Dormant, 32 FCC </w:t>
      </w:r>
      <w:r w:rsidRPr="005E30C3" w:rsidR="005E30C3">
        <w:t>Rcd</w:t>
      </w:r>
      <w:r w:rsidRPr="005E30C3" w:rsidR="005E30C3">
        <w:t xml:space="preserve"> 369 (CGB 2017); </w:t>
      </w:r>
      <w:r w:rsidRPr="005E30C3" w:rsidR="005E30C3">
        <w:rPr>
          <w:i/>
          <w:iCs/>
        </w:rPr>
        <w:t>Termination of Certain Proceedings as Dormant</w:t>
      </w:r>
      <w:r w:rsidRPr="005E30C3" w:rsidR="005E30C3">
        <w:t xml:space="preserve">, Order, 33 FCC </w:t>
      </w:r>
      <w:r w:rsidRPr="005E30C3" w:rsidR="005E30C3">
        <w:t>Rcd</w:t>
      </w:r>
      <w:r w:rsidRPr="005E30C3" w:rsidR="005E30C3">
        <w:t xml:space="preserve"> 53 (CGB 2018)</w:t>
      </w:r>
      <w:r w:rsidR="005E30C3">
        <w:t xml:space="preserve">; </w:t>
      </w:r>
      <w:r w:rsidRPr="005E30C3" w:rsidR="009D6BF9">
        <w:rPr>
          <w:i/>
          <w:iCs/>
        </w:rPr>
        <w:t>Termination of Certain Proceedings as Dormant</w:t>
      </w:r>
      <w:r w:rsidRPr="005E30C3" w:rsidR="009D6BF9">
        <w:t xml:space="preserve">, Order, </w:t>
      </w:r>
      <w:r w:rsidRPr="00B065C3" w:rsidR="00B065C3">
        <w:t xml:space="preserve">34 FCC </w:t>
      </w:r>
      <w:r w:rsidRPr="00B065C3" w:rsidR="00B065C3">
        <w:t>Rcd</w:t>
      </w:r>
      <w:r w:rsidRPr="00B065C3" w:rsidR="00B065C3">
        <w:t xml:space="preserve"> 1331 </w:t>
      </w:r>
      <w:r w:rsidRPr="005E30C3" w:rsidR="009D6BF9">
        <w:t>(CGB 201</w:t>
      </w:r>
      <w:r w:rsidR="009D6BF9">
        <w:t>9</w:t>
      </w:r>
      <w:r w:rsidRPr="005E30C3" w:rsidR="009D6BF9">
        <w:t>)</w:t>
      </w:r>
      <w:r>
        <w:t>.</w:t>
      </w:r>
    </w:p>
  </w:footnote>
  <w:footnote w:id="10">
    <w:p w:rsidR="008206E3" w:rsidP="008206E3" w14:paraId="04C5F657" w14:textId="62464766">
      <w:pPr>
        <w:pStyle w:val="FootnoteText"/>
      </w:pPr>
      <w:r>
        <w:rPr>
          <w:rStyle w:val="FootnoteReference"/>
        </w:rPr>
        <w:footnoteRef/>
      </w:r>
      <w:r>
        <w:t xml:space="preserve"> </w:t>
      </w:r>
      <w:r w:rsidRPr="005D5160" w:rsidR="005D5160">
        <w:rPr>
          <w:i/>
          <w:iCs/>
        </w:rPr>
        <w:t>See</w:t>
      </w:r>
      <w:r w:rsidR="005D5160">
        <w:t xml:space="preserve"> </w:t>
      </w:r>
      <w:r w:rsidRPr="000533C2" w:rsidR="005D5160">
        <w:rPr>
          <w:i/>
          <w:iCs/>
        </w:rPr>
        <w:t>Eighth Dormant Proceedings Termination Public Notice</w:t>
      </w:r>
      <w:r w:rsidR="005D5160">
        <w:t>.</w:t>
      </w:r>
    </w:p>
  </w:footnote>
  <w:footnote w:id="11">
    <w:p w:rsidR="002C4743" w14:paraId="1973DEEB" w14:textId="21012293">
      <w:pPr>
        <w:pStyle w:val="FootnoteText"/>
      </w:pPr>
      <w:r>
        <w:rPr>
          <w:rStyle w:val="FootnoteReference"/>
        </w:rPr>
        <w:footnoteRef/>
      </w:r>
      <w:r>
        <w:t xml:space="preserve"> </w:t>
      </w:r>
      <w:r w:rsidR="003D2DAA">
        <w:t xml:space="preserve">Termination of Dormant Proceedings, </w:t>
      </w:r>
      <w:r w:rsidRPr="003D2DAA" w:rsidR="003D2DAA">
        <w:t>85 FR 40287</w:t>
      </w:r>
      <w:r w:rsidR="008D5043">
        <w:t xml:space="preserve"> (Jul. 6, 2020).</w:t>
      </w:r>
    </w:p>
  </w:footnote>
  <w:footnote w:id="12">
    <w:p w:rsidR="008206E3" w:rsidP="008206E3" w14:paraId="4CF5B090" w14:textId="207A324C">
      <w:pPr>
        <w:pStyle w:val="FootnoteText"/>
      </w:pPr>
      <w:r>
        <w:rPr>
          <w:rStyle w:val="FootnoteReference"/>
        </w:rPr>
        <w:footnoteRef/>
      </w:r>
      <w:r w:rsidR="00CC4541">
        <w:t xml:space="preserve"> </w:t>
      </w:r>
      <w:r w:rsidRPr="00CC4541" w:rsidR="00CC4541">
        <w:rPr>
          <w:i/>
          <w:iCs/>
        </w:rPr>
        <w:t>Id</w:t>
      </w:r>
      <w:r w:rsidR="00CC4541">
        <w:t>.</w:t>
      </w:r>
    </w:p>
  </w:footnote>
  <w:footnote w:id="13">
    <w:p w:rsidR="004E6863" w:rsidP="004E6863" w14:paraId="6694C6C1" w14:textId="77777777">
      <w:pPr>
        <w:pStyle w:val="FootnoteText"/>
      </w:pPr>
      <w:r>
        <w:rPr>
          <w:rStyle w:val="FootnoteReference"/>
        </w:rPr>
        <w:footnoteRef/>
      </w:r>
      <w:r>
        <w:t xml:space="preserve"> </w:t>
      </w:r>
      <w:r>
        <w:rPr>
          <w:spacing w:val="-1"/>
        </w:rPr>
        <w:t>An</w:t>
      </w:r>
      <w:r>
        <w:t>y</w:t>
      </w:r>
      <w:r>
        <w:rPr>
          <w:spacing w:val="-5"/>
        </w:rPr>
        <w:t xml:space="preserve"> </w:t>
      </w:r>
      <w:r>
        <w:rPr>
          <w:spacing w:val="-1"/>
        </w:rPr>
        <w:t>part</w:t>
      </w:r>
      <w:r>
        <w:t>y</w:t>
      </w:r>
      <w:r>
        <w:rPr>
          <w:spacing w:val="-5"/>
        </w:rPr>
        <w:t xml:space="preserve"> </w:t>
      </w:r>
      <w:r>
        <w:rPr>
          <w:spacing w:val="-1"/>
        </w:rPr>
        <w:t>aggrieve</w:t>
      </w:r>
      <w:r>
        <w:t>d</w:t>
      </w:r>
      <w:r>
        <w:rPr>
          <w:spacing w:val="-5"/>
        </w:rPr>
        <w:t xml:space="preserve"> </w:t>
      </w:r>
      <w:r>
        <w:rPr>
          <w:spacing w:val="-1"/>
        </w:rPr>
        <w:t>b</w:t>
      </w:r>
      <w:r>
        <w:t>y</w:t>
      </w:r>
      <w:r>
        <w:rPr>
          <w:spacing w:val="-5"/>
        </w:rPr>
        <w:t xml:space="preserve"> </w:t>
      </w:r>
      <w:r>
        <w:t>a</w:t>
      </w:r>
      <w:r>
        <w:rPr>
          <w:spacing w:val="-5"/>
        </w:rPr>
        <w:t xml:space="preserve"> </w:t>
      </w:r>
      <w:r>
        <w:rPr>
          <w:spacing w:val="-1"/>
        </w:rPr>
        <w:t>terminatio</w:t>
      </w:r>
      <w:r>
        <w:t>n</w:t>
      </w:r>
      <w:r>
        <w:rPr>
          <w:spacing w:val="-5"/>
        </w:rPr>
        <w:t xml:space="preserve"> </w:t>
      </w:r>
      <w:r>
        <w:rPr>
          <w:spacing w:val="-1"/>
        </w:rPr>
        <w:t>unde</w:t>
      </w:r>
      <w:r>
        <w:t>r</w:t>
      </w:r>
      <w:r>
        <w:rPr>
          <w:spacing w:val="-5"/>
        </w:rPr>
        <w:t xml:space="preserve"> </w:t>
      </w:r>
      <w:r>
        <w:rPr>
          <w:spacing w:val="-1"/>
        </w:rPr>
        <w:t>thi</w:t>
      </w:r>
      <w:r>
        <w:t>s</w:t>
      </w:r>
      <w:r>
        <w:rPr>
          <w:spacing w:val="-5"/>
        </w:rPr>
        <w:t xml:space="preserve"> </w:t>
      </w:r>
      <w:r>
        <w:rPr>
          <w:spacing w:val="-1"/>
        </w:rPr>
        <w:t>delegatio</w:t>
      </w:r>
      <w:r>
        <w:t>n</w:t>
      </w:r>
      <w:r>
        <w:rPr>
          <w:spacing w:val="-5"/>
        </w:rPr>
        <w:t xml:space="preserve"> </w:t>
      </w:r>
      <w:r>
        <w:rPr>
          <w:spacing w:val="-1"/>
        </w:rPr>
        <w:t>o</w:t>
      </w:r>
      <w:r>
        <w:t>f</w:t>
      </w:r>
      <w:r>
        <w:rPr>
          <w:spacing w:val="-5"/>
        </w:rPr>
        <w:t xml:space="preserve"> </w:t>
      </w:r>
      <w:r>
        <w:rPr>
          <w:spacing w:val="-1"/>
        </w:rPr>
        <w:t>authorit</w:t>
      </w:r>
      <w:r>
        <w:t>y</w:t>
      </w:r>
      <w:r>
        <w:rPr>
          <w:spacing w:val="-5"/>
        </w:rPr>
        <w:t xml:space="preserve"> </w:t>
      </w:r>
      <w:r>
        <w:rPr>
          <w:spacing w:val="-1"/>
        </w:rPr>
        <w:t>ma</w:t>
      </w:r>
      <w:r>
        <w:t>y</w:t>
      </w:r>
      <w:r>
        <w:rPr>
          <w:spacing w:val="-4"/>
        </w:rPr>
        <w:t xml:space="preserve"> </w:t>
      </w:r>
      <w:r>
        <w:rPr>
          <w:spacing w:val="-1"/>
        </w:rPr>
        <w:t>fil</w:t>
      </w:r>
      <w:r>
        <w:t>e</w:t>
      </w:r>
      <w:r>
        <w:rPr>
          <w:spacing w:val="-5"/>
        </w:rPr>
        <w:t xml:space="preserve"> </w:t>
      </w:r>
      <w:r>
        <w:t>a</w:t>
      </w:r>
      <w:r>
        <w:rPr>
          <w:spacing w:val="-5"/>
        </w:rPr>
        <w:t xml:space="preserve"> </w:t>
      </w:r>
      <w:r>
        <w:rPr>
          <w:spacing w:val="-1"/>
        </w:rPr>
        <w:t>petitio</w:t>
      </w:r>
      <w:r>
        <w:t>n</w:t>
      </w:r>
      <w:r>
        <w:rPr>
          <w:spacing w:val="-5"/>
        </w:rPr>
        <w:t xml:space="preserve"> </w:t>
      </w:r>
      <w:r>
        <w:rPr>
          <w:spacing w:val="-1"/>
        </w:rPr>
        <w:t>fo</w:t>
      </w:r>
      <w:r>
        <w:t>r</w:t>
      </w:r>
      <w:r>
        <w:rPr>
          <w:spacing w:val="-5"/>
        </w:rPr>
        <w:t xml:space="preserve"> </w:t>
      </w:r>
      <w:r>
        <w:rPr>
          <w:spacing w:val="-1"/>
        </w:rPr>
        <w:t>reconsideratio</w:t>
      </w:r>
      <w:r>
        <w:t>n</w:t>
      </w:r>
      <w:r>
        <w:rPr>
          <w:spacing w:val="-5"/>
        </w:rPr>
        <w:t xml:space="preserve"> </w:t>
      </w:r>
      <w:r>
        <w:rPr>
          <w:spacing w:val="-1"/>
        </w:rPr>
        <w:t>with</w:t>
      </w:r>
      <w:r>
        <w:rPr>
          <w:spacing w:val="-1"/>
          <w:w w:val="99"/>
        </w:rPr>
        <w:t xml:space="preserve"> </w:t>
      </w:r>
      <w:r>
        <w:t>CGB</w:t>
      </w:r>
      <w:r>
        <w:rPr>
          <w:spacing w:val="-5"/>
        </w:rPr>
        <w:t xml:space="preserve"> </w:t>
      </w:r>
      <w:r>
        <w:t>or</w:t>
      </w:r>
      <w:r>
        <w:rPr>
          <w:spacing w:val="-4"/>
        </w:rPr>
        <w:t xml:space="preserve"> </w:t>
      </w:r>
      <w:r>
        <w:t>an</w:t>
      </w:r>
      <w:r>
        <w:rPr>
          <w:spacing w:val="-4"/>
        </w:rPr>
        <w:t xml:space="preserve"> </w:t>
      </w:r>
      <w:r>
        <w:t>application</w:t>
      </w:r>
      <w:r>
        <w:rPr>
          <w:spacing w:val="-5"/>
        </w:rPr>
        <w:t xml:space="preserve"> </w:t>
      </w:r>
      <w:r>
        <w:t>for</w:t>
      </w:r>
      <w:r>
        <w:rPr>
          <w:spacing w:val="-4"/>
        </w:rPr>
        <w:t xml:space="preserve"> </w:t>
      </w:r>
      <w:r>
        <w:t>review</w:t>
      </w:r>
      <w:r>
        <w:rPr>
          <w:spacing w:val="-9"/>
        </w:rPr>
        <w:t xml:space="preserve"> </w:t>
      </w:r>
      <w:r>
        <w:rPr>
          <w:spacing w:val="-2"/>
        </w:rPr>
        <w:t>wit</w:t>
      </w:r>
      <w:r>
        <w:t>h</w:t>
      </w:r>
      <w:r>
        <w:rPr>
          <w:spacing w:val="-5"/>
        </w:rPr>
        <w:t xml:space="preserve"> </w:t>
      </w:r>
      <w:r>
        <w:rPr>
          <w:spacing w:val="-2"/>
        </w:rPr>
        <w:t>th</w:t>
      </w:r>
      <w:r>
        <w:t>e</w:t>
      </w:r>
      <w:r>
        <w:rPr>
          <w:spacing w:val="-5"/>
        </w:rPr>
        <w:t xml:space="preserve"> </w:t>
      </w:r>
      <w:r>
        <w:rPr>
          <w:spacing w:val="-2"/>
        </w:rPr>
        <w:t>ful</w:t>
      </w:r>
      <w:r>
        <w:t>l</w:t>
      </w:r>
      <w:r>
        <w:rPr>
          <w:spacing w:val="-6"/>
        </w:rPr>
        <w:t xml:space="preserve"> </w:t>
      </w:r>
      <w:r>
        <w:rPr>
          <w:spacing w:val="-2"/>
        </w:rPr>
        <w:t>Commis</w:t>
      </w:r>
      <w:r>
        <w:rPr>
          <w:spacing w:val="-1"/>
        </w:rPr>
        <w:t>sio</w:t>
      </w:r>
      <w:r>
        <w:t>n</w:t>
      </w:r>
      <w:r>
        <w:rPr>
          <w:spacing w:val="42"/>
        </w:rPr>
        <w:t xml:space="preserve"> </w:t>
      </w:r>
      <w:r>
        <w:rPr>
          <w:i/>
        </w:rPr>
        <w:t>Procedure</w:t>
      </w:r>
      <w:r>
        <w:rPr>
          <w:i/>
          <w:spacing w:val="-5"/>
        </w:rPr>
        <w:t xml:space="preserve"> </w:t>
      </w:r>
      <w:r>
        <w:rPr>
          <w:i/>
        </w:rPr>
        <w:t>Orde</w:t>
      </w:r>
      <w:r>
        <w:rPr>
          <w:i/>
          <w:spacing w:val="-1"/>
        </w:rPr>
        <w:t>r</w:t>
      </w:r>
      <w:r>
        <w:t>,</w:t>
      </w:r>
      <w:r>
        <w:rPr>
          <w:spacing w:val="-4"/>
        </w:rPr>
        <w:t xml:space="preserve"> </w:t>
      </w:r>
      <w:r>
        <w:t>26</w:t>
      </w:r>
      <w:r>
        <w:rPr>
          <w:spacing w:val="-4"/>
        </w:rPr>
        <w:t xml:space="preserve"> </w:t>
      </w:r>
      <w:r>
        <w:t>FCC</w:t>
      </w:r>
      <w:r>
        <w:rPr>
          <w:spacing w:val="-5"/>
        </w:rPr>
        <w:t xml:space="preserve"> </w:t>
      </w:r>
      <w:r>
        <w:t>Rcd</w:t>
      </w:r>
      <w:r>
        <w:rPr>
          <w:spacing w:val="-3"/>
        </w:rPr>
        <w:t xml:space="preserve"> </w:t>
      </w:r>
      <w:r>
        <w:t>at</w:t>
      </w:r>
      <w:r>
        <w:rPr>
          <w:spacing w:val="-4"/>
        </w:rPr>
        <w:t xml:space="preserve"> </w:t>
      </w:r>
      <w:r>
        <w:t>1604,</w:t>
      </w:r>
      <w:r>
        <w:rPr>
          <w:spacing w:val="-3"/>
        </w:rPr>
        <w:t xml:space="preserve"> </w:t>
      </w:r>
      <w:r>
        <w:t>paras.</w:t>
      </w:r>
      <w:r>
        <w:rPr>
          <w:spacing w:val="-3"/>
        </w:rPr>
        <w:t xml:space="preserve"> </w:t>
      </w:r>
      <w:r>
        <w:t>2</w:t>
      </w:r>
      <w:r>
        <w:rPr>
          <w:spacing w:val="1"/>
        </w:rPr>
        <w:t>3</w:t>
      </w:r>
      <w:r>
        <w:rPr>
          <w:spacing w:val="-2"/>
        </w:rPr>
        <w:t>-</w:t>
      </w:r>
      <w:r>
        <w:rPr>
          <w:spacing w:val="1"/>
        </w:rPr>
        <w:t>24.</w:t>
      </w:r>
    </w:p>
  </w:footnote>
  <w:footnote w:id="14">
    <w:p w:rsidR="00445347" w14:paraId="29C4DE24" w14:textId="3F061B28">
      <w:pPr>
        <w:pStyle w:val="FootnoteText"/>
      </w:pPr>
      <w:r>
        <w:rPr>
          <w:rStyle w:val="FootnoteReference"/>
        </w:rPr>
        <w:footnoteRef/>
      </w:r>
      <w:r>
        <w:t xml:space="preserve"> </w:t>
      </w:r>
      <w:r w:rsidRPr="004B3504">
        <w:rPr>
          <w:i/>
          <w:iCs/>
        </w:rPr>
        <w:t>Eighth Dormant Proceedings Termination Notice</w:t>
      </w:r>
      <w:r>
        <w:t xml:space="preserve">, </w:t>
      </w:r>
      <w:r w:rsidRPr="00072705" w:rsidR="00072705">
        <w:t xml:space="preserve">35 FCC </w:t>
      </w:r>
      <w:r w:rsidRPr="00072705" w:rsidR="00072705">
        <w:t>Rcd</w:t>
      </w:r>
      <w:r w:rsidRPr="00072705" w:rsidR="00072705">
        <w:t xml:space="preserve"> 5525</w:t>
      </w:r>
      <w:r w:rsidR="00072705">
        <w:t>, 5529, A</w:t>
      </w:r>
      <w:r w:rsidR="003E04C4">
        <w:t>ttachment</w:t>
      </w:r>
      <w:r w:rsidR="00072705">
        <w:t>.</w:t>
      </w:r>
    </w:p>
  </w:footnote>
  <w:footnote w:id="15">
    <w:p w:rsidR="0017759B" w:rsidRPr="0017759B" w:rsidP="004E6863" w14:paraId="68CA0C6A" w14:textId="2A4B24F0">
      <w:pPr>
        <w:pStyle w:val="FootnoteText"/>
        <w:rPr>
          <w:spacing w:val="-2"/>
        </w:rPr>
      </w:pPr>
      <w:r>
        <w:rPr>
          <w:rStyle w:val="FootnoteReference"/>
        </w:rPr>
        <w:footnoteRef/>
      </w:r>
      <w:r>
        <w:t xml:space="preserve"> </w:t>
      </w:r>
      <w:r w:rsidRPr="005E3339">
        <w:rPr>
          <w:szCs w:val="22"/>
        </w:rPr>
        <w:t xml:space="preserve">In addition, after the </w:t>
      </w:r>
      <w:r w:rsidRPr="005E3339">
        <w:rPr>
          <w:i/>
          <w:szCs w:val="22"/>
        </w:rPr>
        <w:t>Termination Public Notice</w:t>
      </w:r>
      <w:r w:rsidRPr="005E3339">
        <w:rPr>
          <w:szCs w:val="22"/>
        </w:rPr>
        <w:t xml:space="preserve"> proposal to close </w:t>
      </w:r>
      <w:r w:rsidRPr="005E3339">
        <w:rPr>
          <w:i/>
          <w:iCs/>
          <w:szCs w:val="22"/>
        </w:rPr>
        <w:t xml:space="preserve">Expanding </w:t>
      </w:r>
      <w:r w:rsidRPr="005E3339" w:rsidR="00B63D0C">
        <w:rPr>
          <w:i/>
          <w:iCs/>
          <w:szCs w:val="22"/>
        </w:rPr>
        <w:t>Consumers</w:t>
      </w:r>
      <w:r w:rsidR="00B63D0C">
        <w:rPr>
          <w:i/>
          <w:iCs/>
          <w:szCs w:val="22"/>
        </w:rPr>
        <w:t>’</w:t>
      </w:r>
      <w:r w:rsidRPr="005E3339" w:rsidR="00B63D0C">
        <w:rPr>
          <w:i/>
          <w:iCs/>
          <w:szCs w:val="22"/>
        </w:rPr>
        <w:t xml:space="preserve"> </w:t>
      </w:r>
      <w:r w:rsidRPr="005E3339">
        <w:rPr>
          <w:i/>
          <w:iCs/>
          <w:szCs w:val="22"/>
        </w:rPr>
        <w:t>Video Navigation Choices</w:t>
      </w:r>
      <w:r w:rsidRPr="005E3339">
        <w:rPr>
          <w:szCs w:val="22"/>
        </w:rPr>
        <w:t xml:space="preserve"> (MB Docket No. </w:t>
      </w:r>
      <w:r>
        <w:rPr>
          <w:szCs w:val="22"/>
        </w:rPr>
        <w:t>16-42</w:t>
      </w:r>
      <w:r w:rsidRPr="005E3339">
        <w:rPr>
          <w:szCs w:val="22"/>
        </w:rPr>
        <w:t>)</w:t>
      </w:r>
      <w:r>
        <w:rPr>
          <w:szCs w:val="22"/>
        </w:rPr>
        <w:t xml:space="preserve">, the docket was terminated by Commission Order, making the proposal to close the docket moot. </w:t>
      </w:r>
      <w:r w:rsidR="00E01F57">
        <w:rPr>
          <w:szCs w:val="22"/>
        </w:rPr>
        <w:t xml:space="preserve"> </w:t>
      </w:r>
      <w:r w:rsidRPr="009B59BE" w:rsidR="0056691E">
        <w:rPr>
          <w:i/>
          <w:iCs/>
          <w:szCs w:val="22"/>
        </w:rPr>
        <w:t>See</w:t>
      </w:r>
      <w:r w:rsidR="0056691E">
        <w:rPr>
          <w:szCs w:val="22"/>
        </w:rPr>
        <w:t xml:space="preserve"> </w:t>
      </w:r>
      <w:r>
        <w:rPr>
          <w:i/>
          <w:iCs/>
        </w:rPr>
        <w:t>Expanding Consumers’ Video Navigation Choices; Commercial Availability of Navigation Devices</w:t>
      </w:r>
      <w:r>
        <w:t>, MB Docket No. 16-42 and CS Docket No. 97-80</w:t>
      </w:r>
      <w:r>
        <w:rPr>
          <w:spacing w:val="-2"/>
        </w:rPr>
        <w:t xml:space="preserve">, Report and Order, </w:t>
      </w:r>
      <w:r w:rsidRPr="009B59BE">
        <w:rPr>
          <w:spacing w:val="-2"/>
        </w:rPr>
        <w:t>FCC 20-</w:t>
      </w:r>
      <w:r w:rsidRPr="009B59BE" w:rsidR="00E01F57">
        <w:rPr>
          <w:spacing w:val="-2"/>
        </w:rPr>
        <w:t xml:space="preserve">124 </w:t>
      </w:r>
      <w:r w:rsidRPr="009B59BE">
        <w:rPr>
          <w:spacing w:val="-2"/>
        </w:rPr>
        <w:t xml:space="preserve">(Sep. </w:t>
      </w:r>
      <w:r w:rsidRPr="00E01F57" w:rsidR="00E01F57">
        <w:rPr>
          <w:spacing w:val="-2"/>
        </w:rPr>
        <w:t>4</w:t>
      </w:r>
      <w:r w:rsidRPr="00E01F57">
        <w:rPr>
          <w:spacing w:val="-2"/>
        </w:rPr>
        <w:t>, 2020).</w:t>
      </w:r>
    </w:p>
  </w:footnote>
  <w:footnote w:id="16">
    <w:p w:rsidR="004E6863" w:rsidP="004E6863" w14:paraId="4BFD56BF" w14:textId="77777777">
      <w:pPr>
        <w:pStyle w:val="FootnoteText"/>
      </w:pPr>
      <w:r>
        <w:rPr>
          <w:rStyle w:val="FootnoteReference"/>
        </w:rPr>
        <w:footnoteRef/>
      </w:r>
      <w:r>
        <w:t xml:space="preserve"> </w:t>
      </w:r>
      <w:r w:rsidRPr="00545C13">
        <w:t xml:space="preserve">Comments of Sennheiser Electronic Corporation, Comments of Shure Incorporated, Comments of </w:t>
      </w:r>
      <w:r w:rsidRPr="00545C13">
        <w:t>Lectrosonics</w:t>
      </w:r>
      <w:r w:rsidRPr="00545C13">
        <w:t xml:space="preserve">, Inc., Comments of Edgar C. </w:t>
      </w:r>
      <w:r w:rsidRPr="00545C13">
        <w:t>Reihl</w:t>
      </w:r>
      <w:r w:rsidRPr="00545C13">
        <w:t xml:space="preserve">, P.E. </w:t>
      </w:r>
    </w:p>
  </w:footnote>
  <w:footnote w:id="17">
    <w:p w:rsidR="004E6863" w:rsidP="004E6863" w14:paraId="50F5B6C7" w14:textId="77777777">
      <w:pPr>
        <w:pStyle w:val="FootnoteText"/>
      </w:pPr>
      <w:r>
        <w:rPr>
          <w:rStyle w:val="FootnoteReference"/>
        </w:rPr>
        <w:footnoteRef/>
      </w:r>
      <w:r>
        <w:t xml:space="preserve"> Reply Comments of NAB.</w:t>
      </w:r>
    </w:p>
  </w:footnote>
  <w:footnote w:id="18">
    <w:p w:rsidR="004E6863" w:rsidP="004E6863" w14:paraId="7D71BE84" w14:textId="77777777">
      <w:pPr>
        <w:pStyle w:val="FootnoteText"/>
      </w:pPr>
      <w:r>
        <w:rPr>
          <w:rStyle w:val="FootnoteReference"/>
        </w:rPr>
        <w:footnoteRef/>
      </w:r>
      <w:r>
        <w:t xml:space="preserve"> Reply Comments of ABC Television Affiliates Association, CBS Television Network Affiliates Association, FBC Television Affiliates Association, and NBC Television Affiliates.</w:t>
      </w:r>
    </w:p>
  </w:footnote>
  <w:footnote w:id="19">
    <w:p w:rsidR="543342E0" w:rsidP="543342E0" w14:paraId="6D710C9B" w14:textId="6EBEB09B">
      <w:pPr>
        <w:pStyle w:val="FootnoteText"/>
      </w:pPr>
      <w:r w:rsidRPr="543342E0">
        <w:rPr>
          <w:rStyle w:val="FootnoteReference"/>
        </w:rPr>
        <w:footnoteRef/>
      </w:r>
      <w:r>
        <w:t xml:space="preserve"> Comments of Aerospace and Flight Test Radio Coord. Council, Inc. at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6E3" w:rsidP="00810B6F" w14:paraId="7F55337D" w14:textId="75782AE9">
    <w:pPr>
      <w:pStyle w:val="Header"/>
      <w:rPr>
        <w:b w:val="0"/>
      </w:rPr>
    </w:pPr>
    <w:r>
      <w:tab/>
      <w:t>Federal Communications Commission</w:t>
    </w:r>
    <w:r>
      <w:tab/>
    </w:r>
    <w:r w:rsidRPr="00E36B25">
      <w:t xml:space="preserve">DA </w:t>
    </w:r>
    <w:r w:rsidRPr="00E36B25" w:rsidR="00793816">
      <w:t>20</w:t>
    </w:r>
    <w:r w:rsidRPr="00E36B25" w:rsidR="00645DB7">
      <w:t>-</w:t>
    </w:r>
    <w:r w:rsidRPr="00E36B25" w:rsidR="00E36B25">
      <w:t>1138</w:t>
    </w:r>
  </w:p>
  <w:p w:rsidR="008206E3" w14:paraId="02A53F18" w14:textId="39960B28">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8206E3" w14:paraId="187238C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6E3" w:rsidP="00810B6F" w14:paraId="6AFC98D0" w14:textId="78691921">
    <w:pPr>
      <w:pStyle w:val="Header"/>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2" name="Rectangle 10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rsidR="00F11AEE">
      <w:tab/>
      <w:t>Federal Communications Commission</w:t>
    </w:r>
    <w:r w:rsidR="00F11AEE">
      <w:tab/>
    </w:r>
    <w:r w:rsidRPr="00E36B25" w:rsidR="00F11AEE">
      <w:rPr>
        <w:spacing w:val="-2"/>
      </w:rPr>
      <w:t xml:space="preserve">DA </w:t>
    </w:r>
    <w:r w:rsidRPr="00E36B25" w:rsidR="0005570F">
      <w:rPr>
        <w:spacing w:val="-2"/>
      </w:rPr>
      <w:t>20</w:t>
    </w:r>
    <w:r w:rsidRPr="00E36B25" w:rsidR="005E22A5">
      <w:rPr>
        <w:spacing w:val="-2"/>
      </w:rPr>
      <w:t>-</w:t>
    </w:r>
    <w:r w:rsidRPr="00E36B25" w:rsidR="00E36B25">
      <w:rPr>
        <w:spacing w:val="-2"/>
      </w:rPr>
      <w:t>1138</w:t>
    </w:r>
  </w:p>
  <w:p w:rsidR="008206E3" w:rsidP="00810B6F" w14:paraId="777F5B12" w14:textId="77777777">
    <w:pPr>
      <w:pStyle w:val="Header"/>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BACA0E1"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FE892E" w14:textId="269A12A8">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00F11AEE">
      <w:tab/>
      <w:t>Federal Communications Commission</w:t>
    </w:r>
    <w:r w:rsidR="00F11AEE">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727A47D4"/>
    <w:lvl w:ilvl="0">
      <w:start w:val="1"/>
      <w:numFmt w:val="decimal"/>
      <w:lvlText w:val="%1."/>
      <w:lvlJc w:val="left"/>
      <w:pPr>
        <w:tabs>
          <w:tab w:val="num" w:pos="1020"/>
        </w:tabs>
        <w:ind w:left="-60" w:firstLine="720"/>
      </w:pPr>
      <w:rPr>
        <w:b w:val="0"/>
        <w:i w:val="0"/>
        <w:sz w:val="22"/>
        <w:szCs w:val="22"/>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7F2475"/>
    <w:multiLevelType w:val="hybridMultilevel"/>
    <w:tmpl w:val="9BE07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 w:numId="8">
    <w:abstractNumId w:val="6"/>
    <w:lvlOverride w:ilvl="0">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E3"/>
    <w:rsid w:val="000244E1"/>
    <w:rsid w:val="00036039"/>
    <w:rsid w:val="00037F90"/>
    <w:rsid w:val="000533C2"/>
    <w:rsid w:val="0005570F"/>
    <w:rsid w:val="00072705"/>
    <w:rsid w:val="000875BF"/>
    <w:rsid w:val="00091DB2"/>
    <w:rsid w:val="00096D8C"/>
    <w:rsid w:val="000A6D72"/>
    <w:rsid w:val="000B5BAA"/>
    <w:rsid w:val="000C0B65"/>
    <w:rsid w:val="000C66D3"/>
    <w:rsid w:val="000C6D08"/>
    <w:rsid w:val="000E05FE"/>
    <w:rsid w:val="000E3D42"/>
    <w:rsid w:val="000F2DB4"/>
    <w:rsid w:val="00115822"/>
    <w:rsid w:val="00122BD5"/>
    <w:rsid w:val="00133F79"/>
    <w:rsid w:val="00134739"/>
    <w:rsid w:val="00145376"/>
    <w:rsid w:val="00172BFB"/>
    <w:rsid w:val="0017358E"/>
    <w:rsid w:val="0017759B"/>
    <w:rsid w:val="001857F7"/>
    <w:rsid w:val="00194A66"/>
    <w:rsid w:val="00194C05"/>
    <w:rsid w:val="001D6BCF"/>
    <w:rsid w:val="001E01CA"/>
    <w:rsid w:val="002232B2"/>
    <w:rsid w:val="002642F4"/>
    <w:rsid w:val="00275CF5"/>
    <w:rsid w:val="002828EB"/>
    <w:rsid w:val="0028301F"/>
    <w:rsid w:val="00283C54"/>
    <w:rsid w:val="00285017"/>
    <w:rsid w:val="002A2D2E"/>
    <w:rsid w:val="002A3656"/>
    <w:rsid w:val="002C00E8"/>
    <w:rsid w:val="002C4743"/>
    <w:rsid w:val="002C4BF9"/>
    <w:rsid w:val="00343749"/>
    <w:rsid w:val="00345046"/>
    <w:rsid w:val="00353586"/>
    <w:rsid w:val="003576A8"/>
    <w:rsid w:val="003660ED"/>
    <w:rsid w:val="003B0550"/>
    <w:rsid w:val="003B2C9A"/>
    <w:rsid w:val="003B694F"/>
    <w:rsid w:val="003C0253"/>
    <w:rsid w:val="003D2DAA"/>
    <w:rsid w:val="003E04C4"/>
    <w:rsid w:val="003F06AE"/>
    <w:rsid w:val="003F171C"/>
    <w:rsid w:val="0040250E"/>
    <w:rsid w:val="00412FC5"/>
    <w:rsid w:val="00422276"/>
    <w:rsid w:val="004242F1"/>
    <w:rsid w:val="00445347"/>
    <w:rsid w:val="00445A00"/>
    <w:rsid w:val="00451B0F"/>
    <w:rsid w:val="00494DF1"/>
    <w:rsid w:val="004B3504"/>
    <w:rsid w:val="004B67A0"/>
    <w:rsid w:val="004C2EE3"/>
    <w:rsid w:val="004C5F2E"/>
    <w:rsid w:val="004C604F"/>
    <w:rsid w:val="004E0098"/>
    <w:rsid w:val="004E4A22"/>
    <w:rsid w:val="004E6863"/>
    <w:rsid w:val="00511968"/>
    <w:rsid w:val="00511B21"/>
    <w:rsid w:val="00517E78"/>
    <w:rsid w:val="00545C13"/>
    <w:rsid w:val="005508B8"/>
    <w:rsid w:val="0055614C"/>
    <w:rsid w:val="0056691E"/>
    <w:rsid w:val="005918E3"/>
    <w:rsid w:val="005A213D"/>
    <w:rsid w:val="005C29D8"/>
    <w:rsid w:val="005D5160"/>
    <w:rsid w:val="005E14C2"/>
    <w:rsid w:val="005E22A5"/>
    <w:rsid w:val="005E30C3"/>
    <w:rsid w:val="005E3339"/>
    <w:rsid w:val="00604C87"/>
    <w:rsid w:val="00607BA5"/>
    <w:rsid w:val="0061180A"/>
    <w:rsid w:val="00626EB6"/>
    <w:rsid w:val="00645DB7"/>
    <w:rsid w:val="00655D03"/>
    <w:rsid w:val="00674610"/>
    <w:rsid w:val="00683388"/>
    <w:rsid w:val="00683F84"/>
    <w:rsid w:val="006A3C63"/>
    <w:rsid w:val="006A6A81"/>
    <w:rsid w:val="006B66B9"/>
    <w:rsid w:val="006F477E"/>
    <w:rsid w:val="006F7393"/>
    <w:rsid w:val="0070224F"/>
    <w:rsid w:val="007115F7"/>
    <w:rsid w:val="00725544"/>
    <w:rsid w:val="0077695A"/>
    <w:rsid w:val="00784FC0"/>
    <w:rsid w:val="00785689"/>
    <w:rsid w:val="00793816"/>
    <w:rsid w:val="0079754B"/>
    <w:rsid w:val="007A1B9D"/>
    <w:rsid w:val="007A1E6D"/>
    <w:rsid w:val="007A2371"/>
    <w:rsid w:val="007B0EB2"/>
    <w:rsid w:val="007F764F"/>
    <w:rsid w:val="00802192"/>
    <w:rsid w:val="00807C36"/>
    <w:rsid w:val="00810B6F"/>
    <w:rsid w:val="008206E3"/>
    <w:rsid w:val="00822CE0"/>
    <w:rsid w:val="00827CE6"/>
    <w:rsid w:val="00841AB1"/>
    <w:rsid w:val="00843929"/>
    <w:rsid w:val="00846927"/>
    <w:rsid w:val="0084719D"/>
    <w:rsid w:val="00853178"/>
    <w:rsid w:val="008868E5"/>
    <w:rsid w:val="00890699"/>
    <w:rsid w:val="008A2D67"/>
    <w:rsid w:val="008C68F1"/>
    <w:rsid w:val="008D5043"/>
    <w:rsid w:val="009041AA"/>
    <w:rsid w:val="00916734"/>
    <w:rsid w:val="00921803"/>
    <w:rsid w:val="00926503"/>
    <w:rsid w:val="00954B66"/>
    <w:rsid w:val="009726D8"/>
    <w:rsid w:val="009764C4"/>
    <w:rsid w:val="00982CED"/>
    <w:rsid w:val="009836AD"/>
    <w:rsid w:val="00990A3C"/>
    <w:rsid w:val="009B59BE"/>
    <w:rsid w:val="009C5DBC"/>
    <w:rsid w:val="009D2428"/>
    <w:rsid w:val="009D62F1"/>
    <w:rsid w:val="009D6BF9"/>
    <w:rsid w:val="009E47E9"/>
    <w:rsid w:val="009E69F3"/>
    <w:rsid w:val="009F76DB"/>
    <w:rsid w:val="00A11347"/>
    <w:rsid w:val="00A2067E"/>
    <w:rsid w:val="00A26FD7"/>
    <w:rsid w:val="00A32C3B"/>
    <w:rsid w:val="00A41736"/>
    <w:rsid w:val="00A45DA0"/>
    <w:rsid w:val="00A45F4F"/>
    <w:rsid w:val="00A600A9"/>
    <w:rsid w:val="00A7455A"/>
    <w:rsid w:val="00A77BCA"/>
    <w:rsid w:val="00AA55B7"/>
    <w:rsid w:val="00AA5B9E"/>
    <w:rsid w:val="00AB2407"/>
    <w:rsid w:val="00AB53DF"/>
    <w:rsid w:val="00AC541A"/>
    <w:rsid w:val="00AF257F"/>
    <w:rsid w:val="00B033D1"/>
    <w:rsid w:val="00B065C3"/>
    <w:rsid w:val="00B07E5C"/>
    <w:rsid w:val="00B34BA1"/>
    <w:rsid w:val="00B610F2"/>
    <w:rsid w:val="00B63D0C"/>
    <w:rsid w:val="00B7130F"/>
    <w:rsid w:val="00B811F7"/>
    <w:rsid w:val="00B96C3D"/>
    <w:rsid w:val="00BA5DC6"/>
    <w:rsid w:val="00BA6196"/>
    <w:rsid w:val="00BB4441"/>
    <w:rsid w:val="00BC3E6C"/>
    <w:rsid w:val="00BC6D8C"/>
    <w:rsid w:val="00C10C72"/>
    <w:rsid w:val="00C31975"/>
    <w:rsid w:val="00C34006"/>
    <w:rsid w:val="00C3747E"/>
    <w:rsid w:val="00C426B1"/>
    <w:rsid w:val="00C44C46"/>
    <w:rsid w:val="00C6127F"/>
    <w:rsid w:val="00C66160"/>
    <w:rsid w:val="00C72103"/>
    <w:rsid w:val="00C721AC"/>
    <w:rsid w:val="00C72DE1"/>
    <w:rsid w:val="00C90D6A"/>
    <w:rsid w:val="00CA247E"/>
    <w:rsid w:val="00CB198A"/>
    <w:rsid w:val="00CB4C08"/>
    <w:rsid w:val="00CC3536"/>
    <w:rsid w:val="00CC4541"/>
    <w:rsid w:val="00CC72B6"/>
    <w:rsid w:val="00CE0835"/>
    <w:rsid w:val="00CF1927"/>
    <w:rsid w:val="00D0218D"/>
    <w:rsid w:val="00D2047D"/>
    <w:rsid w:val="00D25FB5"/>
    <w:rsid w:val="00D40562"/>
    <w:rsid w:val="00D44223"/>
    <w:rsid w:val="00D51237"/>
    <w:rsid w:val="00D771D6"/>
    <w:rsid w:val="00D812E0"/>
    <w:rsid w:val="00D92AE6"/>
    <w:rsid w:val="00DA2529"/>
    <w:rsid w:val="00DA2548"/>
    <w:rsid w:val="00DB130A"/>
    <w:rsid w:val="00DB2EBB"/>
    <w:rsid w:val="00DB2F15"/>
    <w:rsid w:val="00DC0B30"/>
    <w:rsid w:val="00DC10A1"/>
    <w:rsid w:val="00DC655F"/>
    <w:rsid w:val="00DD0B59"/>
    <w:rsid w:val="00DD7EBD"/>
    <w:rsid w:val="00DE1FE7"/>
    <w:rsid w:val="00DE4865"/>
    <w:rsid w:val="00DF6250"/>
    <w:rsid w:val="00DF62B6"/>
    <w:rsid w:val="00DF6B34"/>
    <w:rsid w:val="00E00A69"/>
    <w:rsid w:val="00E01F57"/>
    <w:rsid w:val="00E034DC"/>
    <w:rsid w:val="00E07225"/>
    <w:rsid w:val="00E16406"/>
    <w:rsid w:val="00E34847"/>
    <w:rsid w:val="00E36B25"/>
    <w:rsid w:val="00E43FCC"/>
    <w:rsid w:val="00E52B12"/>
    <w:rsid w:val="00E5409F"/>
    <w:rsid w:val="00E74C92"/>
    <w:rsid w:val="00E75E8F"/>
    <w:rsid w:val="00E9704F"/>
    <w:rsid w:val="00EA4E63"/>
    <w:rsid w:val="00EA735A"/>
    <w:rsid w:val="00EC799D"/>
    <w:rsid w:val="00ED2EC2"/>
    <w:rsid w:val="00EE6488"/>
    <w:rsid w:val="00F021FA"/>
    <w:rsid w:val="00F07173"/>
    <w:rsid w:val="00F111B8"/>
    <w:rsid w:val="00F11AEE"/>
    <w:rsid w:val="00F25F94"/>
    <w:rsid w:val="00F31087"/>
    <w:rsid w:val="00F62E97"/>
    <w:rsid w:val="00F64209"/>
    <w:rsid w:val="00F74EFE"/>
    <w:rsid w:val="00F85352"/>
    <w:rsid w:val="00F93BF5"/>
    <w:rsid w:val="00FB6D69"/>
    <w:rsid w:val="00FC2B1A"/>
    <w:rsid w:val="00FC43E3"/>
    <w:rsid w:val="056624DC"/>
    <w:rsid w:val="057CEBAE"/>
    <w:rsid w:val="08C99A46"/>
    <w:rsid w:val="0DA5D2EE"/>
    <w:rsid w:val="0E554862"/>
    <w:rsid w:val="32706025"/>
    <w:rsid w:val="363F9BAD"/>
    <w:rsid w:val="39FBF6A9"/>
    <w:rsid w:val="3F895EB6"/>
    <w:rsid w:val="3FFA995F"/>
    <w:rsid w:val="41B143C9"/>
    <w:rsid w:val="46E2CD52"/>
    <w:rsid w:val="4E79ACFF"/>
    <w:rsid w:val="54143B11"/>
    <w:rsid w:val="543342E0"/>
    <w:rsid w:val="545A70B5"/>
    <w:rsid w:val="597ACD08"/>
    <w:rsid w:val="63D91597"/>
    <w:rsid w:val="6495BC45"/>
    <w:rsid w:val="6B23DFFD"/>
    <w:rsid w:val="790317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6E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Appel note de bas de p,Style 12,Style 124,Style 13,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8206E3"/>
  </w:style>
  <w:style w:type="character" w:customStyle="1" w:styleId="ParaNumChar">
    <w:name w:val="ParaNum Char"/>
    <w:link w:val="ParaNum"/>
    <w:rsid w:val="008206E3"/>
    <w:rPr>
      <w:snapToGrid w:val="0"/>
      <w:kern w:val="28"/>
      <w:sz w:val="22"/>
    </w:rPr>
  </w:style>
  <w:style w:type="character" w:styleId="CommentReference">
    <w:name w:val="annotation reference"/>
    <w:uiPriority w:val="99"/>
    <w:rsid w:val="004C604F"/>
    <w:rPr>
      <w:sz w:val="16"/>
      <w:szCs w:val="16"/>
    </w:rPr>
  </w:style>
  <w:style w:type="paragraph" w:styleId="CommentText">
    <w:name w:val="annotation text"/>
    <w:basedOn w:val="Normal"/>
    <w:link w:val="CommentTextChar"/>
    <w:uiPriority w:val="99"/>
    <w:rsid w:val="004C604F"/>
    <w:rPr>
      <w:sz w:val="20"/>
    </w:rPr>
  </w:style>
  <w:style w:type="character" w:customStyle="1" w:styleId="CommentTextChar">
    <w:name w:val="Comment Text Char"/>
    <w:link w:val="CommentText"/>
    <w:uiPriority w:val="99"/>
    <w:rsid w:val="004C604F"/>
    <w:rPr>
      <w:snapToGrid w:val="0"/>
      <w:kern w:val="28"/>
    </w:rPr>
  </w:style>
  <w:style w:type="paragraph" w:styleId="CommentSubject">
    <w:name w:val="annotation subject"/>
    <w:basedOn w:val="CommentText"/>
    <w:next w:val="CommentText"/>
    <w:link w:val="CommentSubjectChar"/>
    <w:semiHidden/>
    <w:unhideWhenUsed/>
    <w:rsid w:val="004C604F"/>
    <w:rPr>
      <w:b/>
      <w:bCs/>
    </w:rPr>
  </w:style>
  <w:style w:type="character" w:customStyle="1" w:styleId="CommentSubjectChar">
    <w:name w:val="Comment Subject Char"/>
    <w:link w:val="CommentSubject"/>
    <w:semiHidden/>
    <w:rsid w:val="004C604F"/>
    <w:rPr>
      <w:b/>
      <w:bCs/>
      <w:snapToGrid w:val="0"/>
      <w:kern w:val="28"/>
    </w:rPr>
  </w:style>
  <w:style w:type="paragraph" w:styleId="BalloonText">
    <w:name w:val="Balloon Text"/>
    <w:basedOn w:val="Normal"/>
    <w:link w:val="BalloonTextChar"/>
    <w:semiHidden/>
    <w:unhideWhenUsed/>
    <w:rsid w:val="004C604F"/>
    <w:rPr>
      <w:rFonts w:ascii="Segoe UI" w:hAnsi="Segoe UI" w:cs="Segoe UI"/>
      <w:sz w:val="18"/>
      <w:szCs w:val="18"/>
    </w:rPr>
  </w:style>
  <w:style w:type="character" w:customStyle="1" w:styleId="BalloonTextChar">
    <w:name w:val="Balloon Text Char"/>
    <w:link w:val="BalloonText"/>
    <w:semiHidden/>
    <w:rsid w:val="004C604F"/>
    <w:rPr>
      <w:rFonts w:ascii="Segoe UI" w:hAnsi="Segoe UI" w:cs="Segoe UI"/>
      <w:snapToGrid w:val="0"/>
      <w:kern w:val="28"/>
      <w:sz w:val="18"/>
      <w:szCs w:val="18"/>
    </w:rPr>
  </w:style>
  <w:style w:type="character" w:customStyle="1" w:styleId="UnresolvedMention">
    <w:name w:val="Unresolved Mention"/>
    <w:uiPriority w:val="99"/>
    <w:semiHidden/>
    <w:unhideWhenUsed/>
    <w:rsid w:val="003F0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Zac.Champ@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