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24A9AEC2" w14:textId="2A454157">
      <w:pPr>
        <w:jc w:val="right"/>
        <w:rPr>
          <w:b/>
          <w:sz w:val="24"/>
        </w:rPr>
      </w:pPr>
      <w:r>
        <w:rPr>
          <w:b/>
          <w:sz w:val="24"/>
        </w:rPr>
        <w:t>DA 20-114</w:t>
      </w:r>
    </w:p>
    <w:p w:rsidR="00013A8B" w:rsidP="00013A8B" w14:paraId="1CA2155B" w14:textId="61707639">
      <w:pPr>
        <w:spacing w:before="60"/>
        <w:jc w:val="right"/>
        <w:rPr>
          <w:b/>
          <w:sz w:val="24"/>
        </w:rPr>
      </w:pPr>
      <w:r>
        <w:rPr>
          <w:b/>
          <w:sz w:val="24"/>
        </w:rPr>
        <w:t xml:space="preserve">Released:  </w:t>
      </w:r>
      <w:r w:rsidR="00C41FEE">
        <w:rPr>
          <w:b/>
          <w:sz w:val="24"/>
        </w:rPr>
        <w:t>January 31, 2020</w:t>
      </w:r>
    </w:p>
    <w:p w:rsidR="00C41FEE" w:rsidRPr="00B20363" w:rsidP="00013A8B" w14:paraId="327452CF" w14:textId="77777777">
      <w:pPr>
        <w:spacing w:before="60"/>
        <w:jc w:val="right"/>
        <w:rPr>
          <w:b/>
          <w:sz w:val="24"/>
        </w:rPr>
      </w:pPr>
    </w:p>
    <w:p w:rsidR="00C41FEE" w:rsidRPr="00E80093" w:rsidP="00C41FEE" w14:paraId="385202CF" w14:textId="77777777">
      <w:pPr>
        <w:jc w:val="center"/>
        <w:rPr>
          <w:rFonts w:ascii="Times New Roman Bold" w:hAnsi="Times New Roman Bold"/>
          <w:b/>
          <w:caps/>
          <w:sz w:val="24"/>
          <w:szCs w:val="24"/>
        </w:rPr>
      </w:pPr>
      <w:bookmarkStart w:id="0" w:name="TOChere"/>
      <w:r w:rsidRPr="00E80093">
        <w:rPr>
          <w:b/>
          <w:sz w:val="24"/>
          <w:szCs w:val="24"/>
        </w:rPr>
        <w:t xml:space="preserve">WIRELINE COMPETITION BUREAU </w:t>
      </w:r>
      <w:r w:rsidRPr="00E80093">
        <w:rPr>
          <w:rFonts w:ascii="Times New Roman Bold" w:hAnsi="Times New Roman Bold"/>
          <w:b/>
          <w:caps/>
          <w:sz w:val="24"/>
          <w:szCs w:val="24"/>
        </w:rPr>
        <w:t>releases</w:t>
      </w:r>
    </w:p>
    <w:p w:rsidR="00C41FEE" w:rsidRPr="00E80093" w:rsidP="00C41FEE" w14:paraId="3D429165" w14:textId="77777777">
      <w:pPr>
        <w:spacing w:after="120"/>
        <w:jc w:val="center"/>
        <w:rPr>
          <w:rFonts w:ascii="Times New Roman Bold" w:hAnsi="Times New Roman Bold"/>
          <w:b/>
          <w:caps/>
          <w:sz w:val="24"/>
          <w:szCs w:val="24"/>
        </w:rPr>
      </w:pPr>
      <w:r w:rsidRPr="00E80093">
        <w:rPr>
          <w:rFonts w:ascii="Times New Roman Bold" w:hAnsi="Times New Roman Bold"/>
          <w:b/>
          <w:caps/>
          <w:sz w:val="24"/>
          <w:szCs w:val="24"/>
        </w:rPr>
        <w:t>supplEmental LISTs of counties served by price cap carriers and rate-of-return study areas NEWLY deemed competitive pursuant to competitive market tests for business data services</w:t>
      </w:r>
    </w:p>
    <w:p w:rsidR="00C41FEE" w:rsidRPr="00E80093" w:rsidP="00C41FEE" w14:paraId="3DD0B37F" w14:textId="77777777">
      <w:pPr>
        <w:spacing w:after="120"/>
        <w:jc w:val="center"/>
        <w:rPr>
          <w:b/>
          <w:sz w:val="24"/>
          <w:szCs w:val="24"/>
        </w:rPr>
      </w:pPr>
      <w:r w:rsidRPr="00E80093">
        <w:rPr>
          <w:b/>
          <w:sz w:val="24"/>
          <w:szCs w:val="24"/>
        </w:rPr>
        <w:t>WC Docket Nos. 17-144, 16-143, and 05-25; RM 10593</w:t>
      </w:r>
    </w:p>
    <w:bookmarkEnd w:id="0"/>
    <w:p w:rsidR="00C41FEE" w:rsidRPr="00406566" w:rsidP="00C41FEE" w14:paraId="45D7A758" w14:textId="77777777">
      <w:pPr>
        <w:autoSpaceDE w:val="0"/>
        <w:autoSpaceDN w:val="0"/>
        <w:adjustRightInd w:val="0"/>
        <w:spacing w:after="120"/>
        <w:ind w:firstLine="720"/>
        <w:rPr>
          <w:szCs w:val="22"/>
        </w:rPr>
      </w:pPr>
      <w:r w:rsidRPr="00406566">
        <w:rPr>
          <w:szCs w:val="22"/>
        </w:rPr>
        <w:t xml:space="preserve">By this Public Notice, the Wireline Competition Bureau (Bureau) publicly releases </w:t>
      </w:r>
      <w:r>
        <w:rPr>
          <w:szCs w:val="22"/>
        </w:rPr>
        <w:t xml:space="preserve">supplemental </w:t>
      </w:r>
      <w:r w:rsidRPr="00406566">
        <w:rPr>
          <w:szCs w:val="22"/>
        </w:rPr>
        <w:t>lists of counties served by price cap incumbent local exchange carriers (</w:t>
      </w:r>
      <w:r w:rsidRPr="00406566">
        <w:rPr>
          <w:szCs w:val="22"/>
        </w:rPr>
        <w:t>LECs</w:t>
      </w:r>
      <w:r w:rsidRPr="00406566">
        <w:rPr>
          <w:szCs w:val="22"/>
        </w:rPr>
        <w:t>)</w:t>
      </w:r>
      <w:r>
        <w:rPr>
          <w:szCs w:val="22"/>
        </w:rPr>
        <w:t>,</w:t>
      </w:r>
      <w:r w:rsidRPr="00406566">
        <w:rPr>
          <w:szCs w:val="22"/>
        </w:rPr>
        <w:t xml:space="preserve"> and study areas served by rate-of-return incumbent </w:t>
      </w:r>
      <w:r w:rsidRPr="00406566">
        <w:rPr>
          <w:szCs w:val="22"/>
        </w:rPr>
        <w:t>LECs</w:t>
      </w:r>
      <w:r w:rsidRPr="00406566">
        <w:rPr>
          <w:szCs w:val="22"/>
        </w:rPr>
        <w:t xml:space="preserve"> receiving fixed universal service support</w:t>
      </w:r>
      <w:r>
        <w:rPr>
          <w:szCs w:val="22"/>
        </w:rPr>
        <w:t>,</w:t>
      </w:r>
      <w:r w:rsidRPr="00406566">
        <w:rPr>
          <w:szCs w:val="22"/>
        </w:rPr>
        <w:t xml:space="preserve"> that are newly deemed competitive pursuant to the competitive market test</w:t>
      </w:r>
      <w:r>
        <w:rPr>
          <w:szCs w:val="22"/>
        </w:rPr>
        <w:t>s adopted in the business data services (BDS) proceedings</w:t>
      </w:r>
      <w:r w:rsidRPr="00406566">
        <w:rPr>
          <w:szCs w:val="22"/>
        </w:rPr>
        <w:t>.</w:t>
      </w:r>
      <w:r>
        <w:rPr>
          <w:szCs w:val="22"/>
          <w:vertAlign w:val="superscript"/>
        </w:rPr>
        <w:footnoteReference w:id="3"/>
      </w:r>
      <w:r w:rsidRPr="00406566">
        <w:rPr>
          <w:i/>
          <w:szCs w:val="22"/>
        </w:rPr>
        <w:t xml:space="preserve">  </w:t>
      </w:r>
      <w:r>
        <w:rPr>
          <w:szCs w:val="22"/>
        </w:rPr>
        <w:t xml:space="preserve">These lists are based on updated Form 477 data and supplement the lists of price cap counties deemed competitive, non-competitive, or grandfathered and rate-of-return study areas deemed competitive pursuant to the Commission’s initial competitive market tests.  The supplemental lists of counties and study areas newly deemed competitive are attached as Appendices A and B, respectively.  The supplemental lists, as well as the initial lists, are </w:t>
      </w:r>
      <w:r w:rsidRPr="00406566">
        <w:rPr>
          <w:szCs w:val="22"/>
        </w:rPr>
        <w:t xml:space="preserve">available at: </w:t>
      </w:r>
      <w:bookmarkStart w:id="1" w:name="_Hlk26373110"/>
      <w:hyperlink r:id="rId5" w:history="1">
        <w:r w:rsidRPr="00406566">
          <w:rPr>
            <w:rStyle w:val="Hyperlink"/>
            <w:szCs w:val="22"/>
          </w:rPr>
          <w:t>https://www.fcc.gov/general/bds-competitive-and-noncompetitive-lists</w:t>
        </w:r>
      </w:hyperlink>
      <w:bookmarkEnd w:id="1"/>
      <w:r w:rsidRPr="00406566">
        <w:rPr>
          <w:szCs w:val="22"/>
        </w:rPr>
        <w:t>.</w:t>
      </w:r>
      <w:r>
        <w:rPr>
          <w:rStyle w:val="FootnoteReference"/>
          <w:szCs w:val="22"/>
        </w:rPr>
        <w:footnoteReference w:id="4"/>
      </w:r>
      <w:r w:rsidRPr="00AD45A4">
        <w:rPr>
          <w:szCs w:val="22"/>
        </w:rPr>
        <w:t xml:space="preserve"> </w:t>
      </w:r>
      <w:r>
        <w:rPr>
          <w:szCs w:val="22"/>
        </w:rPr>
        <w:t xml:space="preserve"> </w:t>
      </w:r>
    </w:p>
    <w:p w:rsidR="00C41FEE" w:rsidRPr="00406566" w:rsidP="00C41FEE" w14:paraId="7D3BA5EE" w14:textId="77777777">
      <w:pPr>
        <w:widowControl/>
        <w:autoSpaceDE w:val="0"/>
        <w:autoSpaceDN w:val="0"/>
        <w:adjustRightInd w:val="0"/>
        <w:spacing w:after="120"/>
        <w:ind w:firstLine="720"/>
        <w:rPr>
          <w:szCs w:val="22"/>
        </w:rPr>
      </w:pPr>
      <w:r w:rsidRPr="00406566">
        <w:rPr>
          <w:szCs w:val="22"/>
        </w:rPr>
        <w:t xml:space="preserve">On May 15, 2017, the Bureau announced the public release of a list of counties served by price cap carriers </w:t>
      </w:r>
      <w:r>
        <w:rPr>
          <w:szCs w:val="22"/>
        </w:rPr>
        <w:t xml:space="preserve">(price cap counties) </w:t>
      </w:r>
      <w:r w:rsidRPr="00406566">
        <w:rPr>
          <w:szCs w:val="22"/>
        </w:rPr>
        <w:t xml:space="preserve">that were deemed competitive, non-competitive, or grandfathered pursuant to the initial competitive market test adopted in the </w:t>
      </w:r>
      <w:r w:rsidRPr="00406566">
        <w:rPr>
          <w:i/>
          <w:szCs w:val="22"/>
        </w:rPr>
        <w:t>Price Cap BDS Order</w:t>
      </w:r>
      <w:r w:rsidRPr="00406566">
        <w:rPr>
          <w:szCs w:val="22"/>
        </w:rPr>
        <w:t>.</w:t>
      </w:r>
      <w:r>
        <w:rPr>
          <w:rStyle w:val="FootnoteReference"/>
          <w:szCs w:val="22"/>
        </w:rPr>
        <w:footnoteReference w:id="5"/>
      </w:r>
      <w:r w:rsidRPr="00406566">
        <w:rPr>
          <w:szCs w:val="22"/>
        </w:rPr>
        <w:t xml:space="preserve">  Price cap carriers serving counties deemed competitive or </w:t>
      </w:r>
      <w:r>
        <w:rPr>
          <w:szCs w:val="22"/>
        </w:rPr>
        <w:t xml:space="preserve">in </w:t>
      </w:r>
      <w:r w:rsidRPr="00406566">
        <w:rPr>
          <w:szCs w:val="22"/>
        </w:rPr>
        <w:t xml:space="preserve">grandfathered </w:t>
      </w:r>
      <w:r>
        <w:rPr>
          <w:szCs w:val="22"/>
        </w:rPr>
        <w:t xml:space="preserve">markets with pricing flexibility </w:t>
      </w:r>
      <w:r w:rsidRPr="00406566">
        <w:rPr>
          <w:szCs w:val="22"/>
        </w:rPr>
        <w:t xml:space="preserve">were granted relief from ex ante pricing regulation and tariffing obligations for their </w:t>
      </w:r>
      <w:r w:rsidRPr="00406566">
        <w:rPr>
          <w:szCs w:val="22"/>
        </w:rPr>
        <w:t>DS1</w:t>
      </w:r>
      <w:r w:rsidRPr="00406566">
        <w:rPr>
          <w:szCs w:val="22"/>
        </w:rPr>
        <w:t xml:space="preserve"> and </w:t>
      </w:r>
      <w:r w:rsidRPr="00406566">
        <w:rPr>
          <w:szCs w:val="22"/>
        </w:rPr>
        <w:t>DS3</w:t>
      </w:r>
      <w:r w:rsidRPr="00406566">
        <w:rPr>
          <w:szCs w:val="22"/>
        </w:rPr>
        <w:t xml:space="preserve"> end-user channel </w:t>
      </w:r>
      <w:r w:rsidRPr="00406566">
        <w:rPr>
          <w:szCs w:val="22"/>
        </w:rPr>
        <w:t xml:space="preserve">terminations, and certain other </w:t>
      </w:r>
      <w:r>
        <w:rPr>
          <w:szCs w:val="22"/>
        </w:rPr>
        <w:t>lower-speed BDS</w:t>
      </w:r>
      <w:r w:rsidRPr="00406566">
        <w:rPr>
          <w:szCs w:val="22"/>
        </w:rPr>
        <w:t>.</w:t>
      </w:r>
      <w:r>
        <w:rPr>
          <w:rStyle w:val="FootnoteReference"/>
          <w:szCs w:val="22"/>
        </w:rPr>
        <w:footnoteReference w:id="6"/>
      </w:r>
      <w:r w:rsidRPr="00406566">
        <w:rPr>
          <w:szCs w:val="22"/>
        </w:rPr>
        <w:t xml:space="preserve">  </w:t>
      </w:r>
      <w:r>
        <w:rPr>
          <w:szCs w:val="22"/>
        </w:rPr>
        <w:t>The initial price cap test results were based on</w:t>
      </w:r>
      <w:bookmarkStart w:id="3" w:name="_GoBack"/>
      <w:bookmarkEnd w:id="3"/>
      <w:r>
        <w:rPr>
          <w:szCs w:val="22"/>
        </w:rPr>
        <w:t xml:space="preserve"> data from the 2015 special access data collection and Form 477 data as of December 31, 2016.</w:t>
      </w:r>
      <w:r>
        <w:rPr>
          <w:rStyle w:val="FootnoteReference"/>
          <w:szCs w:val="22"/>
        </w:rPr>
        <w:footnoteReference w:id="7"/>
      </w:r>
      <w:r>
        <w:rPr>
          <w:szCs w:val="22"/>
        </w:rPr>
        <w:t xml:space="preserve">  </w:t>
      </w:r>
      <w:r w:rsidRPr="00406566">
        <w:rPr>
          <w:szCs w:val="22"/>
        </w:rPr>
        <w:t>Pursuant to the initial price cap market test, 1,879 counties were deemed competitive, 1,276 counties were deemed non-competitive, and 69 counties were in grandfathered markets.</w:t>
      </w:r>
      <w:r>
        <w:rPr>
          <w:rStyle w:val="FootnoteReference"/>
          <w:szCs w:val="22"/>
        </w:rPr>
        <w:footnoteReference w:id="8"/>
      </w:r>
      <w:r w:rsidRPr="00406566">
        <w:rPr>
          <w:szCs w:val="22"/>
        </w:rPr>
        <w:t xml:space="preserve">  No parties challenged these results.</w:t>
      </w:r>
      <w:r>
        <w:rPr>
          <w:rStyle w:val="FootnoteReference"/>
          <w:szCs w:val="22"/>
        </w:rPr>
        <w:footnoteReference w:id="9"/>
      </w:r>
      <w:r w:rsidRPr="00406566">
        <w:rPr>
          <w:szCs w:val="22"/>
        </w:rPr>
        <w:t xml:space="preserve"> </w:t>
      </w:r>
    </w:p>
    <w:p w:rsidR="00C41FEE" w:rsidRPr="00406566" w:rsidP="00C41FEE" w14:paraId="7459A494" w14:textId="77777777">
      <w:pPr>
        <w:widowControl/>
        <w:autoSpaceDE w:val="0"/>
        <w:autoSpaceDN w:val="0"/>
        <w:adjustRightInd w:val="0"/>
        <w:spacing w:after="120"/>
        <w:ind w:firstLine="720"/>
        <w:rPr>
          <w:szCs w:val="22"/>
        </w:rPr>
      </w:pPr>
      <w:r w:rsidRPr="00406566">
        <w:rPr>
          <w:szCs w:val="22"/>
        </w:rPr>
        <w:t xml:space="preserve">On </w:t>
      </w:r>
      <w:bookmarkStart w:id="4" w:name="_Hlk29999066"/>
      <w:r w:rsidRPr="00406566">
        <w:rPr>
          <w:szCs w:val="22"/>
        </w:rPr>
        <w:t>October 25, 2018</w:t>
      </w:r>
      <w:bookmarkEnd w:id="4"/>
      <w:r w:rsidRPr="00406566">
        <w:rPr>
          <w:szCs w:val="22"/>
        </w:rPr>
        <w:t xml:space="preserve">, the Bureau released a list of study areas served by rate-of-return carriers </w:t>
      </w:r>
      <w:r>
        <w:rPr>
          <w:szCs w:val="22"/>
        </w:rPr>
        <w:t xml:space="preserve">(rate-of-return study areas) </w:t>
      </w:r>
      <w:r w:rsidRPr="00406566">
        <w:rPr>
          <w:szCs w:val="22"/>
        </w:rPr>
        <w:t xml:space="preserve">receiving fixed universal service support that were deemed competitive pursuant to </w:t>
      </w:r>
      <w:r>
        <w:rPr>
          <w:szCs w:val="22"/>
        </w:rPr>
        <w:t xml:space="preserve">the </w:t>
      </w:r>
      <w:r w:rsidRPr="00406566">
        <w:rPr>
          <w:szCs w:val="22"/>
        </w:rPr>
        <w:t xml:space="preserve">competitive market test adopted in the </w:t>
      </w:r>
      <w:r w:rsidRPr="00406566">
        <w:rPr>
          <w:i/>
          <w:szCs w:val="22"/>
        </w:rPr>
        <w:t>Rate-of-Return BDS Order</w:t>
      </w:r>
      <w:r w:rsidRPr="00406566">
        <w:rPr>
          <w:szCs w:val="22"/>
        </w:rPr>
        <w:t>.</w:t>
      </w:r>
      <w:r>
        <w:rPr>
          <w:rStyle w:val="FootnoteReference"/>
          <w:szCs w:val="22"/>
        </w:rPr>
        <w:footnoteReference w:id="10"/>
      </w:r>
      <w:r w:rsidRPr="00406566">
        <w:rPr>
          <w:szCs w:val="22"/>
        </w:rPr>
        <w:t xml:space="preserve">  Rate-of-return carriers electing incentive regulation for their BDS offerings serving </w:t>
      </w:r>
      <w:r>
        <w:rPr>
          <w:szCs w:val="22"/>
        </w:rPr>
        <w:t xml:space="preserve">competitive </w:t>
      </w:r>
      <w:r w:rsidRPr="00406566">
        <w:rPr>
          <w:szCs w:val="22"/>
        </w:rPr>
        <w:t xml:space="preserve">study areas were granted relief from ex ante pricing regulation and tariffing obligations for </w:t>
      </w:r>
      <w:r>
        <w:rPr>
          <w:szCs w:val="22"/>
        </w:rPr>
        <w:t>time division multiplexing (</w:t>
      </w:r>
      <w:r w:rsidRPr="00406566">
        <w:rPr>
          <w:szCs w:val="22"/>
        </w:rPr>
        <w:t>TDM</w:t>
      </w:r>
      <w:r>
        <w:rPr>
          <w:szCs w:val="22"/>
        </w:rPr>
        <w:t>)-based</w:t>
      </w:r>
      <w:r w:rsidRPr="00406566">
        <w:rPr>
          <w:szCs w:val="22"/>
        </w:rPr>
        <w:t xml:space="preserve"> end-user channel terminations</w:t>
      </w:r>
      <w:r>
        <w:rPr>
          <w:szCs w:val="22"/>
        </w:rPr>
        <w:t xml:space="preserve"> with capacity at or below a </w:t>
      </w:r>
      <w:r>
        <w:rPr>
          <w:szCs w:val="22"/>
        </w:rPr>
        <w:t>DS3</w:t>
      </w:r>
      <w:r w:rsidRPr="00406566">
        <w:rPr>
          <w:szCs w:val="22"/>
        </w:rPr>
        <w:t>.</w:t>
      </w:r>
      <w:r>
        <w:rPr>
          <w:rStyle w:val="FootnoteReference"/>
          <w:szCs w:val="22"/>
        </w:rPr>
        <w:footnoteReference w:id="11"/>
      </w:r>
      <w:r w:rsidRPr="00406566">
        <w:rPr>
          <w:szCs w:val="22"/>
        </w:rPr>
        <w:t xml:space="preserve"> </w:t>
      </w:r>
      <w:r>
        <w:t xml:space="preserve"> </w:t>
      </w:r>
      <w:r w:rsidRPr="00BD7E16">
        <w:t>The test</w:t>
      </w:r>
      <w:r>
        <w:t xml:space="preserve"> results were</w:t>
      </w:r>
      <w:r w:rsidRPr="00BD7E16">
        <w:t xml:space="preserve"> based on Form 477 data as of June 30, 2017.</w:t>
      </w:r>
      <w:r>
        <w:rPr>
          <w:rStyle w:val="FootnoteReference"/>
        </w:rPr>
        <w:footnoteReference w:id="12"/>
      </w:r>
      <w:r>
        <w:t xml:space="preserve">  </w:t>
      </w:r>
      <w:r>
        <w:rPr>
          <w:szCs w:val="22"/>
        </w:rPr>
        <w:t>Pursuant to the initial application of the rate-of-return test</w:t>
      </w:r>
      <w:r w:rsidRPr="00406566">
        <w:rPr>
          <w:szCs w:val="22"/>
        </w:rPr>
        <w:t xml:space="preserve">, </w:t>
      </w:r>
      <w:r>
        <w:rPr>
          <w:szCs w:val="22"/>
        </w:rPr>
        <w:t xml:space="preserve">the Bureau deemed </w:t>
      </w:r>
      <w:r w:rsidRPr="00406566">
        <w:rPr>
          <w:szCs w:val="22"/>
        </w:rPr>
        <w:t xml:space="preserve">16 rate-of-return study areas </w:t>
      </w:r>
      <w:r>
        <w:rPr>
          <w:szCs w:val="22"/>
        </w:rPr>
        <w:t>receiving fixed universal service support to be competitive</w:t>
      </w:r>
      <w:r w:rsidRPr="00406566">
        <w:rPr>
          <w:szCs w:val="22"/>
        </w:rPr>
        <w:t>.</w:t>
      </w:r>
      <w:r>
        <w:rPr>
          <w:rStyle w:val="FootnoteReference"/>
          <w:szCs w:val="22"/>
        </w:rPr>
        <w:footnoteReference w:id="13"/>
      </w:r>
      <w:r w:rsidRPr="00406566">
        <w:rPr>
          <w:szCs w:val="22"/>
        </w:rPr>
        <w:t xml:space="preserve">  No parties challenged those results.</w:t>
      </w:r>
      <w:r>
        <w:rPr>
          <w:rStyle w:val="FootnoteReference"/>
          <w:szCs w:val="22"/>
        </w:rPr>
        <w:footnoteReference w:id="14"/>
      </w:r>
      <w:r w:rsidRPr="00406566">
        <w:rPr>
          <w:szCs w:val="22"/>
        </w:rPr>
        <w:t xml:space="preserve">    </w:t>
      </w:r>
    </w:p>
    <w:p w:rsidR="00C41FEE" w:rsidP="00C41FEE" w14:paraId="2E0BAB31" w14:textId="77777777">
      <w:pPr>
        <w:widowControl/>
        <w:autoSpaceDE w:val="0"/>
        <w:autoSpaceDN w:val="0"/>
        <w:adjustRightInd w:val="0"/>
        <w:spacing w:after="120"/>
        <w:ind w:firstLine="720"/>
        <w:rPr>
          <w:szCs w:val="22"/>
        </w:rPr>
      </w:pPr>
      <w:r w:rsidRPr="00406566">
        <w:rPr>
          <w:szCs w:val="22"/>
        </w:rPr>
        <w:t xml:space="preserve">To ensure that the results of the </w:t>
      </w:r>
      <w:r>
        <w:rPr>
          <w:szCs w:val="22"/>
        </w:rPr>
        <w:t>competitive market</w:t>
      </w:r>
      <w:r w:rsidRPr="00406566">
        <w:rPr>
          <w:szCs w:val="22"/>
        </w:rPr>
        <w:t xml:space="preserve"> tests continue to reflect current market conditions, the Commission directed the Bureau to update the results</w:t>
      </w:r>
      <w:r>
        <w:rPr>
          <w:szCs w:val="22"/>
        </w:rPr>
        <w:t xml:space="preserve"> every three years based on the most recent Form 477 broadband deployment data</w:t>
      </w:r>
      <w:r w:rsidRPr="00736F68">
        <w:rPr>
          <w:szCs w:val="22"/>
        </w:rPr>
        <w:t xml:space="preserve"> </w:t>
      </w:r>
      <w:r>
        <w:rPr>
          <w:szCs w:val="22"/>
        </w:rPr>
        <w:t>submitted by cable operators</w:t>
      </w:r>
      <w:r w:rsidRPr="00406566">
        <w:rPr>
          <w:szCs w:val="22"/>
        </w:rPr>
        <w:t>.</w:t>
      </w:r>
      <w:r>
        <w:rPr>
          <w:rStyle w:val="FootnoteReference"/>
          <w:szCs w:val="22"/>
        </w:rPr>
        <w:footnoteReference w:id="15"/>
      </w:r>
      <w:r>
        <w:rPr>
          <w:szCs w:val="22"/>
        </w:rPr>
        <w:t xml:space="preserve">  For the price cap update, the Commission directed the Bureau to use a modified version of the initial price cap test based on updated Form 477 data.  Under the subsequent price cap test, a </w:t>
      </w:r>
      <w:r w:rsidRPr="00951C76">
        <w:rPr>
          <w:szCs w:val="22"/>
        </w:rPr>
        <w:t>county is deemed competitive</w:t>
      </w:r>
      <w:r>
        <w:rPr>
          <w:szCs w:val="22"/>
        </w:rPr>
        <w:t xml:space="preserve"> </w:t>
      </w:r>
      <w:r w:rsidRPr="00951C76">
        <w:rPr>
          <w:szCs w:val="22"/>
        </w:rPr>
        <w:t>if 75% of the census blocks within the county</w:t>
      </w:r>
      <w:r>
        <w:rPr>
          <w:szCs w:val="22"/>
        </w:rPr>
        <w:t xml:space="preserve"> are reported to have</w:t>
      </w:r>
      <w:r w:rsidRPr="00951C76">
        <w:rPr>
          <w:szCs w:val="22"/>
        </w:rPr>
        <w:t xml:space="preserve"> broadband connection availability by a cable operator.</w:t>
      </w:r>
      <w:r>
        <w:rPr>
          <w:rStyle w:val="FootnoteReference"/>
          <w:szCs w:val="22"/>
        </w:rPr>
        <w:footnoteReference w:id="16"/>
      </w:r>
      <w:r w:rsidRPr="00951C76">
        <w:rPr>
          <w:szCs w:val="22"/>
        </w:rPr>
        <w:t xml:space="preserve"> </w:t>
      </w:r>
      <w:r>
        <w:rPr>
          <w:szCs w:val="22"/>
        </w:rPr>
        <w:t xml:space="preserve"> The Commission also directed the Bureau to re-run the rate-of-return test using updated Form 477 data.</w:t>
      </w:r>
      <w:r>
        <w:rPr>
          <w:rStyle w:val="FootnoteReference"/>
          <w:szCs w:val="22"/>
        </w:rPr>
        <w:footnoteReference w:id="17"/>
      </w:r>
      <w:r>
        <w:rPr>
          <w:szCs w:val="22"/>
        </w:rPr>
        <w:t xml:space="preserve">  Under the rate-of-return test, a</w:t>
      </w:r>
      <w:r w:rsidRPr="00B25744">
        <w:rPr>
          <w:szCs w:val="22"/>
        </w:rPr>
        <w:t xml:space="preserve"> study area </w:t>
      </w:r>
      <w:r>
        <w:rPr>
          <w:szCs w:val="22"/>
        </w:rPr>
        <w:t>is</w:t>
      </w:r>
      <w:r w:rsidRPr="00B25744">
        <w:rPr>
          <w:szCs w:val="22"/>
        </w:rPr>
        <w:t xml:space="preserve"> deemed competitive</w:t>
      </w:r>
      <w:r>
        <w:rPr>
          <w:szCs w:val="22"/>
        </w:rPr>
        <w:t xml:space="preserve"> </w:t>
      </w:r>
      <w:r w:rsidRPr="00B25744">
        <w:rPr>
          <w:szCs w:val="22"/>
        </w:rPr>
        <w:t xml:space="preserve">if 75% of the census blocks within the study area </w:t>
      </w:r>
      <w:r>
        <w:rPr>
          <w:szCs w:val="22"/>
        </w:rPr>
        <w:t>are</w:t>
      </w:r>
      <w:r w:rsidRPr="00B25744">
        <w:rPr>
          <w:szCs w:val="22"/>
        </w:rPr>
        <w:t xml:space="preserve"> served by a cable operator offering a minimum of 10/1 Mbps</w:t>
      </w:r>
      <w:r>
        <w:rPr>
          <w:szCs w:val="22"/>
        </w:rPr>
        <w:t xml:space="preserve"> broadband service.</w:t>
      </w:r>
      <w:r>
        <w:rPr>
          <w:rStyle w:val="FootnoteReference"/>
          <w:szCs w:val="22"/>
        </w:rPr>
        <w:footnoteReference w:id="18"/>
      </w:r>
      <w:r>
        <w:rPr>
          <w:szCs w:val="22"/>
        </w:rPr>
        <w:t xml:space="preserve">  Given the high sunk costs involved in network deployment, the Commission determined that once a price cap </w:t>
      </w:r>
      <w:r>
        <w:rPr>
          <w:szCs w:val="22"/>
        </w:rPr>
        <w:t>county or rate-of-return study area is deemed competitive it would retain its competitive status and not be retested.</w:t>
      </w:r>
      <w:r>
        <w:rPr>
          <w:rStyle w:val="FootnoteReference"/>
          <w:szCs w:val="22"/>
        </w:rPr>
        <w:footnoteReference w:id="19"/>
      </w:r>
      <w:r>
        <w:rPr>
          <w:szCs w:val="22"/>
        </w:rPr>
        <w:t xml:space="preserve">   </w:t>
      </w:r>
    </w:p>
    <w:p w:rsidR="00C41FEE" w:rsidP="00C41FEE" w14:paraId="10B34029" w14:textId="77777777">
      <w:pPr>
        <w:widowControl/>
        <w:autoSpaceDE w:val="0"/>
        <w:autoSpaceDN w:val="0"/>
        <w:adjustRightInd w:val="0"/>
        <w:spacing w:after="120"/>
        <w:ind w:firstLine="720"/>
        <w:rPr>
          <w:szCs w:val="22"/>
        </w:rPr>
      </w:pPr>
      <w:r w:rsidRPr="00406566">
        <w:rPr>
          <w:szCs w:val="22"/>
        </w:rPr>
        <w:t xml:space="preserve">To reduce administrative burdens, the Commission directed the Bureau to </w:t>
      </w:r>
      <w:r>
        <w:rPr>
          <w:szCs w:val="22"/>
        </w:rPr>
        <w:t xml:space="preserve">update the price cap and rate-of-return test results </w:t>
      </w:r>
      <w:r w:rsidRPr="00406566">
        <w:rPr>
          <w:szCs w:val="22"/>
        </w:rPr>
        <w:t>at the same time</w:t>
      </w:r>
      <w:r>
        <w:rPr>
          <w:szCs w:val="22"/>
        </w:rPr>
        <w:t xml:space="preserve"> in 2020</w:t>
      </w:r>
      <w:r w:rsidRPr="00406566">
        <w:rPr>
          <w:szCs w:val="22"/>
        </w:rPr>
        <w:t>.</w:t>
      </w:r>
      <w:r>
        <w:rPr>
          <w:rStyle w:val="FootnoteReference"/>
          <w:szCs w:val="22"/>
        </w:rPr>
        <w:footnoteReference w:id="20"/>
      </w:r>
      <w:r w:rsidRPr="00406566">
        <w:rPr>
          <w:szCs w:val="22"/>
        </w:rPr>
        <w:t xml:space="preserve">  </w:t>
      </w:r>
      <w:r>
        <w:rPr>
          <w:szCs w:val="22"/>
        </w:rPr>
        <w:t>The first three-year update to the price cap test is due in 2020.</w:t>
      </w:r>
      <w:r>
        <w:rPr>
          <w:rStyle w:val="FootnoteReference"/>
          <w:szCs w:val="22"/>
        </w:rPr>
        <w:footnoteReference w:id="21"/>
      </w:r>
      <w:r>
        <w:rPr>
          <w:szCs w:val="22"/>
        </w:rPr>
        <w:t xml:space="preserve">  The initial price cap and rate-of-return updates </w:t>
      </w:r>
      <w:bookmarkStart w:id="6" w:name="_Hlk29810993"/>
      <w:r>
        <w:rPr>
          <w:szCs w:val="22"/>
        </w:rPr>
        <w:t>are also to “coincide with the initial running of the test for rate-of-return carriers electing to convert to incentive regulation as of July 1, 2020.”</w:t>
      </w:r>
      <w:r>
        <w:rPr>
          <w:rStyle w:val="FootnoteReference"/>
          <w:szCs w:val="22"/>
        </w:rPr>
        <w:footnoteReference w:id="22"/>
      </w:r>
      <w:r>
        <w:rPr>
          <w:szCs w:val="22"/>
        </w:rPr>
        <w:t xml:space="preserve">  We have updated the test results at this time to allow eligible rate-of-return carriers to take the steps necessary to elect incentive regulation for their BDS offerings </w:t>
      </w:r>
      <w:bookmarkEnd w:id="6"/>
      <w:r>
        <w:rPr>
          <w:szCs w:val="22"/>
        </w:rPr>
        <w:t>effective July 1, 2020.</w:t>
      </w:r>
      <w:r>
        <w:rPr>
          <w:rStyle w:val="FootnoteReference"/>
          <w:szCs w:val="22"/>
        </w:rPr>
        <w:footnoteReference w:id="23"/>
      </w:r>
      <w:r>
        <w:rPr>
          <w:szCs w:val="22"/>
        </w:rPr>
        <w:t xml:space="preserve">  Releasing this Public Notice now provides these carriers with sufficient time to review the updated test results and to assess whether to elect to convert their BDS offerings to incentive regulation prior to applicable procedural deadlines.</w:t>
      </w:r>
      <w:r>
        <w:rPr>
          <w:rStyle w:val="FootnoteReference"/>
          <w:szCs w:val="22"/>
        </w:rPr>
        <w:footnoteReference w:id="24"/>
      </w:r>
      <w:r>
        <w:rPr>
          <w:szCs w:val="22"/>
        </w:rPr>
        <w:t xml:space="preserve">  This approach also ensures that the price cap update occurs within three years following the effective date of the initial price cap test, as required by the Commission’s rules.</w:t>
      </w:r>
      <w:r>
        <w:rPr>
          <w:rStyle w:val="FootnoteReference"/>
          <w:szCs w:val="22"/>
        </w:rPr>
        <w:footnoteReference w:id="25"/>
      </w:r>
      <w:r>
        <w:rPr>
          <w:szCs w:val="22"/>
        </w:rPr>
        <w:t xml:space="preserve">    </w:t>
      </w:r>
    </w:p>
    <w:p w:rsidR="00C41FEE" w:rsidP="00C41FEE" w14:paraId="47B111B4" w14:textId="77777777">
      <w:pPr>
        <w:widowControl/>
        <w:autoSpaceDE w:val="0"/>
        <w:autoSpaceDN w:val="0"/>
        <w:adjustRightInd w:val="0"/>
        <w:spacing w:after="120"/>
        <w:ind w:firstLine="720"/>
        <w:rPr>
          <w:szCs w:val="22"/>
        </w:rPr>
      </w:pPr>
      <w:bookmarkStart w:id="8" w:name="_Hlk31014615"/>
      <w:r w:rsidRPr="00F96839">
        <w:rPr>
          <w:szCs w:val="22"/>
        </w:rPr>
        <w:t xml:space="preserve">To implement the updates, the Bureau used </w:t>
      </w:r>
      <w:r>
        <w:rPr>
          <w:szCs w:val="22"/>
        </w:rPr>
        <w:t xml:space="preserve">Form 477 data based on cable operators’ </w:t>
      </w:r>
      <w:r w:rsidRPr="00F96839">
        <w:rPr>
          <w:szCs w:val="22"/>
        </w:rPr>
        <w:t>broadband deployment data</w:t>
      </w:r>
      <w:r>
        <w:rPr>
          <w:szCs w:val="22"/>
        </w:rPr>
        <w:t xml:space="preserve"> </w:t>
      </w:r>
      <w:r w:rsidRPr="00F96839">
        <w:rPr>
          <w:szCs w:val="22"/>
        </w:rPr>
        <w:t>as of December 31, 2018</w:t>
      </w:r>
      <w:r>
        <w:rPr>
          <w:szCs w:val="22"/>
        </w:rPr>
        <w:t>, which was released in a public notice on January 8, 2020.</w:t>
      </w:r>
      <w:r>
        <w:rPr>
          <w:rStyle w:val="FootnoteReference"/>
          <w:szCs w:val="22"/>
        </w:rPr>
        <w:footnoteReference w:id="26"/>
      </w:r>
      <w:r>
        <w:rPr>
          <w:szCs w:val="22"/>
        </w:rPr>
        <w:t xml:space="preserve">  The Bureau used these data because they are </w:t>
      </w:r>
      <w:r w:rsidRPr="00F96839">
        <w:rPr>
          <w:szCs w:val="22"/>
        </w:rPr>
        <w:t>the most recent</w:t>
      </w:r>
      <w:r>
        <w:rPr>
          <w:szCs w:val="22"/>
        </w:rPr>
        <w:t xml:space="preserve"> </w:t>
      </w:r>
      <w:r w:rsidRPr="00F96839">
        <w:rPr>
          <w:szCs w:val="22"/>
        </w:rPr>
        <w:t xml:space="preserve">Form 477 </w:t>
      </w:r>
      <w:r>
        <w:rPr>
          <w:szCs w:val="22"/>
        </w:rPr>
        <w:t>data that will be publicly available in time to allow us to complete our analysis before rate-of-return carriers need to begin taking the steps necessary to elect incentive regulation for their BDS offerings in advance of their July 1, 2020 annual access tariff filings</w:t>
      </w:r>
      <w:r w:rsidRPr="00F96839">
        <w:rPr>
          <w:szCs w:val="22"/>
        </w:rPr>
        <w:t>.</w:t>
      </w:r>
      <w:r>
        <w:rPr>
          <w:rStyle w:val="FootnoteReference"/>
          <w:szCs w:val="22"/>
        </w:rPr>
        <w:footnoteReference w:id="27"/>
      </w:r>
      <w:r w:rsidRPr="00F96839">
        <w:rPr>
          <w:szCs w:val="22"/>
        </w:rPr>
        <w:t xml:space="preserve">  </w:t>
      </w:r>
      <w:r>
        <w:rPr>
          <w:szCs w:val="22"/>
        </w:rPr>
        <w:t xml:space="preserve">Based on these data, the Bureau, in coordination with the Office of Economics and </w:t>
      </w:r>
      <w:r>
        <w:rPr>
          <w:szCs w:val="22"/>
        </w:rPr>
        <w:t>Analytics, tested price cap counties that were initially deemed non-competitive pursuant to the initial price cap test and retested rate-of-return study areas receiving fixed universal service support that were not initially deemed competitive pursuant to the rate-of-return test.</w:t>
      </w:r>
      <w:r>
        <w:rPr>
          <w:rStyle w:val="FootnoteReference"/>
          <w:szCs w:val="22"/>
        </w:rPr>
        <w:footnoteReference w:id="28"/>
      </w:r>
      <w:r>
        <w:rPr>
          <w:szCs w:val="22"/>
        </w:rPr>
        <w:t xml:space="preserve">  The Bureau found that seven price cap </w:t>
      </w:r>
      <w:r w:rsidRPr="00A96DB0">
        <w:rPr>
          <w:szCs w:val="22"/>
        </w:rPr>
        <w:t xml:space="preserve">counties </w:t>
      </w:r>
      <w:r>
        <w:rPr>
          <w:szCs w:val="22"/>
        </w:rPr>
        <w:t xml:space="preserve">that were </w:t>
      </w:r>
      <w:r w:rsidRPr="006F59B1">
        <w:rPr>
          <w:szCs w:val="22"/>
        </w:rPr>
        <w:t>previously deemed non-competitive</w:t>
      </w:r>
      <w:r>
        <w:rPr>
          <w:szCs w:val="22"/>
        </w:rPr>
        <w:t xml:space="preserve"> now</w:t>
      </w:r>
      <w:r w:rsidRPr="006F59B1">
        <w:rPr>
          <w:szCs w:val="22"/>
        </w:rPr>
        <w:t xml:space="preserve"> </w:t>
      </w:r>
      <w:r>
        <w:rPr>
          <w:szCs w:val="22"/>
        </w:rPr>
        <w:t xml:space="preserve">meet the competitive threshold.  The price cap-served areas within those counties are therefore </w:t>
      </w:r>
      <w:r w:rsidRPr="00A96DB0">
        <w:rPr>
          <w:szCs w:val="22"/>
        </w:rPr>
        <w:t>deemed competitive</w:t>
      </w:r>
      <w:r>
        <w:rPr>
          <w:szCs w:val="22"/>
        </w:rPr>
        <w:t xml:space="preserve"> effective immediately.</w:t>
      </w:r>
      <w:r>
        <w:rPr>
          <w:rStyle w:val="FootnoteReference"/>
          <w:szCs w:val="22"/>
        </w:rPr>
        <w:footnoteReference w:id="29"/>
      </w:r>
      <w:r>
        <w:rPr>
          <w:szCs w:val="22"/>
        </w:rPr>
        <w:t xml:space="preserve">  The Bureau also found that seven additional</w:t>
      </w:r>
      <w:r w:rsidRPr="00A96DB0">
        <w:rPr>
          <w:szCs w:val="22"/>
        </w:rPr>
        <w:t xml:space="preserve"> </w:t>
      </w:r>
      <w:r>
        <w:rPr>
          <w:szCs w:val="22"/>
        </w:rPr>
        <w:t xml:space="preserve">rate-of-return study areas receiving fixed universal service support meet the applicable threshold and are therefore </w:t>
      </w:r>
      <w:r w:rsidRPr="00A96DB0">
        <w:rPr>
          <w:szCs w:val="22"/>
        </w:rPr>
        <w:t>deemed competitive</w:t>
      </w:r>
      <w:r>
        <w:rPr>
          <w:szCs w:val="22"/>
        </w:rPr>
        <w:t>, effective upon the carrier’s election of incentive regulation and July 1, 2020 annual access tariff filings.</w:t>
      </w:r>
      <w:r>
        <w:rPr>
          <w:rStyle w:val="FootnoteReference"/>
          <w:szCs w:val="22"/>
        </w:rPr>
        <w:footnoteReference w:id="30"/>
      </w:r>
      <w:r>
        <w:rPr>
          <w:szCs w:val="22"/>
        </w:rPr>
        <w:t xml:space="preserve">  </w:t>
      </w:r>
      <w:bookmarkEnd w:id="8"/>
    </w:p>
    <w:p w:rsidR="00C41FEE" w:rsidRPr="00406566" w:rsidP="00C41FEE" w14:paraId="6F00F1B1" w14:textId="77777777">
      <w:pPr>
        <w:widowControl/>
        <w:autoSpaceDE w:val="0"/>
        <w:autoSpaceDN w:val="0"/>
        <w:adjustRightInd w:val="0"/>
        <w:spacing w:after="120"/>
        <w:ind w:firstLine="720"/>
        <w:rPr>
          <w:szCs w:val="22"/>
        </w:rPr>
      </w:pPr>
      <w:r>
        <w:rPr>
          <w:szCs w:val="22"/>
        </w:rPr>
        <w:t>The lists of price cap counties and rate-of-return study areas deemed newly competitive pursuant to the updated test results are</w:t>
      </w:r>
      <w:r w:rsidRPr="00406566">
        <w:rPr>
          <w:szCs w:val="22"/>
        </w:rPr>
        <w:t xml:space="preserve"> attached </w:t>
      </w:r>
      <w:r>
        <w:rPr>
          <w:szCs w:val="22"/>
        </w:rPr>
        <w:t xml:space="preserve">as Appendices A and B, respectively, </w:t>
      </w:r>
      <w:r w:rsidRPr="00406566">
        <w:rPr>
          <w:szCs w:val="22"/>
        </w:rPr>
        <w:t>and</w:t>
      </w:r>
      <w:r>
        <w:rPr>
          <w:szCs w:val="22"/>
        </w:rPr>
        <w:t xml:space="preserve"> are also </w:t>
      </w:r>
      <w:r w:rsidRPr="00406566">
        <w:rPr>
          <w:szCs w:val="22"/>
        </w:rPr>
        <w:t>posted on the Commission’s website.</w:t>
      </w:r>
      <w:r>
        <w:rPr>
          <w:rStyle w:val="FootnoteReference"/>
          <w:szCs w:val="22"/>
        </w:rPr>
        <w:footnoteReference w:id="31"/>
      </w:r>
      <w:r>
        <w:rPr>
          <w:szCs w:val="22"/>
        </w:rPr>
        <w:t xml:space="preserve"> </w:t>
      </w:r>
      <w:r w:rsidRPr="00406566">
        <w:rPr>
          <w:szCs w:val="22"/>
        </w:rPr>
        <w:t xml:space="preserve"> Parties wishing to challenge these </w:t>
      </w:r>
      <w:r>
        <w:rPr>
          <w:szCs w:val="22"/>
        </w:rPr>
        <w:t xml:space="preserve">updated test </w:t>
      </w:r>
      <w:r w:rsidRPr="00406566">
        <w:rPr>
          <w:szCs w:val="22"/>
        </w:rPr>
        <w:t>results may file a petition for reconsideration with the Bureau or an application for review with the Commission.</w:t>
      </w:r>
      <w:r>
        <w:rPr>
          <w:rStyle w:val="FootnoteReference"/>
          <w:szCs w:val="22"/>
        </w:rPr>
        <w:footnoteReference w:id="32"/>
      </w:r>
      <w:r w:rsidRPr="00406566">
        <w:rPr>
          <w:szCs w:val="22"/>
        </w:rPr>
        <w:t xml:space="preserve">  </w:t>
      </w:r>
      <w:r>
        <w:rPr>
          <w:szCs w:val="22"/>
        </w:rPr>
        <w:t>Pending any challenges to these results, the newly deemed competitive price cap counties and rate-of-return study areas will not be retested in subsequent three-year updates.</w:t>
      </w:r>
      <w:r>
        <w:rPr>
          <w:rStyle w:val="FootnoteReference"/>
          <w:szCs w:val="22"/>
        </w:rPr>
        <w:footnoteReference w:id="33"/>
      </w:r>
      <w:r>
        <w:rPr>
          <w:szCs w:val="22"/>
        </w:rPr>
        <w:t xml:space="preserve">  </w:t>
      </w:r>
      <w:r w:rsidRPr="00B57EEE">
        <w:rPr>
          <w:szCs w:val="22"/>
        </w:rPr>
        <w:t xml:space="preserve">These lists supplement the </w:t>
      </w:r>
      <w:r>
        <w:rPr>
          <w:szCs w:val="22"/>
        </w:rPr>
        <w:t xml:space="preserve">lists of price cap counties and rate-of-return study areas deemed competitive pursuant to the initial competitive market tests which are also </w:t>
      </w:r>
      <w:r w:rsidRPr="00B57EEE">
        <w:rPr>
          <w:szCs w:val="22"/>
        </w:rPr>
        <w:t>available</w:t>
      </w:r>
      <w:r>
        <w:rPr>
          <w:szCs w:val="22"/>
        </w:rPr>
        <w:t xml:space="preserve"> on the Commission’s website.</w:t>
      </w:r>
      <w:r>
        <w:rPr>
          <w:rStyle w:val="FootnoteReference"/>
          <w:szCs w:val="22"/>
        </w:rPr>
        <w:footnoteReference w:id="34"/>
      </w:r>
    </w:p>
    <w:p w:rsidR="00C41FEE" w:rsidRPr="00406566" w:rsidP="00C41FEE" w14:paraId="12450233" w14:textId="77777777">
      <w:pPr>
        <w:widowControl/>
        <w:autoSpaceDE w:val="0"/>
        <w:autoSpaceDN w:val="0"/>
        <w:adjustRightInd w:val="0"/>
        <w:spacing w:after="120"/>
        <w:ind w:firstLine="720"/>
        <w:rPr>
          <w:snapToGrid/>
          <w:szCs w:val="22"/>
        </w:rPr>
      </w:pPr>
      <w:r w:rsidRPr="00406566">
        <w:rPr>
          <w:szCs w:val="22"/>
        </w:rPr>
        <w:t xml:space="preserve">For further information, please contact Christopher Koves, Pricing Policy Division, Wireline Competition Bureau, at (202) 418-8209 or via email at </w:t>
      </w:r>
      <w:hyperlink r:id="rId6" w:history="1">
        <w:r w:rsidRPr="00406566">
          <w:rPr>
            <w:rStyle w:val="Hyperlink"/>
            <w:szCs w:val="22"/>
          </w:rPr>
          <w:t>Christopher.Koves@fcc.gov</w:t>
        </w:r>
      </w:hyperlink>
      <w:r w:rsidRPr="00406566">
        <w:rPr>
          <w:szCs w:val="22"/>
        </w:rPr>
        <w:t>.</w:t>
      </w:r>
    </w:p>
    <w:p w:rsidR="00C41FEE" w:rsidRPr="00406566" w:rsidP="00C41FEE" w14:paraId="7C720B68" w14:textId="77777777">
      <w:pPr>
        <w:autoSpaceDE w:val="0"/>
        <w:autoSpaceDN w:val="0"/>
        <w:adjustRightInd w:val="0"/>
        <w:spacing w:after="120"/>
        <w:jc w:val="center"/>
        <w:rPr>
          <w:b/>
          <w:bCs/>
          <w:szCs w:val="22"/>
        </w:rPr>
      </w:pPr>
      <w:r w:rsidRPr="00406566">
        <w:rPr>
          <w:b/>
          <w:bCs/>
          <w:szCs w:val="22"/>
        </w:rPr>
        <w:t>– FCC –</w:t>
      </w:r>
    </w:p>
    <w:p w:rsidR="00C41FEE" w:rsidRPr="00406566" w:rsidP="00C41FEE" w14:paraId="3E2C8D6B" w14:textId="77777777">
      <w:pPr>
        <w:widowControl/>
        <w:rPr>
          <w:b/>
          <w:bCs/>
          <w:szCs w:val="22"/>
        </w:rPr>
      </w:pPr>
      <w:r w:rsidRPr="00406566">
        <w:rPr>
          <w:b/>
          <w:bCs/>
          <w:szCs w:val="22"/>
        </w:rPr>
        <w:br w:type="page"/>
      </w:r>
    </w:p>
    <w:p w:rsidR="00C41FEE" w:rsidRPr="00660795" w:rsidP="00C41FEE" w14:paraId="4E3A066E" w14:textId="77777777">
      <w:pPr>
        <w:autoSpaceDE w:val="0"/>
        <w:autoSpaceDN w:val="0"/>
        <w:adjustRightInd w:val="0"/>
        <w:jc w:val="center"/>
        <w:rPr>
          <w:b/>
          <w:szCs w:val="22"/>
          <w:u w:val="single"/>
        </w:rPr>
      </w:pPr>
      <w:r w:rsidRPr="00660795">
        <w:rPr>
          <w:b/>
          <w:szCs w:val="22"/>
          <w:u w:val="single"/>
        </w:rPr>
        <w:t>APPENDIX A</w:t>
      </w:r>
    </w:p>
    <w:p w:rsidR="00C41FEE" w:rsidRPr="00660795" w:rsidP="00C41FEE" w14:paraId="23158B85" w14:textId="77777777">
      <w:pPr>
        <w:autoSpaceDE w:val="0"/>
        <w:autoSpaceDN w:val="0"/>
        <w:adjustRightInd w:val="0"/>
        <w:jc w:val="center"/>
        <w:rPr>
          <w:b/>
          <w:szCs w:val="22"/>
          <w:u w:val="single"/>
        </w:rPr>
      </w:pPr>
    </w:p>
    <w:p w:rsidR="00C41FEE" w:rsidRPr="00660795" w:rsidP="00C41FEE" w14:paraId="0C9633D4" w14:textId="77777777">
      <w:pPr>
        <w:rPr>
          <w:b/>
          <w:szCs w:val="22"/>
        </w:rPr>
      </w:pPr>
      <w:r w:rsidRPr="00660795">
        <w:rPr>
          <w:b/>
          <w:szCs w:val="22"/>
        </w:rPr>
        <w:t xml:space="preserve">Price Cap Counties Deemed Newly Competitive </w:t>
      </w:r>
      <w:r>
        <w:rPr>
          <w:b/>
          <w:szCs w:val="22"/>
        </w:rPr>
        <w:t>Effective</w:t>
      </w:r>
      <w:r w:rsidRPr="00660795">
        <w:rPr>
          <w:b/>
          <w:szCs w:val="22"/>
        </w:rPr>
        <w:t xml:space="preserve"> January </w:t>
      </w:r>
      <w:r>
        <w:rPr>
          <w:b/>
          <w:szCs w:val="22"/>
        </w:rPr>
        <w:t xml:space="preserve">31, </w:t>
      </w:r>
      <w:r w:rsidRPr="00660795">
        <w:rPr>
          <w:b/>
          <w:szCs w:val="22"/>
        </w:rPr>
        <w:t>2020</w:t>
      </w:r>
    </w:p>
    <w:p w:rsidR="00C41FEE" w:rsidRPr="004E58C1" w:rsidP="00C41FEE" w14:paraId="794EFC91" w14:textId="77777777">
      <w:pPr>
        <w:rPr>
          <w:sz w:val="20"/>
        </w:rPr>
      </w:pPr>
    </w:p>
    <w:p w:rsidR="00C41FEE" w:rsidRPr="004E58C1" w:rsidP="00C41FEE" w14:paraId="663C3B7D" w14:textId="77777777">
      <w:pPr>
        <w:rPr>
          <w:b/>
          <w:sz w:val="20"/>
          <w:u w:val="single"/>
        </w:rPr>
      </w:pPr>
      <w:r w:rsidRPr="004E58C1">
        <w:rPr>
          <w:b/>
          <w:sz w:val="20"/>
          <w:u w:val="single"/>
        </w:rPr>
        <w:t>FIPS</w:t>
      </w:r>
      <w:r w:rsidRPr="004E58C1">
        <w:rPr>
          <w:b/>
          <w:sz w:val="20"/>
          <w:u w:val="single"/>
        </w:rPr>
        <w:tab/>
        <w:t>State</w:t>
      </w:r>
      <w:r w:rsidRPr="004E58C1">
        <w:rPr>
          <w:b/>
          <w:sz w:val="20"/>
          <w:u w:val="single"/>
        </w:rPr>
        <w:tab/>
        <w:t xml:space="preserve">County or </w:t>
      </w:r>
      <w:r>
        <w:rPr>
          <w:b/>
          <w:sz w:val="20"/>
          <w:u w:val="single"/>
        </w:rPr>
        <w:t>C</w:t>
      </w:r>
      <w:r w:rsidRPr="004E58C1">
        <w:rPr>
          <w:b/>
          <w:sz w:val="20"/>
          <w:u w:val="single"/>
        </w:rPr>
        <w:t>ounty</w:t>
      </w:r>
      <w:r>
        <w:rPr>
          <w:b/>
          <w:sz w:val="20"/>
          <w:u w:val="single"/>
        </w:rPr>
        <w:t>-E</w:t>
      </w:r>
      <w:r w:rsidRPr="004E58C1">
        <w:rPr>
          <w:b/>
          <w:sz w:val="20"/>
          <w:u w:val="single"/>
        </w:rPr>
        <w:t>quivalent</w:t>
      </w:r>
    </w:p>
    <w:p w:rsidR="00C41FEE" w:rsidRPr="0092032F" w:rsidP="00C41FEE" w14:paraId="2FC30B25" w14:textId="77777777">
      <w:pPr>
        <w:rPr>
          <w:sz w:val="20"/>
        </w:rPr>
      </w:pPr>
      <w:r w:rsidRPr="0092032F">
        <w:rPr>
          <w:sz w:val="20"/>
        </w:rPr>
        <w:t>21013</w:t>
      </w:r>
      <w:r w:rsidRPr="0092032F">
        <w:rPr>
          <w:sz w:val="20"/>
        </w:rPr>
        <w:tab/>
        <w:t>KY</w:t>
      </w:r>
      <w:r w:rsidRPr="0092032F">
        <w:rPr>
          <w:sz w:val="20"/>
        </w:rPr>
        <w:tab/>
        <w:t>Bell County</w:t>
      </w:r>
    </w:p>
    <w:p w:rsidR="00C41FEE" w:rsidRPr="0092032F" w:rsidP="00C41FEE" w14:paraId="688F5106" w14:textId="77777777">
      <w:pPr>
        <w:rPr>
          <w:sz w:val="20"/>
        </w:rPr>
      </w:pPr>
      <w:r w:rsidRPr="0092032F">
        <w:rPr>
          <w:sz w:val="20"/>
        </w:rPr>
        <w:t>21071</w:t>
      </w:r>
      <w:r w:rsidRPr="0092032F">
        <w:rPr>
          <w:sz w:val="20"/>
        </w:rPr>
        <w:tab/>
        <w:t>KY</w:t>
      </w:r>
      <w:r w:rsidRPr="0092032F">
        <w:rPr>
          <w:sz w:val="20"/>
        </w:rPr>
        <w:tab/>
        <w:t>Floyd County</w:t>
      </w:r>
    </w:p>
    <w:p w:rsidR="00C41FEE" w:rsidRPr="0092032F" w:rsidP="00C41FEE" w14:paraId="5D243110" w14:textId="77777777">
      <w:pPr>
        <w:rPr>
          <w:sz w:val="20"/>
        </w:rPr>
      </w:pPr>
      <w:r w:rsidRPr="0092032F">
        <w:rPr>
          <w:sz w:val="20"/>
        </w:rPr>
        <w:t>21095</w:t>
      </w:r>
      <w:r w:rsidRPr="0092032F">
        <w:rPr>
          <w:sz w:val="20"/>
        </w:rPr>
        <w:tab/>
        <w:t>KY</w:t>
      </w:r>
      <w:r w:rsidRPr="0092032F">
        <w:rPr>
          <w:sz w:val="20"/>
        </w:rPr>
        <w:tab/>
        <w:t>Harlan County</w:t>
      </w:r>
    </w:p>
    <w:p w:rsidR="00C41FEE" w:rsidRPr="0092032F" w:rsidP="00C41FEE" w14:paraId="507B2381" w14:textId="77777777">
      <w:pPr>
        <w:rPr>
          <w:sz w:val="20"/>
        </w:rPr>
      </w:pPr>
      <w:r w:rsidRPr="0092032F">
        <w:rPr>
          <w:sz w:val="20"/>
        </w:rPr>
        <w:t>21125</w:t>
      </w:r>
      <w:r w:rsidRPr="0092032F">
        <w:rPr>
          <w:sz w:val="20"/>
        </w:rPr>
        <w:tab/>
        <w:t>KY</w:t>
      </w:r>
      <w:r w:rsidRPr="0092032F">
        <w:rPr>
          <w:sz w:val="20"/>
        </w:rPr>
        <w:tab/>
        <w:t>Laurel County</w:t>
      </w:r>
    </w:p>
    <w:p w:rsidR="00C41FEE" w:rsidRPr="0092032F" w:rsidP="00C41FEE" w14:paraId="1F0DECE6" w14:textId="77777777">
      <w:pPr>
        <w:rPr>
          <w:sz w:val="20"/>
        </w:rPr>
      </w:pPr>
      <w:r w:rsidRPr="0092032F">
        <w:rPr>
          <w:sz w:val="20"/>
        </w:rPr>
        <w:t>21153</w:t>
      </w:r>
      <w:r w:rsidRPr="0092032F">
        <w:rPr>
          <w:sz w:val="20"/>
        </w:rPr>
        <w:tab/>
        <w:t>KY</w:t>
      </w:r>
      <w:r w:rsidRPr="0092032F">
        <w:rPr>
          <w:sz w:val="20"/>
        </w:rPr>
        <w:tab/>
        <w:t>Magoffin County</w:t>
      </w:r>
    </w:p>
    <w:p w:rsidR="00C41FEE" w:rsidRPr="0092032F" w:rsidP="00C41FEE" w14:paraId="7445EFA5" w14:textId="77777777">
      <w:pPr>
        <w:rPr>
          <w:sz w:val="20"/>
        </w:rPr>
      </w:pPr>
      <w:r w:rsidRPr="0092032F">
        <w:rPr>
          <w:sz w:val="20"/>
        </w:rPr>
        <w:t>35009</w:t>
      </w:r>
      <w:r w:rsidRPr="0092032F">
        <w:rPr>
          <w:sz w:val="20"/>
        </w:rPr>
        <w:tab/>
        <w:t>NM</w:t>
      </w:r>
      <w:r w:rsidRPr="0092032F">
        <w:rPr>
          <w:sz w:val="20"/>
        </w:rPr>
        <w:tab/>
        <w:t>Curry County</w:t>
      </w:r>
    </w:p>
    <w:p w:rsidR="00C41FEE" w:rsidRPr="0092032F" w:rsidP="00C41FEE" w14:paraId="3A0780B5" w14:textId="77777777">
      <w:pPr>
        <w:rPr>
          <w:sz w:val="20"/>
        </w:rPr>
      </w:pPr>
      <w:r w:rsidRPr="0092032F">
        <w:rPr>
          <w:sz w:val="20"/>
        </w:rPr>
        <w:t>47185</w:t>
      </w:r>
      <w:r w:rsidRPr="0092032F">
        <w:rPr>
          <w:sz w:val="20"/>
        </w:rPr>
        <w:tab/>
        <w:t>TN</w:t>
      </w:r>
      <w:r w:rsidRPr="0092032F">
        <w:rPr>
          <w:sz w:val="20"/>
        </w:rPr>
        <w:tab/>
        <w:t>White County</w:t>
      </w:r>
    </w:p>
    <w:p w:rsidR="00C41FEE" w:rsidRPr="004E58C1" w:rsidP="00C41FEE" w14:paraId="4CE16BA8" w14:textId="77777777">
      <w:pPr>
        <w:widowControl/>
        <w:rPr>
          <w:sz w:val="20"/>
        </w:rPr>
      </w:pPr>
      <w:r w:rsidRPr="004E58C1">
        <w:rPr>
          <w:sz w:val="20"/>
        </w:rPr>
        <w:br w:type="page"/>
      </w:r>
    </w:p>
    <w:p w:rsidR="00C41FEE" w:rsidRPr="00660795" w:rsidP="00C41FEE" w14:paraId="7EEBE5F1" w14:textId="77777777">
      <w:pPr>
        <w:autoSpaceDE w:val="0"/>
        <w:autoSpaceDN w:val="0"/>
        <w:adjustRightInd w:val="0"/>
        <w:jc w:val="center"/>
        <w:rPr>
          <w:b/>
          <w:szCs w:val="22"/>
          <w:u w:val="single"/>
        </w:rPr>
      </w:pPr>
      <w:r w:rsidRPr="00660795">
        <w:rPr>
          <w:b/>
          <w:szCs w:val="22"/>
          <w:u w:val="single"/>
        </w:rPr>
        <w:t>APPENDIX B</w:t>
      </w:r>
    </w:p>
    <w:p w:rsidR="00C41FEE" w:rsidRPr="00660795" w:rsidP="00C41FEE" w14:paraId="3AE14D8E" w14:textId="77777777">
      <w:pPr>
        <w:rPr>
          <w:b/>
          <w:szCs w:val="22"/>
        </w:rPr>
      </w:pPr>
    </w:p>
    <w:p w:rsidR="00C41FEE" w:rsidRPr="00660795" w:rsidP="00C41FEE" w14:paraId="706915ED" w14:textId="77777777">
      <w:pPr>
        <w:rPr>
          <w:b/>
          <w:szCs w:val="22"/>
        </w:rPr>
      </w:pPr>
      <w:r w:rsidRPr="00660795">
        <w:rPr>
          <w:b/>
          <w:szCs w:val="22"/>
        </w:rPr>
        <w:t xml:space="preserve">Rate-of-Return Study Areas Deemed Newly Competitive </w:t>
      </w:r>
      <w:r>
        <w:rPr>
          <w:b/>
          <w:szCs w:val="22"/>
        </w:rPr>
        <w:t xml:space="preserve">Effective Upon </w:t>
      </w:r>
      <w:r w:rsidRPr="00433A87">
        <w:rPr>
          <w:b/>
          <w:szCs w:val="22"/>
        </w:rPr>
        <w:t xml:space="preserve">July 1, 2020 </w:t>
      </w:r>
      <w:r>
        <w:rPr>
          <w:b/>
          <w:szCs w:val="22"/>
        </w:rPr>
        <w:t>Tariff Filing Electing Incentive Regulation for Business Data Services</w:t>
      </w:r>
    </w:p>
    <w:p w:rsidR="00C41FEE" w:rsidRPr="004E58C1" w:rsidP="00C41FEE" w14:paraId="0A7B2108" w14:textId="77777777">
      <w:pPr>
        <w:rPr>
          <w:b/>
          <w:sz w:val="20"/>
        </w:rPr>
      </w:pPr>
    </w:p>
    <w:tbl>
      <w:tblPr>
        <w:tblW w:w="7650" w:type="dxa"/>
        <w:tblLook w:val="04A0"/>
      </w:tblPr>
      <w:tblGrid>
        <w:gridCol w:w="1710"/>
        <w:gridCol w:w="1164"/>
        <w:gridCol w:w="3960"/>
        <w:gridCol w:w="816"/>
      </w:tblGrid>
      <w:tr w14:paraId="5694D25C" w14:textId="77777777" w:rsidTr="00B74389">
        <w:tblPrEx>
          <w:tblW w:w="7650" w:type="dxa"/>
          <w:tblLook w:val="04A0"/>
        </w:tblPrEx>
        <w:trPr>
          <w:trHeight w:val="255"/>
        </w:trPr>
        <w:tc>
          <w:tcPr>
            <w:tcW w:w="1710" w:type="dxa"/>
            <w:tcBorders>
              <w:top w:val="nil"/>
              <w:left w:val="nil"/>
              <w:bottom w:val="single" w:sz="4" w:space="0" w:color="auto"/>
              <w:right w:val="nil"/>
            </w:tcBorders>
            <w:shd w:val="clear" w:color="auto" w:fill="auto"/>
            <w:noWrap/>
            <w:vAlign w:val="bottom"/>
            <w:hideMark/>
          </w:tcPr>
          <w:p w:rsidR="00C41FEE" w:rsidRPr="004E58C1" w:rsidP="00B74389" w14:paraId="30AEF42B" w14:textId="77777777">
            <w:pPr>
              <w:rPr>
                <w:b/>
                <w:bCs/>
                <w:sz w:val="20"/>
              </w:rPr>
            </w:pPr>
            <w:r w:rsidRPr="004E58C1">
              <w:rPr>
                <w:b/>
                <w:bCs/>
                <w:sz w:val="20"/>
              </w:rPr>
              <w:t xml:space="preserve">Carrier </w:t>
            </w:r>
            <w:r>
              <w:rPr>
                <w:b/>
                <w:bCs/>
                <w:sz w:val="20"/>
              </w:rPr>
              <w:t>T</w:t>
            </w:r>
            <w:r w:rsidRPr="004E58C1">
              <w:rPr>
                <w:b/>
                <w:bCs/>
                <w:sz w:val="20"/>
              </w:rPr>
              <w:t>ype</w:t>
            </w:r>
          </w:p>
        </w:tc>
        <w:tc>
          <w:tcPr>
            <w:tcW w:w="1170" w:type="dxa"/>
            <w:tcBorders>
              <w:top w:val="nil"/>
              <w:left w:val="nil"/>
              <w:bottom w:val="single" w:sz="4" w:space="0" w:color="auto"/>
              <w:right w:val="nil"/>
            </w:tcBorders>
          </w:tcPr>
          <w:p w:rsidR="00C41FEE" w:rsidRPr="004E58C1" w:rsidP="00B74389" w14:paraId="42D9DB4E" w14:textId="77777777">
            <w:pPr>
              <w:rPr>
                <w:b/>
                <w:bCs/>
                <w:sz w:val="20"/>
              </w:rPr>
            </w:pPr>
            <w:r>
              <w:rPr>
                <w:b/>
                <w:bCs/>
                <w:sz w:val="20"/>
              </w:rPr>
              <w:t>State</w:t>
            </w:r>
          </w:p>
        </w:tc>
        <w:tc>
          <w:tcPr>
            <w:tcW w:w="3960" w:type="dxa"/>
            <w:tcBorders>
              <w:top w:val="nil"/>
              <w:left w:val="nil"/>
              <w:bottom w:val="single" w:sz="4" w:space="0" w:color="auto"/>
              <w:right w:val="nil"/>
            </w:tcBorders>
            <w:shd w:val="clear" w:color="auto" w:fill="auto"/>
            <w:noWrap/>
            <w:vAlign w:val="bottom"/>
            <w:hideMark/>
          </w:tcPr>
          <w:p w:rsidR="00C41FEE" w:rsidRPr="004E58C1" w:rsidP="00B74389" w14:paraId="3ABF1654" w14:textId="77777777">
            <w:pPr>
              <w:rPr>
                <w:b/>
                <w:bCs/>
                <w:sz w:val="20"/>
              </w:rPr>
            </w:pPr>
            <w:r w:rsidRPr="004E58C1">
              <w:rPr>
                <w:b/>
                <w:bCs/>
                <w:sz w:val="20"/>
              </w:rPr>
              <w:t xml:space="preserve">Holding </w:t>
            </w:r>
            <w:r>
              <w:rPr>
                <w:b/>
                <w:bCs/>
                <w:sz w:val="20"/>
              </w:rPr>
              <w:t>C</w:t>
            </w:r>
            <w:r w:rsidRPr="004E58C1">
              <w:rPr>
                <w:b/>
                <w:bCs/>
                <w:sz w:val="20"/>
              </w:rPr>
              <w:t xml:space="preserve">ompany </w:t>
            </w:r>
            <w:r>
              <w:rPr>
                <w:b/>
                <w:bCs/>
                <w:sz w:val="20"/>
              </w:rPr>
              <w:t>N</w:t>
            </w:r>
            <w:r w:rsidRPr="004E58C1">
              <w:rPr>
                <w:b/>
                <w:bCs/>
                <w:sz w:val="20"/>
              </w:rPr>
              <w:t>ame</w:t>
            </w:r>
          </w:p>
        </w:tc>
        <w:tc>
          <w:tcPr>
            <w:tcW w:w="810" w:type="dxa"/>
            <w:tcBorders>
              <w:top w:val="nil"/>
              <w:left w:val="nil"/>
              <w:bottom w:val="single" w:sz="4" w:space="0" w:color="auto"/>
              <w:right w:val="nil"/>
            </w:tcBorders>
            <w:shd w:val="clear" w:color="auto" w:fill="auto"/>
            <w:noWrap/>
            <w:vAlign w:val="bottom"/>
            <w:hideMark/>
          </w:tcPr>
          <w:p w:rsidR="00C41FEE" w:rsidRPr="004E58C1" w:rsidP="00B74389" w14:paraId="4FC869EF" w14:textId="77777777">
            <w:pPr>
              <w:rPr>
                <w:b/>
                <w:bCs/>
                <w:sz w:val="20"/>
              </w:rPr>
            </w:pPr>
            <w:r w:rsidRPr="004E58C1">
              <w:rPr>
                <w:b/>
                <w:bCs/>
                <w:sz w:val="20"/>
              </w:rPr>
              <w:t>SAC</w:t>
            </w:r>
          </w:p>
        </w:tc>
      </w:tr>
      <w:tr w14:paraId="4B8E7605" w14:textId="77777777" w:rsidTr="00B74389">
        <w:tblPrEx>
          <w:tblW w:w="7650" w:type="dxa"/>
          <w:tblLook w:val="04A0"/>
        </w:tblPrEx>
        <w:trPr>
          <w:trHeight w:val="255"/>
        </w:trPr>
        <w:tc>
          <w:tcPr>
            <w:tcW w:w="1710" w:type="dxa"/>
            <w:tcBorders>
              <w:top w:val="single" w:sz="4" w:space="0" w:color="auto"/>
              <w:left w:val="nil"/>
              <w:right w:val="nil"/>
            </w:tcBorders>
            <w:shd w:val="clear" w:color="auto" w:fill="auto"/>
            <w:noWrap/>
            <w:vAlign w:val="bottom"/>
            <w:hideMark/>
          </w:tcPr>
          <w:p w:rsidR="00C41FEE" w:rsidRPr="002E6BF9" w:rsidP="00B74389" w14:paraId="2656F9C7" w14:textId="77777777">
            <w:pPr>
              <w:rPr>
                <w:bCs/>
                <w:sz w:val="20"/>
              </w:rPr>
            </w:pPr>
            <w:r w:rsidRPr="002E6BF9">
              <w:rPr>
                <w:bCs/>
                <w:sz w:val="20"/>
              </w:rPr>
              <w:t>Consolidated</w:t>
            </w:r>
            <w:r>
              <w:rPr>
                <w:bCs/>
                <w:sz w:val="20"/>
              </w:rPr>
              <w:t xml:space="preserve"> RoR</w:t>
            </w:r>
          </w:p>
        </w:tc>
        <w:tc>
          <w:tcPr>
            <w:tcW w:w="1170" w:type="dxa"/>
            <w:tcBorders>
              <w:top w:val="single" w:sz="4" w:space="0" w:color="auto"/>
              <w:left w:val="nil"/>
              <w:right w:val="nil"/>
            </w:tcBorders>
          </w:tcPr>
          <w:p w:rsidR="00C41FEE" w:rsidRPr="002E6BF9" w:rsidP="00B74389" w14:paraId="71B8FF69" w14:textId="77777777">
            <w:pPr>
              <w:rPr>
                <w:bCs/>
                <w:sz w:val="20"/>
              </w:rPr>
            </w:pPr>
            <w:r>
              <w:rPr>
                <w:bCs/>
                <w:sz w:val="20"/>
              </w:rPr>
              <w:t>NY</w:t>
            </w:r>
          </w:p>
        </w:tc>
        <w:tc>
          <w:tcPr>
            <w:tcW w:w="3960" w:type="dxa"/>
            <w:tcBorders>
              <w:top w:val="single" w:sz="4" w:space="0" w:color="auto"/>
              <w:left w:val="nil"/>
              <w:right w:val="nil"/>
            </w:tcBorders>
            <w:shd w:val="clear" w:color="auto" w:fill="auto"/>
            <w:noWrap/>
            <w:vAlign w:val="bottom"/>
            <w:hideMark/>
          </w:tcPr>
          <w:p w:rsidR="00C41FEE" w:rsidRPr="002E6BF9" w:rsidP="00B74389" w14:paraId="612B6138" w14:textId="77777777">
            <w:pPr>
              <w:rPr>
                <w:bCs/>
                <w:sz w:val="20"/>
              </w:rPr>
            </w:pPr>
            <w:r w:rsidRPr="002E6BF9">
              <w:rPr>
                <w:bCs/>
                <w:sz w:val="20"/>
              </w:rPr>
              <w:t>Consolidated Communications, Inc.</w:t>
            </w:r>
          </w:p>
        </w:tc>
        <w:tc>
          <w:tcPr>
            <w:tcW w:w="810" w:type="dxa"/>
            <w:tcBorders>
              <w:top w:val="single" w:sz="4" w:space="0" w:color="auto"/>
              <w:left w:val="nil"/>
              <w:right w:val="nil"/>
            </w:tcBorders>
            <w:shd w:val="clear" w:color="auto" w:fill="auto"/>
            <w:noWrap/>
            <w:vAlign w:val="bottom"/>
            <w:hideMark/>
          </w:tcPr>
          <w:p w:rsidR="00C41FEE" w:rsidRPr="002E6BF9" w:rsidP="00B74389" w14:paraId="583D87C5" w14:textId="77777777">
            <w:pPr>
              <w:rPr>
                <w:bCs/>
                <w:sz w:val="20"/>
              </w:rPr>
            </w:pPr>
            <w:r w:rsidRPr="002E6BF9">
              <w:rPr>
                <w:bCs/>
                <w:sz w:val="20"/>
              </w:rPr>
              <w:t>150078</w:t>
            </w:r>
          </w:p>
        </w:tc>
      </w:tr>
      <w:tr w14:paraId="76F639A7" w14:textId="77777777" w:rsidTr="00B74389">
        <w:tblPrEx>
          <w:tblW w:w="7650" w:type="dxa"/>
          <w:tblLook w:val="04A0"/>
        </w:tblPrEx>
        <w:trPr>
          <w:trHeight w:val="255"/>
        </w:trPr>
        <w:tc>
          <w:tcPr>
            <w:tcW w:w="1710" w:type="dxa"/>
            <w:tcBorders>
              <w:top w:val="nil"/>
              <w:left w:val="nil"/>
              <w:right w:val="nil"/>
            </w:tcBorders>
            <w:shd w:val="clear" w:color="auto" w:fill="auto"/>
            <w:noWrap/>
            <w:vAlign w:val="bottom"/>
            <w:hideMark/>
          </w:tcPr>
          <w:p w:rsidR="00C41FEE" w:rsidRPr="002E6BF9" w:rsidP="00B74389" w14:paraId="33527569" w14:textId="77777777">
            <w:pPr>
              <w:rPr>
                <w:bCs/>
                <w:sz w:val="20"/>
              </w:rPr>
            </w:pPr>
            <w:r w:rsidRPr="002E6BF9">
              <w:rPr>
                <w:bCs/>
                <w:sz w:val="20"/>
              </w:rPr>
              <w:t>ACAM</w:t>
            </w:r>
          </w:p>
        </w:tc>
        <w:tc>
          <w:tcPr>
            <w:tcW w:w="1170" w:type="dxa"/>
            <w:tcBorders>
              <w:top w:val="nil"/>
              <w:left w:val="nil"/>
              <w:right w:val="nil"/>
            </w:tcBorders>
          </w:tcPr>
          <w:p w:rsidR="00C41FEE" w:rsidRPr="002E6BF9" w:rsidP="00B74389" w14:paraId="7D6EFD94" w14:textId="77777777">
            <w:pPr>
              <w:rPr>
                <w:bCs/>
                <w:sz w:val="20"/>
              </w:rPr>
            </w:pPr>
            <w:r>
              <w:rPr>
                <w:bCs/>
                <w:sz w:val="20"/>
              </w:rPr>
              <w:t>NY</w:t>
            </w:r>
          </w:p>
        </w:tc>
        <w:tc>
          <w:tcPr>
            <w:tcW w:w="3960" w:type="dxa"/>
            <w:tcBorders>
              <w:top w:val="nil"/>
              <w:left w:val="nil"/>
              <w:right w:val="nil"/>
            </w:tcBorders>
            <w:shd w:val="clear" w:color="auto" w:fill="auto"/>
            <w:noWrap/>
            <w:vAlign w:val="bottom"/>
            <w:hideMark/>
          </w:tcPr>
          <w:p w:rsidR="00C41FEE" w:rsidRPr="002E6BF9" w:rsidP="00B74389" w14:paraId="26031F10" w14:textId="77777777">
            <w:pPr>
              <w:rPr>
                <w:bCs/>
                <w:sz w:val="20"/>
              </w:rPr>
            </w:pPr>
            <w:r w:rsidRPr="002E6BF9">
              <w:rPr>
                <w:bCs/>
                <w:sz w:val="20"/>
              </w:rPr>
              <w:t>Pattersonville</w:t>
            </w:r>
            <w:r w:rsidRPr="002E6BF9">
              <w:rPr>
                <w:bCs/>
                <w:sz w:val="20"/>
              </w:rPr>
              <w:t xml:space="preserve"> Telephone Company (NY)</w:t>
            </w:r>
          </w:p>
        </w:tc>
        <w:tc>
          <w:tcPr>
            <w:tcW w:w="810" w:type="dxa"/>
            <w:tcBorders>
              <w:top w:val="nil"/>
              <w:left w:val="nil"/>
              <w:right w:val="nil"/>
            </w:tcBorders>
            <w:shd w:val="clear" w:color="auto" w:fill="auto"/>
            <w:noWrap/>
            <w:vAlign w:val="bottom"/>
            <w:hideMark/>
          </w:tcPr>
          <w:p w:rsidR="00C41FEE" w:rsidRPr="002E6BF9" w:rsidP="00B74389" w14:paraId="60CB6BDF" w14:textId="77777777">
            <w:pPr>
              <w:rPr>
                <w:bCs/>
                <w:sz w:val="20"/>
              </w:rPr>
            </w:pPr>
            <w:r w:rsidRPr="002E6BF9">
              <w:rPr>
                <w:bCs/>
                <w:sz w:val="20"/>
              </w:rPr>
              <w:t>150116</w:t>
            </w:r>
          </w:p>
        </w:tc>
      </w:tr>
      <w:tr w14:paraId="49459BE0" w14:textId="77777777" w:rsidTr="00B74389">
        <w:tblPrEx>
          <w:tblW w:w="7650" w:type="dxa"/>
          <w:tblLook w:val="04A0"/>
        </w:tblPrEx>
        <w:trPr>
          <w:trHeight w:val="255"/>
        </w:trPr>
        <w:tc>
          <w:tcPr>
            <w:tcW w:w="1710" w:type="dxa"/>
            <w:tcBorders>
              <w:top w:val="nil"/>
              <w:left w:val="nil"/>
              <w:right w:val="nil"/>
            </w:tcBorders>
            <w:shd w:val="clear" w:color="auto" w:fill="auto"/>
            <w:noWrap/>
            <w:vAlign w:val="bottom"/>
            <w:hideMark/>
          </w:tcPr>
          <w:p w:rsidR="00C41FEE" w:rsidRPr="002E6BF9" w:rsidP="00B74389" w14:paraId="5F0EAE3B" w14:textId="77777777">
            <w:pPr>
              <w:rPr>
                <w:bCs/>
                <w:sz w:val="20"/>
              </w:rPr>
            </w:pPr>
            <w:r w:rsidRPr="002E6BF9">
              <w:rPr>
                <w:bCs/>
                <w:sz w:val="20"/>
              </w:rPr>
              <w:t>ACAM</w:t>
            </w:r>
          </w:p>
        </w:tc>
        <w:tc>
          <w:tcPr>
            <w:tcW w:w="1170" w:type="dxa"/>
            <w:tcBorders>
              <w:top w:val="nil"/>
              <w:left w:val="nil"/>
              <w:right w:val="nil"/>
            </w:tcBorders>
          </w:tcPr>
          <w:p w:rsidR="00C41FEE" w:rsidRPr="002E6BF9" w:rsidP="00B74389" w14:paraId="513F034C" w14:textId="77777777">
            <w:pPr>
              <w:rPr>
                <w:bCs/>
                <w:sz w:val="20"/>
              </w:rPr>
            </w:pPr>
            <w:r>
              <w:rPr>
                <w:bCs/>
                <w:sz w:val="20"/>
              </w:rPr>
              <w:t>NY</w:t>
            </w:r>
          </w:p>
        </w:tc>
        <w:tc>
          <w:tcPr>
            <w:tcW w:w="3960" w:type="dxa"/>
            <w:tcBorders>
              <w:top w:val="nil"/>
              <w:left w:val="nil"/>
              <w:right w:val="nil"/>
            </w:tcBorders>
            <w:shd w:val="clear" w:color="auto" w:fill="auto"/>
            <w:noWrap/>
            <w:vAlign w:val="bottom"/>
            <w:hideMark/>
          </w:tcPr>
          <w:p w:rsidR="00C41FEE" w:rsidRPr="002E6BF9" w:rsidP="00B74389" w14:paraId="796E49BB" w14:textId="77777777">
            <w:pPr>
              <w:rPr>
                <w:bCs/>
                <w:sz w:val="20"/>
              </w:rPr>
            </w:pPr>
            <w:r w:rsidRPr="002E6BF9">
              <w:rPr>
                <w:bCs/>
                <w:sz w:val="20"/>
              </w:rPr>
              <w:t>Telephone and Data Systems, Inc.</w:t>
            </w:r>
          </w:p>
        </w:tc>
        <w:tc>
          <w:tcPr>
            <w:tcW w:w="810" w:type="dxa"/>
            <w:tcBorders>
              <w:top w:val="nil"/>
              <w:left w:val="nil"/>
              <w:right w:val="nil"/>
            </w:tcBorders>
            <w:shd w:val="clear" w:color="auto" w:fill="auto"/>
            <w:noWrap/>
            <w:vAlign w:val="bottom"/>
            <w:hideMark/>
          </w:tcPr>
          <w:p w:rsidR="00C41FEE" w:rsidRPr="002E6BF9" w:rsidP="00B74389" w14:paraId="170F83F2" w14:textId="77777777">
            <w:pPr>
              <w:rPr>
                <w:bCs/>
                <w:sz w:val="20"/>
              </w:rPr>
            </w:pPr>
            <w:r w:rsidRPr="002E6BF9">
              <w:rPr>
                <w:bCs/>
                <w:sz w:val="20"/>
              </w:rPr>
              <w:t>150129</w:t>
            </w:r>
          </w:p>
        </w:tc>
      </w:tr>
      <w:tr w14:paraId="5B3142D1" w14:textId="77777777" w:rsidTr="00B74389">
        <w:tblPrEx>
          <w:tblW w:w="7650" w:type="dxa"/>
          <w:tblLook w:val="04A0"/>
        </w:tblPrEx>
        <w:trPr>
          <w:trHeight w:val="255"/>
        </w:trPr>
        <w:tc>
          <w:tcPr>
            <w:tcW w:w="1710" w:type="dxa"/>
            <w:tcBorders>
              <w:top w:val="nil"/>
              <w:left w:val="nil"/>
              <w:right w:val="nil"/>
            </w:tcBorders>
            <w:shd w:val="clear" w:color="auto" w:fill="auto"/>
            <w:noWrap/>
            <w:vAlign w:val="bottom"/>
            <w:hideMark/>
          </w:tcPr>
          <w:p w:rsidR="00C41FEE" w:rsidRPr="002E6BF9" w:rsidP="00B74389" w14:paraId="0E79CCBA" w14:textId="77777777">
            <w:pPr>
              <w:rPr>
                <w:bCs/>
                <w:sz w:val="20"/>
              </w:rPr>
            </w:pPr>
            <w:r w:rsidRPr="002E6BF9">
              <w:rPr>
                <w:bCs/>
                <w:sz w:val="20"/>
              </w:rPr>
              <w:t>ACAM</w:t>
            </w:r>
          </w:p>
        </w:tc>
        <w:tc>
          <w:tcPr>
            <w:tcW w:w="1170" w:type="dxa"/>
            <w:tcBorders>
              <w:top w:val="nil"/>
              <w:left w:val="nil"/>
              <w:right w:val="nil"/>
            </w:tcBorders>
          </w:tcPr>
          <w:p w:rsidR="00C41FEE" w:rsidRPr="002E6BF9" w:rsidP="00B74389" w14:paraId="71AFA1B5" w14:textId="77777777">
            <w:pPr>
              <w:rPr>
                <w:bCs/>
                <w:sz w:val="20"/>
              </w:rPr>
            </w:pPr>
            <w:r>
              <w:rPr>
                <w:bCs/>
                <w:sz w:val="20"/>
              </w:rPr>
              <w:t>NY</w:t>
            </w:r>
          </w:p>
        </w:tc>
        <w:tc>
          <w:tcPr>
            <w:tcW w:w="3960" w:type="dxa"/>
            <w:tcBorders>
              <w:top w:val="nil"/>
              <w:left w:val="nil"/>
              <w:right w:val="nil"/>
            </w:tcBorders>
            <w:shd w:val="clear" w:color="auto" w:fill="auto"/>
            <w:noWrap/>
            <w:vAlign w:val="bottom"/>
            <w:hideMark/>
          </w:tcPr>
          <w:p w:rsidR="00C41FEE" w:rsidRPr="002E6BF9" w:rsidP="00B74389" w14:paraId="79DB880C" w14:textId="77777777">
            <w:pPr>
              <w:rPr>
                <w:bCs/>
                <w:sz w:val="20"/>
              </w:rPr>
            </w:pPr>
            <w:r w:rsidRPr="002E6BF9">
              <w:rPr>
                <w:bCs/>
                <w:sz w:val="20"/>
              </w:rPr>
              <w:t>Telephone and Data Systems, Inc.</w:t>
            </w:r>
          </w:p>
        </w:tc>
        <w:tc>
          <w:tcPr>
            <w:tcW w:w="810" w:type="dxa"/>
            <w:tcBorders>
              <w:top w:val="nil"/>
              <w:left w:val="nil"/>
              <w:right w:val="nil"/>
            </w:tcBorders>
            <w:shd w:val="clear" w:color="auto" w:fill="auto"/>
            <w:noWrap/>
            <w:vAlign w:val="bottom"/>
            <w:hideMark/>
          </w:tcPr>
          <w:p w:rsidR="00C41FEE" w:rsidRPr="002E6BF9" w:rsidP="00B74389" w14:paraId="75FF38C1" w14:textId="77777777">
            <w:pPr>
              <w:rPr>
                <w:bCs/>
                <w:sz w:val="20"/>
              </w:rPr>
            </w:pPr>
            <w:r w:rsidRPr="002E6BF9">
              <w:rPr>
                <w:bCs/>
                <w:sz w:val="20"/>
              </w:rPr>
              <w:t>150133</w:t>
            </w:r>
          </w:p>
        </w:tc>
      </w:tr>
      <w:tr w14:paraId="56D54D3B" w14:textId="77777777" w:rsidTr="00B74389">
        <w:tblPrEx>
          <w:tblW w:w="7650" w:type="dxa"/>
          <w:tblLook w:val="04A0"/>
        </w:tblPrEx>
        <w:trPr>
          <w:trHeight w:val="255"/>
        </w:trPr>
        <w:tc>
          <w:tcPr>
            <w:tcW w:w="1710" w:type="dxa"/>
            <w:tcBorders>
              <w:top w:val="nil"/>
              <w:left w:val="nil"/>
              <w:right w:val="nil"/>
            </w:tcBorders>
            <w:shd w:val="clear" w:color="auto" w:fill="auto"/>
            <w:noWrap/>
            <w:vAlign w:val="bottom"/>
            <w:hideMark/>
          </w:tcPr>
          <w:p w:rsidR="00C41FEE" w:rsidRPr="002E6BF9" w:rsidP="00B74389" w14:paraId="0BDD2BC3" w14:textId="77777777">
            <w:pPr>
              <w:rPr>
                <w:bCs/>
                <w:sz w:val="20"/>
              </w:rPr>
            </w:pPr>
            <w:r w:rsidRPr="002E6BF9">
              <w:rPr>
                <w:bCs/>
                <w:sz w:val="20"/>
              </w:rPr>
              <w:t>ACAM</w:t>
            </w:r>
          </w:p>
        </w:tc>
        <w:tc>
          <w:tcPr>
            <w:tcW w:w="1170" w:type="dxa"/>
            <w:tcBorders>
              <w:top w:val="nil"/>
              <w:left w:val="nil"/>
              <w:right w:val="nil"/>
            </w:tcBorders>
          </w:tcPr>
          <w:p w:rsidR="00C41FEE" w:rsidRPr="002E6BF9" w:rsidP="00B74389" w14:paraId="3EE49787" w14:textId="77777777">
            <w:pPr>
              <w:rPr>
                <w:bCs/>
                <w:sz w:val="20"/>
              </w:rPr>
            </w:pPr>
            <w:r>
              <w:rPr>
                <w:bCs/>
                <w:sz w:val="20"/>
              </w:rPr>
              <w:t>PA</w:t>
            </w:r>
          </w:p>
        </w:tc>
        <w:tc>
          <w:tcPr>
            <w:tcW w:w="3960" w:type="dxa"/>
            <w:tcBorders>
              <w:top w:val="nil"/>
              <w:left w:val="nil"/>
              <w:right w:val="nil"/>
            </w:tcBorders>
            <w:shd w:val="clear" w:color="auto" w:fill="auto"/>
            <w:noWrap/>
            <w:vAlign w:val="bottom"/>
            <w:hideMark/>
          </w:tcPr>
          <w:p w:rsidR="00C41FEE" w:rsidRPr="002E6BF9" w:rsidP="00B74389" w14:paraId="6295FF04" w14:textId="77777777">
            <w:pPr>
              <w:rPr>
                <w:bCs/>
                <w:sz w:val="20"/>
              </w:rPr>
            </w:pPr>
            <w:r w:rsidRPr="002E6BF9">
              <w:rPr>
                <w:bCs/>
                <w:sz w:val="20"/>
              </w:rPr>
              <w:t>Townes Telecommunications, Inc.</w:t>
            </w:r>
          </w:p>
        </w:tc>
        <w:tc>
          <w:tcPr>
            <w:tcW w:w="810" w:type="dxa"/>
            <w:tcBorders>
              <w:top w:val="nil"/>
              <w:left w:val="nil"/>
              <w:right w:val="nil"/>
            </w:tcBorders>
            <w:shd w:val="clear" w:color="auto" w:fill="auto"/>
            <w:noWrap/>
            <w:vAlign w:val="bottom"/>
            <w:hideMark/>
          </w:tcPr>
          <w:p w:rsidR="00C41FEE" w:rsidRPr="002E6BF9" w:rsidP="00B74389" w14:paraId="2F6528A7" w14:textId="77777777">
            <w:pPr>
              <w:rPr>
                <w:bCs/>
                <w:sz w:val="20"/>
              </w:rPr>
            </w:pPr>
            <w:r w:rsidRPr="002E6BF9">
              <w:rPr>
                <w:bCs/>
                <w:sz w:val="20"/>
              </w:rPr>
              <w:t>170200</w:t>
            </w:r>
          </w:p>
        </w:tc>
      </w:tr>
      <w:tr w14:paraId="12A20B6A" w14:textId="77777777" w:rsidTr="00B74389">
        <w:tblPrEx>
          <w:tblW w:w="7650" w:type="dxa"/>
          <w:tblLook w:val="04A0"/>
        </w:tblPrEx>
        <w:trPr>
          <w:trHeight w:val="255"/>
        </w:trPr>
        <w:tc>
          <w:tcPr>
            <w:tcW w:w="1710" w:type="dxa"/>
            <w:tcBorders>
              <w:top w:val="nil"/>
              <w:left w:val="nil"/>
              <w:right w:val="nil"/>
            </w:tcBorders>
            <w:shd w:val="clear" w:color="auto" w:fill="auto"/>
            <w:noWrap/>
            <w:vAlign w:val="bottom"/>
            <w:hideMark/>
          </w:tcPr>
          <w:p w:rsidR="00C41FEE" w:rsidRPr="002E6BF9" w:rsidP="00B74389" w14:paraId="5000C3F9" w14:textId="77777777">
            <w:pPr>
              <w:rPr>
                <w:bCs/>
                <w:sz w:val="20"/>
              </w:rPr>
            </w:pPr>
            <w:r w:rsidRPr="002E6BF9">
              <w:rPr>
                <w:bCs/>
                <w:sz w:val="20"/>
              </w:rPr>
              <w:t>ACAM</w:t>
            </w:r>
            <w:r w:rsidRPr="002E6BF9">
              <w:rPr>
                <w:bCs/>
                <w:sz w:val="20"/>
              </w:rPr>
              <w:t xml:space="preserve"> II</w:t>
            </w:r>
          </w:p>
        </w:tc>
        <w:tc>
          <w:tcPr>
            <w:tcW w:w="1170" w:type="dxa"/>
            <w:tcBorders>
              <w:top w:val="nil"/>
              <w:left w:val="nil"/>
              <w:right w:val="nil"/>
            </w:tcBorders>
          </w:tcPr>
          <w:p w:rsidR="00C41FEE" w:rsidRPr="002E6BF9" w:rsidP="00B74389" w14:paraId="486B04BE" w14:textId="77777777">
            <w:pPr>
              <w:rPr>
                <w:bCs/>
                <w:sz w:val="20"/>
              </w:rPr>
            </w:pPr>
            <w:r>
              <w:rPr>
                <w:bCs/>
                <w:sz w:val="20"/>
              </w:rPr>
              <w:t>NC</w:t>
            </w:r>
          </w:p>
        </w:tc>
        <w:tc>
          <w:tcPr>
            <w:tcW w:w="3960" w:type="dxa"/>
            <w:tcBorders>
              <w:top w:val="nil"/>
              <w:left w:val="nil"/>
              <w:right w:val="nil"/>
            </w:tcBorders>
            <w:shd w:val="clear" w:color="auto" w:fill="auto"/>
            <w:noWrap/>
            <w:vAlign w:val="bottom"/>
            <w:hideMark/>
          </w:tcPr>
          <w:p w:rsidR="00C41FEE" w:rsidRPr="002E6BF9" w:rsidP="00B74389" w14:paraId="4CA1CC55" w14:textId="77777777">
            <w:pPr>
              <w:rPr>
                <w:bCs/>
                <w:sz w:val="20"/>
              </w:rPr>
            </w:pPr>
            <w:r w:rsidRPr="002E6BF9">
              <w:rPr>
                <w:bCs/>
                <w:sz w:val="20"/>
              </w:rPr>
              <w:t>North-State Telephone Co. (NC)</w:t>
            </w:r>
          </w:p>
        </w:tc>
        <w:tc>
          <w:tcPr>
            <w:tcW w:w="810" w:type="dxa"/>
            <w:tcBorders>
              <w:top w:val="nil"/>
              <w:left w:val="nil"/>
              <w:right w:val="nil"/>
            </w:tcBorders>
            <w:shd w:val="clear" w:color="auto" w:fill="auto"/>
            <w:noWrap/>
            <w:vAlign w:val="bottom"/>
            <w:hideMark/>
          </w:tcPr>
          <w:p w:rsidR="00C41FEE" w:rsidRPr="002E6BF9" w:rsidP="00B74389" w14:paraId="7628B483" w14:textId="77777777">
            <w:pPr>
              <w:rPr>
                <w:bCs/>
                <w:sz w:val="20"/>
              </w:rPr>
            </w:pPr>
            <w:r w:rsidRPr="002E6BF9">
              <w:rPr>
                <w:bCs/>
                <w:sz w:val="20"/>
              </w:rPr>
              <w:t>230491</w:t>
            </w:r>
          </w:p>
        </w:tc>
      </w:tr>
      <w:tr w14:paraId="345A8271" w14:textId="77777777" w:rsidTr="00B74389">
        <w:tblPrEx>
          <w:tblW w:w="7650" w:type="dxa"/>
          <w:tblLook w:val="04A0"/>
        </w:tblPrEx>
        <w:trPr>
          <w:trHeight w:val="255"/>
        </w:trPr>
        <w:tc>
          <w:tcPr>
            <w:tcW w:w="1710" w:type="dxa"/>
            <w:tcBorders>
              <w:top w:val="nil"/>
              <w:left w:val="nil"/>
              <w:right w:val="nil"/>
            </w:tcBorders>
            <w:shd w:val="clear" w:color="auto" w:fill="auto"/>
            <w:noWrap/>
            <w:vAlign w:val="bottom"/>
            <w:hideMark/>
          </w:tcPr>
          <w:p w:rsidR="00C41FEE" w:rsidRPr="002E6BF9" w:rsidP="00B74389" w14:paraId="6D9CA4DE" w14:textId="77777777">
            <w:pPr>
              <w:rPr>
                <w:bCs/>
                <w:sz w:val="20"/>
              </w:rPr>
            </w:pPr>
            <w:r w:rsidRPr="002E6BF9">
              <w:rPr>
                <w:bCs/>
                <w:sz w:val="20"/>
              </w:rPr>
              <w:t>ACAM</w:t>
            </w:r>
          </w:p>
        </w:tc>
        <w:tc>
          <w:tcPr>
            <w:tcW w:w="1170" w:type="dxa"/>
            <w:tcBorders>
              <w:top w:val="nil"/>
              <w:left w:val="nil"/>
              <w:right w:val="nil"/>
            </w:tcBorders>
          </w:tcPr>
          <w:p w:rsidR="00C41FEE" w:rsidRPr="002E6BF9" w:rsidP="00B74389" w14:paraId="2D6DBDCE" w14:textId="77777777">
            <w:pPr>
              <w:rPr>
                <w:bCs/>
                <w:sz w:val="20"/>
              </w:rPr>
            </w:pPr>
            <w:r>
              <w:rPr>
                <w:bCs/>
                <w:sz w:val="20"/>
              </w:rPr>
              <w:t>WI</w:t>
            </w:r>
          </w:p>
        </w:tc>
        <w:tc>
          <w:tcPr>
            <w:tcW w:w="3960" w:type="dxa"/>
            <w:tcBorders>
              <w:top w:val="nil"/>
              <w:left w:val="nil"/>
              <w:right w:val="nil"/>
            </w:tcBorders>
            <w:shd w:val="clear" w:color="auto" w:fill="auto"/>
            <w:noWrap/>
            <w:vAlign w:val="bottom"/>
            <w:hideMark/>
          </w:tcPr>
          <w:p w:rsidR="00C41FEE" w:rsidRPr="002E6BF9" w:rsidP="00B74389" w14:paraId="661743B4" w14:textId="77777777">
            <w:pPr>
              <w:rPr>
                <w:bCs/>
                <w:sz w:val="20"/>
              </w:rPr>
            </w:pPr>
            <w:r w:rsidRPr="002E6BF9">
              <w:rPr>
                <w:bCs/>
                <w:sz w:val="20"/>
              </w:rPr>
              <w:t>Telephone and Data Systems, Inc.</w:t>
            </w:r>
          </w:p>
        </w:tc>
        <w:tc>
          <w:tcPr>
            <w:tcW w:w="810" w:type="dxa"/>
            <w:tcBorders>
              <w:top w:val="nil"/>
              <w:left w:val="nil"/>
              <w:right w:val="nil"/>
            </w:tcBorders>
            <w:shd w:val="clear" w:color="auto" w:fill="auto"/>
            <w:noWrap/>
            <w:vAlign w:val="bottom"/>
            <w:hideMark/>
          </w:tcPr>
          <w:p w:rsidR="00C41FEE" w:rsidRPr="002E6BF9" w:rsidP="00B74389" w14:paraId="258D2F40" w14:textId="77777777">
            <w:pPr>
              <w:rPr>
                <w:bCs/>
                <w:sz w:val="20"/>
              </w:rPr>
            </w:pPr>
            <w:r w:rsidRPr="002E6BF9">
              <w:rPr>
                <w:bCs/>
                <w:sz w:val="20"/>
              </w:rPr>
              <w:t>330968</w:t>
            </w:r>
          </w:p>
        </w:tc>
      </w:tr>
    </w:tbl>
    <w:p w:rsidR="00C41FEE" w:rsidRPr="004E58C1" w:rsidP="00C41FEE" w14:paraId="0F4AFAE0" w14:textId="77777777">
      <w:pPr>
        <w:autoSpaceDE w:val="0"/>
        <w:autoSpaceDN w:val="0"/>
        <w:adjustRightInd w:val="0"/>
        <w:spacing w:after="120"/>
        <w:rPr>
          <w:sz w:val="20"/>
        </w:rPr>
      </w:pPr>
    </w:p>
    <w:p w:rsidR="00C41FEE" w:rsidRPr="00660795" w:rsidP="00C41FEE" w14:paraId="4A872456" w14:textId="77777777">
      <w:pPr>
        <w:autoSpaceDE w:val="0"/>
        <w:autoSpaceDN w:val="0"/>
        <w:adjustRightInd w:val="0"/>
        <w:spacing w:after="120"/>
        <w:rPr>
          <w:szCs w:val="22"/>
        </w:rPr>
      </w:pPr>
    </w:p>
    <w:p w:rsidR="00F96F63" w:rsidP="00F96F63" w14:paraId="6699576F" w14:textId="77777777">
      <w:pPr>
        <w:rPr>
          <w:sz w:val="24"/>
        </w:rPr>
      </w:pPr>
    </w:p>
    <w:p w:rsidR="00930ECF" w:rsidRPr="00930ECF" w:rsidP="00F96F63" w14:paraId="23BC215B"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9E9831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E56BD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4A322A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7DD7B8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1FEE" w14:paraId="03586658" w14:textId="77777777">
      <w:r>
        <w:separator/>
      </w:r>
    </w:p>
  </w:footnote>
  <w:footnote w:type="continuationSeparator" w:id="1">
    <w:p w:rsidR="00C41FEE" w14:paraId="4B1B1AFF" w14:textId="77777777">
      <w:pPr>
        <w:rPr>
          <w:sz w:val="20"/>
        </w:rPr>
      </w:pPr>
      <w:r>
        <w:rPr>
          <w:sz w:val="20"/>
        </w:rPr>
        <w:t xml:space="preserve">(Continued from previous page)  </w:t>
      </w:r>
      <w:r>
        <w:rPr>
          <w:sz w:val="20"/>
        </w:rPr>
        <w:separator/>
      </w:r>
    </w:p>
  </w:footnote>
  <w:footnote w:type="continuationNotice" w:id="2">
    <w:p w:rsidR="00C41FEE" w:rsidP="00910F12" w14:paraId="725FCA29" w14:textId="77777777">
      <w:pPr>
        <w:jc w:val="right"/>
        <w:rPr>
          <w:sz w:val="20"/>
        </w:rPr>
      </w:pPr>
      <w:r>
        <w:rPr>
          <w:sz w:val="20"/>
        </w:rPr>
        <w:t>(continued….)</w:t>
      </w:r>
    </w:p>
  </w:footnote>
  <w:footnote w:id="3">
    <w:p w:rsidR="00C41FEE" w:rsidRPr="00C5756D" w:rsidP="00C41FEE" w14:paraId="3D89E397" w14:textId="77777777">
      <w:pPr>
        <w:autoSpaceDE w:val="0"/>
        <w:autoSpaceDN w:val="0"/>
        <w:adjustRightInd w:val="0"/>
        <w:spacing w:after="120"/>
        <w:rPr>
          <w:color w:val="000000"/>
          <w:sz w:val="20"/>
        </w:rPr>
      </w:pPr>
      <w:r w:rsidRPr="00C5756D">
        <w:rPr>
          <w:rStyle w:val="FootnoteReference"/>
          <w:sz w:val="20"/>
        </w:rPr>
        <w:footnoteRef/>
      </w:r>
      <w:r w:rsidRPr="00C5756D">
        <w:rPr>
          <w:sz w:val="20"/>
        </w:rPr>
        <w:t xml:space="preserve"> </w:t>
      </w:r>
      <w:r w:rsidRPr="00C5756D">
        <w:rPr>
          <w:i/>
          <w:sz w:val="20"/>
        </w:rPr>
        <w:t>See Business Data Services in an Internet Protocol Environment et al</w:t>
      </w:r>
      <w:r w:rsidRPr="00C5756D">
        <w:rPr>
          <w:sz w:val="20"/>
        </w:rPr>
        <w:t>., WC Docket No. 16-143</w:t>
      </w:r>
      <w:r>
        <w:rPr>
          <w:sz w:val="20"/>
        </w:rPr>
        <w:t xml:space="preserve"> et al.</w:t>
      </w:r>
      <w:r w:rsidRPr="00C5756D">
        <w:rPr>
          <w:sz w:val="20"/>
        </w:rPr>
        <w:t>, 32 FCC Rcd 3459</w:t>
      </w:r>
      <w:r>
        <w:rPr>
          <w:sz w:val="20"/>
        </w:rPr>
        <w:t>, 3527-29, paras. 145-152</w:t>
      </w:r>
      <w:r w:rsidRPr="00C5756D">
        <w:rPr>
          <w:sz w:val="20"/>
        </w:rPr>
        <w:t xml:space="preserve"> (2017) (</w:t>
      </w:r>
      <w:r w:rsidRPr="00C5756D">
        <w:rPr>
          <w:i/>
          <w:sz w:val="20"/>
        </w:rPr>
        <w:t>Price Cap BDS Order</w:t>
      </w:r>
      <w:r w:rsidRPr="00C5756D">
        <w:rPr>
          <w:sz w:val="20"/>
        </w:rPr>
        <w:t>)</w:t>
      </w:r>
      <w:r>
        <w:rPr>
          <w:sz w:val="20"/>
        </w:rPr>
        <w:t>,</w:t>
      </w:r>
      <w:r w:rsidRPr="00C5756D">
        <w:rPr>
          <w:sz w:val="20"/>
        </w:rPr>
        <w:t xml:space="preserve"> 47 CFR §</w:t>
      </w:r>
      <w:r>
        <w:rPr>
          <w:sz w:val="20"/>
        </w:rPr>
        <w:t xml:space="preserve"> 69.803(c); </w:t>
      </w:r>
      <w:r w:rsidRPr="00C5756D">
        <w:rPr>
          <w:i/>
          <w:sz w:val="20"/>
        </w:rPr>
        <w:t>Regulation of Business Data Services for Rate-of-Return Local Exchange Carriers et al.</w:t>
      </w:r>
      <w:r w:rsidRPr="00C5756D">
        <w:rPr>
          <w:i/>
          <w:color w:val="000000"/>
          <w:sz w:val="20"/>
        </w:rPr>
        <w:t xml:space="preserve">, </w:t>
      </w:r>
      <w:r w:rsidRPr="00C5756D">
        <w:rPr>
          <w:color w:val="000000"/>
          <w:sz w:val="20"/>
        </w:rPr>
        <w:t>WC Docket No. 17-144</w:t>
      </w:r>
      <w:r>
        <w:rPr>
          <w:color w:val="000000"/>
          <w:sz w:val="20"/>
        </w:rPr>
        <w:t xml:space="preserve"> et al.</w:t>
      </w:r>
      <w:r w:rsidRPr="00C5756D">
        <w:rPr>
          <w:color w:val="000000"/>
          <w:sz w:val="20"/>
        </w:rPr>
        <w:t>, Report and Order, Second Further Notice of Proposed Rulemaking, and Further Notice of Proposed Rulemaking, 33 FCC Rcd 10403</w:t>
      </w:r>
      <w:r>
        <w:rPr>
          <w:color w:val="000000"/>
          <w:sz w:val="20"/>
        </w:rPr>
        <w:t>, 10439-40, paras. 103-104</w:t>
      </w:r>
      <w:r w:rsidRPr="00C5756D">
        <w:rPr>
          <w:color w:val="000000"/>
          <w:sz w:val="20"/>
        </w:rPr>
        <w:t xml:space="preserve"> (2018) (</w:t>
      </w:r>
      <w:r w:rsidRPr="00C5756D">
        <w:rPr>
          <w:i/>
          <w:color w:val="000000"/>
          <w:sz w:val="20"/>
        </w:rPr>
        <w:t>Rate-of-Return BDS Order</w:t>
      </w:r>
      <w:r w:rsidRPr="00C5756D">
        <w:rPr>
          <w:color w:val="000000"/>
          <w:sz w:val="20"/>
        </w:rPr>
        <w:t>)</w:t>
      </w:r>
      <w:r>
        <w:rPr>
          <w:color w:val="000000"/>
          <w:sz w:val="20"/>
        </w:rPr>
        <w:t>,</w:t>
      </w:r>
      <w:r w:rsidRPr="00C5756D">
        <w:rPr>
          <w:sz w:val="20"/>
        </w:rPr>
        <w:t xml:space="preserve"> </w:t>
      </w:r>
      <w:r>
        <w:rPr>
          <w:sz w:val="20"/>
        </w:rPr>
        <w:t xml:space="preserve">47 CFR </w:t>
      </w:r>
      <w:r w:rsidRPr="00C5756D">
        <w:rPr>
          <w:sz w:val="20"/>
        </w:rPr>
        <w:t>§ 61.50(j)</w:t>
      </w:r>
      <w:r>
        <w:rPr>
          <w:sz w:val="20"/>
        </w:rPr>
        <w:t>.</w:t>
      </w:r>
      <w:r w:rsidRPr="00C5756D">
        <w:rPr>
          <w:sz w:val="20"/>
        </w:rPr>
        <w:t xml:space="preserve">  </w:t>
      </w:r>
      <w:r w:rsidRPr="00C5756D">
        <w:rPr>
          <w:color w:val="000000"/>
          <w:sz w:val="20"/>
        </w:rPr>
        <w:t xml:space="preserve"> </w:t>
      </w:r>
    </w:p>
  </w:footnote>
  <w:footnote w:id="4">
    <w:p w:rsidR="00C41FEE" w:rsidP="00C41FEE" w14:paraId="6DECE45B" w14:textId="77777777">
      <w:pPr>
        <w:pStyle w:val="FootnoteText"/>
      </w:pPr>
      <w:r>
        <w:rPr>
          <w:rStyle w:val="FootnoteReference"/>
        </w:rPr>
        <w:footnoteRef/>
      </w:r>
      <w:r>
        <w:t xml:space="preserve"> </w:t>
      </w:r>
      <w:r w:rsidRPr="00D15839">
        <w:t xml:space="preserve">The Commission directed the Bureau to release a public notice </w:t>
      </w:r>
      <w:r>
        <w:t xml:space="preserve">listing newly competitive counties for price cap carriers and study areas for rate-of-return carriers </w:t>
      </w:r>
      <w:r>
        <w:t>and also</w:t>
      </w:r>
      <w:r>
        <w:t xml:space="preserve"> provide this information on the </w:t>
      </w:r>
      <w:r w:rsidRPr="00D15839">
        <w:t>Commission’s website.</w:t>
      </w:r>
      <w:r>
        <w:t xml:space="preserve">  </w:t>
      </w:r>
      <w:r w:rsidRPr="00C5756D">
        <w:rPr>
          <w:i/>
        </w:rPr>
        <w:t>Price Cap BDS Order</w:t>
      </w:r>
      <w:r>
        <w:t>,</w:t>
      </w:r>
      <w:r w:rsidRPr="00C5756D">
        <w:t xml:space="preserve"> </w:t>
      </w:r>
      <w:r>
        <w:t xml:space="preserve">32 FCC Rcd at 3528, para. 151, </w:t>
      </w:r>
      <w:r w:rsidRPr="00C5756D">
        <w:t>47 CFR §</w:t>
      </w:r>
      <w:r>
        <w:t xml:space="preserve"> 69.803(b)(2); </w:t>
      </w:r>
      <w:r w:rsidRPr="008616C5">
        <w:rPr>
          <w:i/>
        </w:rPr>
        <w:t>Rate-of-Return BDS Order</w:t>
      </w:r>
      <w:r>
        <w:t>, 33 FCC Rcd at 10440, para. 104, 47 CFR § 61.50(j).</w:t>
      </w:r>
    </w:p>
  </w:footnote>
  <w:footnote w:id="5">
    <w:p w:rsidR="00C41FEE" w:rsidRPr="00C5756D" w:rsidP="00C41FEE" w14:paraId="3401625B" w14:textId="77777777">
      <w:pPr>
        <w:pStyle w:val="FootnoteText"/>
      </w:pPr>
      <w:r w:rsidRPr="00C5756D">
        <w:rPr>
          <w:rStyle w:val="FootnoteReference"/>
          <w:sz w:val="20"/>
        </w:rPr>
        <w:footnoteRef/>
      </w:r>
      <w:r w:rsidRPr="00C5756D">
        <w:t xml:space="preserve"> </w:t>
      </w:r>
      <w:r w:rsidRPr="00C5756D">
        <w:rPr>
          <w:i/>
        </w:rPr>
        <w:t xml:space="preserve">Wireline Competition Bureau Publicly Releases Lists of Counties Where Lower Speed </w:t>
      </w:r>
      <w:r w:rsidRPr="00C5756D">
        <w:rPr>
          <w:i/>
        </w:rPr>
        <w:t>TDM</w:t>
      </w:r>
      <w:r w:rsidRPr="00C5756D">
        <w:rPr>
          <w:i/>
        </w:rPr>
        <w:t>-Based Business Data Services Are Deemed Competitive, Non-Competitive, or Grandfathered</w:t>
      </w:r>
      <w:r w:rsidRPr="00C5756D">
        <w:t>, WC Docket Nos. 16-143</w:t>
      </w:r>
      <w:r>
        <w:t xml:space="preserve"> et al.</w:t>
      </w:r>
      <w:r w:rsidRPr="00C5756D">
        <w:t>, 32 FCC Rcd 3966, 3966 (WCB 2017)</w:t>
      </w:r>
      <w:r>
        <w:t xml:space="preserve"> (</w:t>
      </w:r>
      <w:r w:rsidRPr="00543577">
        <w:rPr>
          <w:i/>
        </w:rPr>
        <w:t>Study Area List Public Notice</w:t>
      </w:r>
      <w:r>
        <w:t>);</w:t>
      </w:r>
      <w:r w:rsidRPr="00EB7A3C">
        <w:t xml:space="preserve"> FCC, </w:t>
      </w:r>
      <w:r w:rsidRPr="00F25F27">
        <w:rPr>
          <w:i/>
          <w:iCs/>
        </w:rPr>
        <w:t>BDS County Lists</w:t>
      </w:r>
      <w:r w:rsidRPr="00EB7A3C">
        <w:t xml:space="preserve"> (May 15, 2017), </w:t>
      </w:r>
      <w:hyperlink r:id="rId1" w:history="1">
        <w:r w:rsidRPr="00566FA0">
          <w:rPr>
            <w:rStyle w:val="Hyperlink"/>
          </w:rPr>
          <w:t>https://www.fcc.</w:t>
        </w:r>
        <w:r w:rsidRPr="00566FA0">
          <w:rPr>
            <w:rStyle w:val="Hyperlink"/>
          </w:rPr>
          <w:br/>
          <w:t>gov/bds-county-lists</w:t>
        </w:r>
      </w:hyperlink>
      <w:r w:rsidRPr="00C5756D">
        <w:t xml:space="preserve">. </w:t>
      </w:r>
      <w:r>
        <w:t xml:space="preserve"> </w:t>
      </w:r>
      <w:r w:rsidRPr="0027055D">
        <w:t xml:space="preserve">A county was deemed competitive in the initial price cap test if either: (1) 50% of locations with BDS demand within the county </w:t>
      </w:r>
      <w:r>
        <w:t>we</w:t>
      </w:r>
      <w:r w:rsidRPr="0027055D">
        <w:t xml:space="preserve">re within </w:t>
      </w:r>
      <w:r>
        <w:t>a half</w:t>
      </w:r>
      <w:r w:rsidRPr="0027055D">
        <w:t xml:space="preserve"> mile of a location served by a competitive provider based on data from the 2015 special access data collection; or (2) 75% of the census blocks within the county </w:t>
      </w:r>
      <w:r>
        <w:t>had access to</w:t>
      </w:r>
      <w:r w:rsidRPr="0027055D">
        <w:t xml:space="preserve"> broadband </w:t>
      </w:r>
      <w:r>
        <w:t xml:space="preserve">from </w:t>
      </w:r>
      <w:r w:rsidRPr="0027055D">
        <w:t>a cable operator</w:t>
      </w:r>
      <w:r>
        <w:t>,</w:t>
      </w:r>
      <w:r w:rsidRPr="0027055D">
        <w:t xml:space="preserve"> based on Form 477 data as of December 2016. </w:t>
      </w:r>
      <w:r>
        <w:t xml:space="preserve"> 47 CFR § 69.803(b)(1).</w:t>
      </w:r>
      <w:r w:rsidRPr="00524338">
        <w:t xml:space="preserve"> </w:t>
      </w:r>
      <w:r>
        <w:t xml:space="preserve"> </w:t>
      </w:r>
      <w:r w:rsidRPr="00C5756D">
        <w:t xml:space="preserve">A grandfathered market is a “county that does not satisfy the competitive market test set forth in § 69.803 for which a price cap carrier obtained Phase II relief pursuant to § 69.711(c)” prior to June 2017.  47 CFR </w:t>
      </w:r>
      <w:bookmarkStart w:id="2" w:name="_Hlk25658278"/>
      <w:r w:rsidRPr="00C5756D">
        <w:t>§</w:t>
      </w:r>
      <w:bookmarkEnd w:id="2"/>
      <w:r w:rsidRPr="00566FA0">
        <w:t>§</w:t>
      </w:r>
      <w:r w:rsidRPr="00C5756D">
        <w:t xml:space="preserve"> 69.801(e)</w:t>
      </w:r>
      <w:r>
        <w:t>, 69.807(a).</w:t>
      </w:r>
      <w:r w:rsidRPr="00C5756D">
        <w:t xml:space="preserve">    </w:t>
      </w:r>
    </w:p>
  </w:footnote>
  <w:footnote w:id="6">
    <w:p w:rsidR="00C41FEE" w:rsidRPr="00C5756D" w:rsidP="00C41FEE" w14:paraId="34271B18" w14:textId="77777777">
      <w:pPr>
        <w:pStyle w:val="FootnoteText"/>
      </w:pPr>
      <w:r w:rsidRPr="00C5756D">
        <w:rPr>
          <w:rStyle w:val="FootnoteReference"/>
          <w:sz w:val="20"/>
        </w:rPr>
        <w:footnoteRef/>
      </w:r>
      <w:r w:rsidRPr="00C5756D">
        <w:t xml:space="preserve"> 47 CFR §§ 69.803(a), 69.807(a); </w:t>
      </w:r>
      <w:r w:rsidRPr="0037136B">
        <w:rPr>
          <w:i/>
        </w:rPr>
        <w:t>see</w:t>
      </w:r>
      <w:r>
        <w:t xml:space="preserve"> </w:t>
      </w:r>
      <w:r w:rsidRPr="00C5756D">
        <w:rPr>
          <w:i/>
        </w:rPr>
        <w:t>Price Cap BDS Order</w:t>
      </w:r>
      <w:r w:rsidRPr="00C5756D">
        <w:t xml:space="preserve">, 32 FCC Rcd at 3502-27, paras. 94-144.  </w:t>
      </w:r>
    </w:p>
  </w:footnote>
  <w:footnote w:id="7">
    <w:p w:rsidR="00C41FEE" w:rsidP="00C41FEE" w14:paraId="5B473FFC" w14:textId="77777777">
      <w:pPr>
        <w:pStyle w:val="FootnoteText"/>
      </w:pPr>
      <w:r>
        <w:rPr>
          <w:rStyle w:val="FootnoteReference"/>
        </w:rPr>
        <w:footnoteRef/>
      </w:r>
      <w:r>
        <w:t xml:space="preserve"> 47 CFR § 69.803(b)(1).</w:t>
      </w:r>
    </w:p>
  </w:footnote>
  <w:footnote w:id="8">
    <w:p w:rsidR="00C41FEE" w:rsidRPr="00C5756D" w:rsidP="00C41FEE" w14:paraId="576E7F56" w14:textId="77777777">
      <w:pPr>
        <w:pStyle w:val="FootnoteText"/>
      </w:pPr>
      <w:r w:rsidRPr="00C5756D">
        <w:rPr>
          <w:rStyle w:val="FootnoteReference"/>
          <w:sz w:val="20"/>
        </w:rPr>
        <w:footnoteRef/>
      </w:r>
      <w:r w:rsidRPr="00C5756D">
        <w:t xml:space="preserve"> FCC, </w:t>
      </w:r>
      <w:r w:rsidRPr="00C5756D">
        <w:rPr>
          <w:i/>
        </w:rPr>
        <w:t>BDS County Lists</w:t>
      </w:r>
      <w:r>
        <w:rPr>
          <w:i/>
        </w:rPr>
        <w:t xml:space="preserve"> </w:t>
      </w:r>
      <w:r w:rsidRPr="00C5756D">
        <w:t xml:space="preserve">(May 15, 2017), </w:t>
      </w:r>
      <w:hyperlink r:id="rId1" w:history="1">
        <w:r w:rsidRPr="00C5756D">
          <w:rPr>
            <w:rStyle w:val="Hyperlink"/>
          </w:rPr>
          <w:t>https://www.fcc.gov/bds-county-lists</w:t>
        </w:r>
      </w:hyperlink>
      <w:r w:rsidRPr="00C5756D">
        <w:t>.</w:t>
      </w:r>
    </w:p>
  </w:footnote>
  <w:footnote w:id="9">
    <w:p w:rsidR="00C41FEE" w:rsidP="00C41FEE" w14:paraId="4517E972" w14:textId="77777777">
      <w:pPr>
        <w:pStyle w:val="FootnoteText"/>
      </w:pPr>
      <w:r>
        <w:rPr>
          <w:rStyle w:val="FootnoteReference"/>
        </w:rPr>
        <w:footnoteRef/>
      </w:r>
      <w:r>
        <w:t xml:space="preserve"> </w:t>
      </w:r>
      <w:r w:rsidRPr="00EE1986">
        <w:rPr>
          <w:i/>
        </w:rPr>
        <w:t>See Price Cap BDS Order</w:t>
      </w:r>
      <w:r>
        <w:t>, 32 FCC Rcd at 3528, para. 151.</w:t>
      </w:r>
    </w:p>
  </w:footnote>
  <w:footnote w:id="10">
    <w:p w:rsidR="00C41FEE" w:rsidRPr="00C5756D" w:rsidP="00C41FEE" w14:paraId="4163A723" w14:textId="77777777">
      <w:pPr>
        <w:pStyle w:val="FootnoteText"/>
      </w:pPr>
      <w:r w:rsidRPr="00C5756D">
        <w:rPr>
          <w:rStyle w:val="FootnoteReference"/>
          <w:sz w:val="20"/>
        </w:rPr>
        <w:footnoteRef/>
      </w:r>
      <w:r w:rsidRPr="00C5756D">
        <w:t xml:space="preserve"> </w:t>
      </w:r>
      <w:r w:rsidRPr="00C5756D">
        <w:rPr>
          <w:i/>
        </w:rPr>
        <w:t xml:space="preserve">Wireline Competition Bureau Publicly Releases List of Study Areas Deemed Competitive If Rate-of-Return Carriers Elect Incentive Regulation </w:t>
      </w:r>
      <w:r w:rsidRPr="00C5756D">
        <w:rPr>
          <w:i/>
        </w:rPr>
        <w:t>For</w:t>
      </w:r>
      <w:r w:rsidRPr="00C5756D">
        <w:rPr>
          <w:i/>
        </w:rPr>
        <w:t xml:space="preserve"> Those Areas</w:t>
      </w:r>
      <w:r w:rsidRPr="00C5756D">
        <w:t>, WC Docket No. 17-144</w:t>
      </w:r>
      <w:r>
        <w:t xml:space="preserve"> et al., </w:t>
      </w:r>
      <w:r w:rsidRPr="00C5756D">
        <w:t>33 FCC Rcd 10169 (WCB 2018)</w:t>
      </w:r>
      <w:r>
        <w:t xml:space="preserve"> (</w:t>
      </w:r>
      <w:r w:rsidRPr="00F80ACB">
        <w:rPr>
          <w:i/>
        </w:rPr>
        <w:t>Study Area P</w:t>
      </w:r>
      <w:r>
        <w:rPr>
          <w:i/>
        </w:rPr>
        <w:t xml:space="preserve">ublic </w:t>
      </w:r>
      <w:r w:rsidRPr="00F80ACB">
        <w:rPr>
          <w:i/>
        </w:rPr>
        <w:t>N</w:t>
      </w:r>
      <w:r>
        <w:rPr>
          <w:i/>
        </w:rPr>
        <w:t>otice</w:t>
      </w:r>
      <w:r>
        <w:t xml:space="preserve">).  </w:t>
      </w:r>
      <w:r w:rsidRPr="004F785B">
        <w:t xml:space="preserve">A study area is deemed competitive </w:t>
      </w:r>
      <w:r>
        <w:t xml:space="preserve">in the rate-of-return test </w:t>
      </w:r>
      <w:r w:rsidRPr="004F785B">
        <w:t xml:space="preserve">if 75% of the census blocks within the study area are served by a cable operator offering a minimum of 10/1 Mbps broadband service based on Form 477 data.  </w:t>
      </w:r>
      <w:r>
        <w:t>47 CFR § 61.50(j)(1).</w:t>
      </w:r>
    </w:p>
  </w:footnote>
  <w:footnote w:id="11">
    <w:p w:rsidR="00C41FEE" w:rsidRPr="00C5756D" w:rsidP="00C41FEE" w14:paraId="270FB2B2" w14:textId="77777777">
      <w:pPr>
        <w:pStyle w:val="FootnoteText"/>
      </w:pPr>
      <w:r w:rsidRPr="00C5756D">
        <w:rPr>
          <w:rStyle w:val="FootnoteReference"/>
          <w:sz w:val="20"/>
        </w:rPr>
        <w:footnoteRef/>
      </w:r>
      <w:r w:rsidRPr="00C5756D">
        <w:t xml:space="preserve"> 47 CFR § 61.50(k)(2); </w:t>
      </w:r>
      <w:r w:rsidRPr="00C5756D">
        <w:rPr>
          <w:i/>
        </w:rPr>
        <w:t>Rate-of-Return BDS Order</w:t>
      </w:r>
      <w:r w:rsidRPr="00C5756D">
        <w:t xml:space="preserve">, </w:t>
      </w:r>
      <w:bookmarkStart w:id="5" w:name="_Hlk26541056"/>
      <w:r w:rsidRPr="00C5756D">
        <w:t>33 FCC Rcd at 10440</w:t>
      </w:r>
      <w:bookmarkEnd w:id="5"/>
      <w:r w:rsidRPr="00C5756D">
        <w:t xml:space="preserve">, para. 105. </w:t>
      </w:r>
    </w:p>
  </w:footnote>
  <w:footnote w:id="12">
    <w:p w:rsidR="00C41FEE" w:rsidP="00C41FEE" w14:paraId="20472D5C" w14:textId="77777777">
      <w:pPr>
        <w:pStyle w:val="FootnoteText"/>
      </w:pPr>
      <w:r>
        <w:rPr>
          <w:rStyle w:val="FootnoteReference"/>
        </w:rPr>
        <w:footnoteRef/>
      </w:r>
      <w:r>
        <w:t xml:space="preserve"> </w:t>
      </w:r>
      <w:r w:rsidRPr="00BD7E16">
        <w:rPr>
          <w:i/>
        </w:rPr>
        <w:t>Study Area List Public Notice</w:t>
      </w:r>
      <w:r>
        <w:t>, 33 FCC Rcd at 10169.</w:t>
      </w:r>
    </w:p>
  </w:footnote>
  <w:footnote w:id="13">
    <w:p w:rsidR="00C41FEE" w:rsidRPr="00C5756D" w:rsidP="00C41FEE" w14:paraId="65A3DBF7" w14:textId="77777777">
      <w:pPr>
        <w:pStyle w:val="FootnoteText"/>
      </w:pPr>
      <w:r w:rsidRPr="00C5756D">
        <w:rPr>
          <w:rStyle w:val="FootnoteReference"/>
          <w:sz w:val="20"/>
        </w:rPr>
        <w:footnoteRef/>
      </w:r>
      <w:r w:rsidRPr="00C5756D">
        <w:t xml:space="preserve"> FCC, </w:t>
      </w:r>
      <w:r w:rsidRPr="00C5756D">
        <w:rPr>
          <w:i/>
        </w:rPr>
        <w:t>BDS Competitive and Noncompetitive Lists</w:t>
      </w:r>
      <w:r>
        <w:rPr>
          <w:i/>
        </w:rPr>
        <w:t xml:space="preserve"> </w:t>
      </w:r>
      <w:r w:rsidRPr="00464FDC">
        <w:t>(Jan. 31, 2020),</w:t>
      </w:r>
      <w:r w:rsidRPr="00C5756D">
        <w:t xml:space="preserve"> </w:t>
      </w:r>
      <w:hyperlink r:id="rId2" w:history="1">
        <w:r w:rsidRPr="00C5756D">
          <w:rPr>
            <w:rStyle w:val="Hyperlink"/>
          </w:rPr>
          <w:t>https://www.fcc.gov/bds-competitive-and-noncompetitive-lists</w:t>
        </w:r>
      </w:hyperlink>
      <w:r w:rsidRPr="00C5756D">
        <w:t>.</w:t>
      </w:r>
      <w:r>
        <w:t xml:space="preserve">  </w:t>
      </w:r>
    </w:p>
  </w:footnote>
  <w:footnote w:id="14">
    <w:p w:rsidR="00C41FEE" w:rsidP="00C41FEE" w14:paraId="5A3A7FC0" w14:textId="77777777">
      <w:pPr>
        <w:pStyle w:val="FootnoteText"/>
      </w:pPr>
      <w:r>
        <w:rPr>
          <w:rStyle w:val="FootnoteReference"/>
        </w:rPr>
        <w:footnoteRef/>
      </w:r>
      <w:r>
        <w:t xml:space="preserve"> </w:t>
      </w:r>
      <w:r w:rsidRPr="00D1799F">
        <w:rPr>
          <w:i/>
        </w:rPr>
        <w:t>See Rate-of-Return BDS Order</w:t>
      </w:r>
      <w:r>
        <w:t xml:space="preserve">, 33 FCC Rcd at 10440, para. 104. </w:t>
      </w:r>
    </w:p>
  </w:footnote>
  <w:footnote w:id="15">
    <w:p w:rsidR="00C41FEE" w:rsidRPr="00C5756D" w:rsidP="00C41FEE" w14:paraId="1143CD9B" w14:textId="77777777">
      <w:pPr>
        <w:pStyle w:val="FootnoteText"/>
      </w:pPr>
      <w:r w:rsidRPr="00C5756D">
        <w:rPr>
          <w:rStyle w:val="FootnoteReference"/>
          <w:sz w:val="20"/>
        </w:rPr>
        <w:footnoteRef/>
      </w:r>
      <w:r w:rsidRPr="00C5756D">
        <w:t xml:space="preserve"> 47 CFR §§ 61.50(j)(2), 69.803(c); </w:t>
      </w:r>
      <w:r w:rsidRPr="00C5756D">
        <w:rPr>
          <w:i/>
        </w:rPr>
        <w:t>Rate-of-Return BDS Order</w:t>
      </w:r>
      <w:r w:rsidRPr="00C5756D">
        <w:t xml:space="preserve">, 33 FCC Rcd at 10439-40, para. 104; </w:t>
      </w:r>
      <w:r w:rsidRPr="00C5756D">
        <w:rPr>
          <w:i/>
        </w:rPr>
        <w:t>Price Cap BDS Order</w:t>
      </w:r>
      <w:r w:rsidRPr="00C5756D">
        <w:t>, 32 FCC Rcd at</w:t>
      </w:r>
      <w:r w:rsidRPr="00C5756D">
        <w:rPr>
          <w:i/>
        </w:rPr>
        <w:t xml:space="preserve"> </w:t>
      </w:r>
      <w:r w:rsidRPr="00C5756D">
        <w:t xml:space="preserve">3528, para. 151.  </w:t>
      </w:r>
    </w:p>
  </w:footnote>
  <w:footnote w:id="16">
    <w:p w:rsidR="00C41FEE" w:rsidP="00C41FEE" w14:paraId="71337984" w14:textId="77777777">
      <w:pPr>
        <w:pStyle w:val="FootnoteText"/>
      </w:pPr>
      <w:r>
        <w:rPr>
          <w:rStyle w:val="FootnoteReference"/>
        </w:rPr>
        <w:footnoteRef/>
      </w:r>
      <w:r>
        <w:t xml:space="preserve"> </w:t>
      </w:r>
      <w:r w:rsidRPr="00951C76">
        <w:t xml:space="preserve">47 CFR § 69.803(c)(2); </w:t>
      </w:r>
      <w:r w:rsidRPr="00951C76">
        <w:rPr>
          <w:i/>
        </w:rPr>
        <w:t>Price Cap BDS Order</w:t>
      </w:r>
      <w:r w:rsidRPr="00951C76">
        <w:t>, 32 FCC Rcd at 3527-29, paras. 145-152.</w:t>
      </w:r>
      <w:r>
        <w:t xml:space="preserve">  As with the initial price cap test, the Bureau used cable broadband connections with a minimum 10/1 Mbps capacity to assess competition. </w:t>
      </w:r>
    </w:p>
  </w:footnote>
  <w:footnote w:id="17">
    <w:p w:rsidR="00C41FEE" w:rsidP="00C41FEE" w14:paraId="5EC99E5C" w14:textId="77777777">
      <w:pPr>
        <w:pStyle w:val="FootnoteText"/>
      </w:pPr>
      <w:r>
        <w:rPr>
          <w:rStyle w:val="FootnoteReference"/>
        </w:rPr>
        <w:footnoteRef/>
      </w:r>
      <w:r>
        <w:t xml:space="preserve"> </w:t>
      </w:r>
      <w:r w:rsidRPr="00C5756D">
        <w:rPr>
          <w:i/>
        </w:rPr>
        <w:t>Rate-of-Return BDS Order</w:t>
      </w:r>
      <w:r w:rsidRPr="00C5756D">
        <w:t>, 33 FCC Rcd at 10439-40, para. 104</w:t>
      </w:r>
      <w:r>
        <w:t>.</w:t>
      </w:r>
    </w:p>
  </w:footnote>
  <w:footnote w:id="18">
    <w:p w:rsidR="00C41FEE" w:rsidP="00C41FEE" w14:paraId="77CD0E5A" w14:textId="77777777">
      <w:pPr>
        <w:pStyle w:val="FootnoteText"/>
      </w:pPr>
      <w:r>
        <w:rPr>
          <w:rStyle w:val="FootnoteReference"/>
        </w:rPr>
        <w:footnoteRef/>
      </w:r>
      <w:r>
        <w:t xml:space="preserve"> 47 CFR § 61.50(j)(1)-(2); </w:t>
      </w:r>
      <w:r w:rsidRPr="00AA0219">
        <w:rPr>
          <w:i/>
        </w:rPr>
        <w:t>Rate-of-Return BDS Order</w:t>
      </w:r>
      <w:r>
        <w:t xml:space="preserve">, 33 FCC Rcd at 10439-40, paras. 103-104. </w:t>
      </w:r>
    </w:p>
  </w:footnote>
  <w:footnote w:id="19">
    <w:p w:rsidR="00C41FEE" w:rsidP="00C41FEE" w14:paraId="10AC9839" w14:textId="77777777">
      <w:pPr>
        <w:pStyle w:val="FootnoteText"/>
      </w:pPr>
      <w:r>
        <w:rPr>
          <w:rStyle w:val="FootnoteReference"/>
        </w:rPr>
        <w:footnoteRef/>
      </w:r>
      <w:r>
        <w:t xml:space="preserve"> 47 CFR §§ 61.50(j)(3), 69.803(c)(3); </w:t>
      </w:r>
      <w:r w:rsidRPr="00942107">
        <w:rPr>
          <w:i/>
        </w:rPr>
        <w:t>see</w:t>
      </w:r>
      <w:r>
        <w:t xml:space="preserve"> </w:t>
      </w:r>
      <w:r w:rsidRPr="00DF7073">
        <w:rPr>
          <w:i/>
        </w:rPr>
        <w:t>Price Cap BDS Order</w:t>
      </w:r>
      <w:r>
        <w:t xml:space="preserve">, 32 FCC Rcd at 3528-29, para. 152; </w:t>
      </w:r>
      <w:r w:rsidRPr="00DF7073">
        <w:rPr>
          <w:i/>
        </w:rPr>
        <w:t>Rate-of-Return BDS Order</w:t>
      </w:r>
      <w:r>
        <w:t>, 33 FCC Rcd at 10439, para. 103.</w:t>
      </w:r>
    </w:p>
  </w:footnote>
  <w:footnote w:id="20">
    <w:p w:rsidR="00C41FEE" w:rsidRPr="00C5756D" w:rsidP="00C41FEE" w14:paraId="48586A32" w14:textId="77777777">
      <w:pPr>
        <w:pStyle w:val="FootnoteText"/>
      </w:pPr>
      <w:r w:rsidRPr="00C5756D">
        <w:rPr>
          <w:rStyle w:val="FootnoteReference"/>
          <w:sz w:val="20"/>
        </w:rPr>
        <w:footnoteRef/>
      </w:r>
      <w:r w:rsidRPr="00C5756D">
        <w:t xml:space="preserve"> </w:t>
      </w:r>
      <w:r w:rsidRPr="005B67A6">
        <w:rPr>
          <w:i/>
        </w:rPr>
        <w:t>Rate-of-Return BDS Order</w:t>
      </w:r>
      <w:r>
        <w:t xml:space="preserve">, 33 FCC Rcd at 10440, para. 104.  </w:t>
      </w:r>
      <w:r w:rsidRPr="00C5756D">
        <w:t>The Commission directed the Bureau to update both tests every three years thereafter.</w:t>
      </w:r>
      <w:r>
        <w:t xml:space="preserve">  </w:t>
      </w:r>
      <w:r w:rsidRPr="00232678">
        <w:rPr>
          <w:i/>
        </w:rPr>
        <w:t>Id</w:t>
      </w:r>
      <w:r>
        <w:t xml:space="preserve">.; 47 CFR </w:t>
      </w:r>
      <w:r w:rsidRPr="001F7C0D">
        <w:t>§</w:t>
      </w:r>
      <w:r>
        <w:t>§ 61.50(j)(2), 69.803(c).</w:t>
      </w:r>
    </w:p>
  </w:footnote>
  <w:footnote w:id="21">
    <w:p w:rsidR="00C41FEE" w:rsidP="00C41FEE" w14:paraId="02EECF71" w14:textId="77777777">
      <w:pPr>
        <w:pStyle w:val="FootnoteText"/>
      </w:pPr>
      <w:r>
        <w:rPr>
          <w:rStyle w:val="FootnoteReference"/>
        </w:rPr>
        <w:footnoteRef/>
      </w:r>
      <w:r>
        <w:t xml:space="preserve"> 47 CFR § 69.803(c); </w:t>
      </w:r>
      <w:r w:rsidRPr="00B70B9B">
        <w:rPr>
          <w:i/>
        </w:rPr>
        <w:t>s</w:t>
      </w:r>
      <w:r w:rsidRPr="00461E8A">
        <w:rPr>
          <w:i/>
        </w:rPr>
        <w:t>ee</w:t>
      </w:r>
      <w:r>
        <w:t xml:space="preserve"> </w:t>
      </w:r>
      <w:r w:rsidRPr="005B67A6">
        <w:rPr>
          <w:i/>
        </w:rPr>
        <w:t>Rate-of-Return BDS Order</w:t>
      </w:r>
      <w:r>
        <w:t>, 33 FCC Rcd at 10440, para. 104.</w:t>
      </w:r>
    </w:p>
  </w:footnote>
  <w:footnote w:id="22">
    <w:p w:rsidR="00C41FEE" w:rsidP="00C41FEE" w14:paraId="1E98DC46" w14:textId="77777777">
      <w:pPr>
        <w:pStyle w:val="FootnoteText"/>
      </w:pPr>
      <w:r>
        <w:rPr>
          <w:rStyle w:val="FootnoteReference"/>
        </w:rPr>
        <w:footnoteRef/>
      </w:r>
      <w:r>
        <w:t xml:space="preserve"> </w:t>
      </w:r>
      <w:r w:rsidRPr="005B67A6">
        <w:rPr>
          <w:i/>
        </w:rPr>
        <w:t>Rate-of-Return BDS Order</w:t>
      </w:r>
      <w:r>
        <w:t xml:space="preserve">, 33 FCC Rcd at 10440, para. 104.  </w:t>
      </w:r>
      <w:r w:rsidRPr="00322FB2">
        <w:t>The Commission provided eligible rate-of-return carriers with two opportunities to elect incentive regulation</w:t>
      </w:r>
      <w:r>
        <w:t xml:space="preserve"> for their BDS offerings</w:t>
      </w:r>
      <w:r w:rsidRPr="00322FB2">
        <w:t xml:space="preserve">: a first election effective July 1, 2019, and a second election effective July 1, 2020.  </w:t>
      </w:r>
      <w:bookmarkStart w:id="7" w:name="_Hlk30595367"/>
      <w:r w:rsidRPr="00322FB2">
        <w:rPr>
          <w:i/>
        </w:rPr>
        <w:t>Rate-of-Return BDS Order</w:t>
      </w:r>
      <w:r w:rsidRPr="00322FB2">
        <w:t xml:space="preserve">, 33 FCC Rcd at </w:t>
      </w:r>
      <w:bookmarkEnd w:id="7"/>
      <w:r w:rsidRPr="00322FB2">
        <w:t>10412-13, para. 23; 47 CFR § 61.50(l).</w:t>
      </w:r>
      <w:r>
        <w:t xml:space="preserve">  </w:t>
      </w:r>
    </w:p>
  </w:footnote>
  <w:footnote w:id="23">
    <w:p w:rsidR="00C41FEE" w:rsidP="00C41FEE" w14:paraId="69472213" w14:textId="77777777">
      <w:pPr>
        <w:pStyle w:val="FootnoteText"/>
      </w:pPr>
      <w:r>
        <w:rPr>
          <w:rStyle w:val="FootnoteReference"/>
        </w:rPr>
        <w:footnoteRef/>
      </w:r>
      <w:r>
        <w:t xml:space="preserve"> </w:t>
      </w:r>
      <w:r w:rsidRPr="003056E4">
        <w:rPr>
          <w:i/>
        </w:rPr>
        <w:t>See Rate-of-Return BDS Order</w:t>
      </w:r>
      <w:r>
        <w:t xml:space="preserve">, 33 FCC Rcd at 10412-13, 10440, paras. 23, 104.  </w:t>
      </w:r>
      <w:r>
        <w:rPr>
          <w:szCs w:val="22"/>
        </w:rPr>
        <w:t xml:space="preserve">  </w:t>
      </w:r>
    </w:p>
  </w:footnote>
  <w:footnote w:id="24">
    <w:p w:rsidR="00C41FEE" w:rsidP="00C41FEE" w14:paraId="68F33008" w14:textId="77777777">
      <w:pPr>
        <w:pStyle w:val="FootnoteText"/>
      </w:pPr>
      <w:r>
        <w:rPr>
          <w:rStyle w:val="FootnoteReference"/>
        </w:rPr>
        <w:footnoteRef/>
      </w:r>
      <w:r>
        <w:t xml:space="preserve"> R</w:t>
      </w:r>
      <w:r>
        <w:rPr>
          <w:szCs w:val="22"/>
        </w:rPr>
        <w:t xml:space="preserve">ate-of-return carriers electing incentive regulation for their BDS offerings effective July 1, 2020 and that participate </w:t>
      </w:r>
      <w:r w:rsidRPr="003C32E3">
        <w:rPr>
          <w:szCs w:val="22"/>
        </w:rPr>
        <w:t xml:space="preserve">in the </w:t>
      </w:r>
      <w:r>
        <w:rPr>
          <w:szCs w:val="22"/>
        </w:rPr>
        <w:t xml:space="preserve">NECA traffic-sensitive </w:t>
      </w:r>
      <w:r w:rsidRPr="003C32E3">
        <w:rPr>
          <w:szCs w:val="22"/>
        </w:rPr>
        <w:t>pool</w:t>
      </w:r>
      <w:r>
        <w:rPr>
          <w:szCs w:val="22"/>
        </w:rPr>
        <w:t xml:space="preserve"> must </w:t>
      </w:r>
      <w:r w:rsidRPr="003C32E3">
        <w:rPr>
          <w:szCs w:val="22"/>
        </w:rPr>
        <w:t>notify NECA by March 1, 20</w:t>
      </w:r>
      <w:r>
        <w:rPr>
          <w:szCs w:val="22"/>
        </w:rPr>
        <w:t xml:space="preserve">20 that they will no longer participate in the pool for their </w:t>
      </w:r>
      <w:r w:rsidRPr="003C32E3">
        <w:rPr>
          <w:szCs w:val="22"/>
        </w:rPr>
        <w:t>BDS offerings</w:t>
      </w:r>
      <w:r>
        <w:rPr>
          <w:szCs w:val="22"/>
        </w:rPr>
        <w:t xml:space="preserve">.  </w:t>
      </w:r>
      <w:r w:rsidRPr="00322FB2">
        <w:rPr>
          <w:i/>
        </w:rPr>
        <w:t>Rate-of-Return BDS Order</w:t>
      </w:r>
      <w:r w:rsidRPr="00322FB2">
        <w:t xml:space="preserve">, 33 FCC Rcd at </w:t>
      </w:r>
      <w:r w:rsidRPr="00126B80">
        <w:rPr>
          <w:szCs w:val="22"/>
        </w:rPr>
        <w:t>10445, para. 119</w:t>
      </w:r>
      <w:r>
        <w:rPr>
          <w:szCs w:val="22"/>
        </w:rPr>
        <w:t xml:space="preserve">; 47 CFR § </w:t>
      </w:r>
      <w:r w:rsidRPr="00322FB2">
        <w:rPr>
          <w:szCs w:val="22"/>
        </w:rPr>
        <w:t>69.3</w:t>
      </w:r>
      <w:r>
        <w:rPr>
          <w:szCs w:val="22"/>
        </w:rPr>
        <w:t>(e)(6).  R</w:t>
      </w:r>
      <w:r w:rsidRPr="004951E0">
        <w:rPr>
          <w:szCs w:val="22"/>
        </w:rPr>
        <w:t>ate-of-return carrier</w:t>
      </w:r>
      <w:r>
        <w:rPr>
          <w:szCs w:val="22"/>
        </w:rPr>
        <w:t>s</w:t>
      </w:r>
      <w:r w:rsidRPr="004951E0">
        <w:rPr>
          <w:szCs w:val="22"/>
        </w:rPr>
        <w:t xml:space="preserve"> electing incentive regulation </w:t>
      </w:r>
      <w:r>
        <w:rPr>
          <w:szCs w:val="22"/>
        </w:rPr>
        <w:t xml:space="preserve">for their BDS offerings </w:t>
      </w:r>
      <w:r w:rsidRPr="004951E0">
        <w:rPr>
          <w:szCs w:val="22"/>
        </w:rPr>
        <w:t>effective July 1, 2020</w:t>
      </w:r>
      <w:r w:rsidRPr="003C32E3">
        <w:rPr>
          <w:szCs w:val="22"/>
        </w:rPr>
        <w:t xml:space="preserve"> </w:t>
      </w:r>
      <w:r>
        <w:rPr>
          <w:szCs w:val="22"/>
        </w:rPr>
        <w:t xml:space="preserve">must </w:t>
      </w:r>
      <w:r w:rsidRPr="003C32E3">
        <w:rPr>
          <w:szCs w:val="22"/>
        </w:rPr>
        <w:t>notify the Bureau</w:t>
      </w:r>
      <w:r>
        <w:rPr>
          <w:szCs w:val="22"/>
        </w:rPr>
        <w:t xml:space="preserve"> </w:t>
      </w:r>
      <w:r w:rsidRPr="003C32E3">
        <w:rPr>
          <w:szCs w:val="22"/>
        </w:rPr>
        <w:t xml:space="preserve">of </w:t>
      </w:r>
      <w:r>
        <w:rPr>
          <w:szCs w:val="22"/>
        </w:rPr>
        <w:t>their</w:t>
      </w:r>
      <w:r w:rsidRPr="003C32E3">
        <w:rPr>
          <w:szCs w:val="22"/>
        </w:rPr>
        <w:t xml:space="preserve"> election by May 1, 20</w:t>
      </w:r>
      <w:r>
        <w:rPr>
          <w:szCs w:val="22"/>
        </w:rPr>
        <w:t xml:space="preserve">20.  </w:t>
      </w:r>
      <w:r w:rsidRPr="00415D63">
        <w:rPr>
          <w:i/>
          <w:szCs w:val="22"/>
        </w:rPr>
        <w:t>Id</w:t>
      </w:r>
      <w:r>
        <w:rPr>
          <w:szCs w:val="22"/>
        </w:rPr>
        <w:t xml:space="preserve">. </w:t>
      </w:r>
      <w:r w:rsidRPr="007117B9">
        <w:rPr>
          <w:szCs w:val="22"/>
        </w:rPr>
        <w:t>§</w:t>
      </w:r>
      <w:r w:rsidRPr="00322FB2">
        <w:rPr>
          <w:szCs w:val="22"/>
        </w:rPr>
        <w:t xml:space="preserve"> </w:t>
      </w:r>
      <w:r>
        <w:rPr>
          <w:szCs w:val="22"/>
        </w:rPr>
        <w:t>61.50(l)(2)</w:t>
      </w:r>
      <w:r w:rsidRPr="00322FB2">
        <w:rPr>
          <w:szCs w:val="22"/>
        </w:rPr>
        <w:t xml:space="preserve">.  </w:t>
      </w:r>
      <w:r>
        <w:rPr>
          <w:szCs w:val="22"/>
        </w:rPr>
        <w:t xml:space="preserve">Such carrier’s election will be </w:t>
      </w:r>
      <w:r w:rsidRPr="00F20869">
        <w:rPr>
          <w:szCs w:val="22"/>
        </w:rPr>
        <w:t xml:space="preserve">effective </w:t>
      </w:r>
      <w:r w:rsidRPr="002706B2">
        <w:rPr>
          <w:szCs w:val="22"/>
        </w:rPr>
        <w:t>July 1, 2020</w:t>
      </w:r>
      <w:r>
        <w:rPr>
          <w:szCs w:val="22"/>
        </w:rPr>
        <w:t>,</w:t>
      </w:r>
      <w:r w:rsidRPr="002706B2">
        <w:rPr>
          <w:szCs w:val="22"/>
        </w:rPr>
        <w:t xml:space="preserve"> </w:t>
      </w:r>
      <w:r>
        <w:rPr>
          <w:szCs w:val="22"/>
        </w:rPr>
        <w:t xml:space="preserve">concurrent with </w:t>
      </w:r>
      <w:r w:rsidRPr="00F20869">
        <w:rPr>
          <w:szCs w:val="22"/>
        </w:rPr>
        <w:t xml:space="preserve">the carrier’s </w:t>
      </w:r>
      <w:r w:rsidRPr="00EF0700">
        <w:rPr>
          <w:szCs w:val="22"/>
        </w:rPr>
        <w:t>annual access tariff filing.</w:t>
      </w:r>
      <w:r>
        <w:rPr>
          <w:szCs w:val="22"/>
        </w:rPr>
        <w:t xml:space="preserve"> </w:t>
      </w:r>
      <w:r w:rsidRPr="00F20869">
        <w:rPr>
          <w:szCs w:val="22"/>
        </w:rPr>
        <w:t xml:space="preserve"> </w:t>
      </w:r>
      <w:r w:rsidRPr="005F16B6">
        <w:rPr>
          <w:i/>
          <w:iCs/>
          <w:szCs w:val="22"/>
        </w:rPr>
        <w:t xml:space="preserve">See </w:t>
      </w:r>
      <w:r w:rsidRPr="005B52A9">
        <w:rPr>
          <w:szCs w:val="22"/>
        </w:rPr>
        <w:t>47 CFR § 61.50(</w:t>
      </w:r>
      <w:r>
        <w:rPr>
          <w:szCs w:val="22"/>
        </w:rPr>
        <w:t>l</w:t>
      </w:r>
      <w:r w:rsidRPr="005B52A9">
        <w:rPr>
          <w:szCs w:val="22"/>
        </w:rPr>
        <w:t xml:space="preserve">)(1)-(2); </w:t>
      </w:r>
      <w:r w:rsidRPr="005F16B6">
        <w:rPr>
          <w:i/>
          <w:iCs/>
          <w:szCs w:val="22"/>
        </w:rPr>
        <w:t>Rate-of-Return BDS Order</w:t>
      </w:r>
      <w:r w:rsidRPr="005B52A9">
        <w:rPr>
          <w:szCs w:val="22"/>
        </w:rPr>
        <w:t>, 33 FCC Rcd at 10439-40, paras. 103-104.</w:t>
      </w:r>
      <w:r>
        <w:rPr>
          <w:szCs w:val="22"/>
        </w:rPr>
        <w:t xml:space="preserve">  </w:t>
      </w:r>
    </w:p>
  </w:footnote>
  <w:footnote w:id="25">
    <w:p w:rsidR="00C41FEE" w:rsidP="00C41FEE" w14:paraId="548689C8" w14:textId="77777777">
      <w:pPr>
        <w:pStyle w:val="FootnoteText"/>
      </w:pPr>
      <w:r>
        <w:rPr>
          <w:rStyle w:val="FootnoteReference"/>
        </w:rPr>
        <w:footnoteRef/>
      </w:r>
      <w:r>
        <w:t xml:space="preserve"> </w:t>
      </w:r>
      <w:r w:rsidRPr="003C545D">
        <w:rPr>
          <w:i/>
        </w:rPr>
        <w:t>See</w:t>
      </w:r>
      <w:r>
        <w:t xml:space="preserve"> 47 CFR § 69.803(c).</w:t>
      </w:r>
    </w:p>
  </w:footnote>
  <w:footnote w:id="26">
    <w:p w:rsidR="00C41FEE" w:rsidP="00C41FEE" w14:paraId="4860A68E" w14:textId="77777777">
      <w:pPr>
        <w:pStyle w:val="FootnoteText"/>
      </w:pPr>
      <w:r>
        <w:rPr>
          <w:rStyle w:val="FootnoteReference"/>
        </w:rPr>
        <w:footnoteRef/>
      </w:r>
      <w:r>
        <w:t xml:space="preserve"> </w:t>
      </w:r>
      <w:r w:rsidRPr="00F73977">
        <w:rPr>
          <w:i/>
        </w:rPr>
        <w:t>FCC Releases Form 477 Data on Broadband Deployment as of December 31, 2018</w:t>
      </w:r>
      <w:r>
        <w:t>, WC Docket No. 11-10, Public Notice, DA 20-30 (</w:t>
      </w:r>
      <w:r>
        <w:t>OEA</w:t>
      </w:r>
      <w:r>
        <w:t xml:space="preserve">, WCB, &amp; </w:t>
      </w:r>
      <w:r>
        <w:t>WTB</w:t>
      </w:r>
      <w:r>
        <w:t xml:space="preserve"> Jan. 8, 2020).  </w:t>
      </w:r>
    </w:p>
  </w:footnote>
  <w:footnote w:id="27">
    <w:p w:rsidR="00C41FEE" w:rsidP="00C41FEE" w14:paraId="3EE27AD0" w14:textId="77777777">
      <w:pPr>
        <w:pStyle w:val="FootnoteText"/>
      </w:pPr>
      <w:r>
        <w:rPr>
          <w:rStyle w:val="FootnoteReference"/>
        </w:rPr>
        <w:footnoteRef/>
      </w:r>
      <w:r>
        <w:t xml:space="preserve"> </w:t>
      </w:r>
      <w:r w:rsidRPr="00F9296F">
        <w:rPr>
          <w:i/>
        </w:rPr>
        <w:t>Id</w:t>
      </w:r>
      <w:r>
        <w:t>.; 47 CFR §§ 61.50(j)(1), 69.803(c)(1).  Form 477 data is typically reported by filers semiannually on or before March 1st (reporting data as of December 31st</w:t>
      </w:r>
      <w:r>
        <w:rPr>
          <w:vertAlign w:val="superscript"/>
        </w:rPr>
        <w:t xml:space="preserve"> </w:t>
      </w:r>
      <w:r>
        <w:t xml:space="preserve">of the prior year) and September 1st (reporting data as of June 30th of the current year).  </w:t>
      </w:r>
      <w:r w:rsidRPr="00866B41">
        <w:rPr>
          <w:i/>
        </w:rPr>
        <w:t>See</w:t>
      </w:r>
      <w:r>
        <w:t xml:space="preserve"> </w:t>
      </w:r>
      <w:r w:rsidRPr="007420CE">
        <w:t>47 CFR § 1.7002</w:t>
      </w:r>
      <w:r>
        <w:t xml:space="preserve">.  Form 477 filers were required to submit data as of June 30, 2019 by September 3, 2019.  </w:t>
      </w:r>
      <w:r w:rsidRPr="005C00AC">
        <w:rPr>
          <w:i/>
        </w:rPr>
        <w:t>Form 477 Data as of June 30, 2019 Are Due No Later Than September 3, 2019</w:t>
      </w:r>
      <w:r>
        <w:t xml:space="preserve">, WC Docket No. 11-10, Public Notice, </w:t>
      </w:r>
      <w:r w:rsidRPr="005C00AC">
        <w:t xml:space="preserve">34 FCC Rcd 7065 </w:t>
      </w:r>
      <w:r>
        <w:t>(</w:t>
      </w:r>
      <w:r>
        <w:t>OEA</w:t>
      </w:r>
      <w:r>
        <w:t xml:space="preserve"> 2019).  While this data was submitted more recently than data as of December 31, 2018, it will not be made publicly available with </w:t>
      </w:r>
      <w:r>
        <w:t>sufficient</w:t>
      </w:r>
      <w:r>
        <w:t xml:space="preserve"> time prior to the July 1, 2020 effective date for rate-of-return carriers to elect</w:t>
      </w:r>
      <w:r w:rsidRPr="00175260">
        <w:t xml:space="preserve"> incentive regulation</w:t>
      </w:r>
      <w:r>
        <w:t xml:space="preserve"> and therefore is inappropriate for this first update</w:t>
      </w:r>
      <w:r w:rsidRPr="008C3DAF">
        <w:t>.</w:t>
      </w:r>
      <w:r>
        <w:t xml:space="preserve">  </w:t>
      </w:r>
      <w:r w:rsidRPr="008F6730">
        <w:rPr>
          <w:i/>
        </w:rPr>
        <w:t>See</w:t>
      </w:r>
      <w:r>
        <w:t xml:space="preserve"> </w:t>
      </w:r>
      <w:r w:rsidRPr="003056E4">
        <w:rPr>
          <w:i/>
        </w:rPr>
        <w:t>Rate-of-Return BDS Order</w:t>
      </w:r>
      <w:r>
        <w:t xml:space="preserve">, 33 FCC Rcd at 10440, para. 104; </w:t>
      </w:r>
      <w:r w:rsidRPr="002234AB">
        <w:rPr>
          <w:i/>
        </w:rPr>
        <w:t xml:space="preserve">see also </w:t>
      </w:r>
      <w:r w:rsidRPr="00175260">
        <w:rPr>
          <w:i/>
        </w:rPr>
        <w:t>FCC Releases Form 477 Data on Fixed Broadband Deployment as of June 30, 2018</w:t>
      </w:r>
      <w:r>
        <w:t xml:space="preserve">, WC Docket No. 11-10, Public Notice, </w:t>
      </w:r>
      <w:r w:rsidRPr="00175260">
        <w:t xml:space="preserve">34 FCC Rcd 7992 </w:t>
      </w:r>
      <w:r>
        <w:t>(</w:t>
      </w:r>
      <w:r w:rsidRPr="00175260">
        <w:t>OEA</w:t>
      </w:r>
      <w:r w:rsidRPr="00175260">
        <w:t xml:space="preserve">, WCB, &amp; </w:t>
      </w:r>
      <w:r w:rsidRPr="00175260">
        <w:t>WT</w:t>
      </w:r>
      <w:r>
        <w:t>B</w:t>
      </w:r>
      <w:r>
        <w:t xml:space="preserve"> 2019) (releasing Form 477 data dated as of June 30, 2018 on September 10, 2019).</w:t>
      </w:r>
    </w:p>
  </w:footnote>
  <w:footnote w:id="28">
    <w:p w:rsidR="00C41FEE" w:rsidP="00C41FEE" w14:paraId="118E669D" w14:textId="77777777">
      <w:pPr>
        <w:pStyle w:val="FootnoteText"/>
      </w:pPr>
      <w:r>
        <w:rPr>
          <w:rStyle w:val="FootnoteReference"/>
        </w:rPr>
        <w:footnoteRef/>
      </w:r>
      <w:r>
        <w:t xml:space="preserve"> </w:t>
      </w:r>
      <w:r w:rsidRPr="00724EA4">
        <w:t xml:space="preserve">The Bureau did not test </w:t>
      </w:r>
      <w:r>
        <w:t xml:space="preserve">price cap </w:t>
      </w:r>
      <w:r w:rsidRPr="00724EA4">
        <w:t xml:space="preserve">counties previously deemed competitive or grandfathered pursuant to the initial price cap test or </w:t>
      </w:r>
      <w:r>
        <w:t xml:space="preserve">retest rate-of-return </w:t>
      </w:r>
      <w:r w:rsidRPr="00724EA4">
        <w:t xml:space="preserve">study areas </w:t>
      </w:r>
      <w:r>
        <w:t>previously</w:t>
      </w:r>
      <w:r w:rsidRPr="00724EA4">
        <w:t xml:space="preserve"> deemed competitive pursuant to the rate-of-return test since they retain their competitive </w:t>
      </w:r>
      <w:r>
        <w:t xml:space="preserve">or grandfathered </w:t>
      </w:r>
      <w:r w:rsidRPr="00724EA4">
        <w:t>status</w:t>
      </w:r>
      <w:r>
        <w:t xml:space="preserve">.  </w:t>
      </w:r>
      <w:r w:rsidRPr="003C545D">
        <w:rPr>
          <w:i/>
        </w:rPr>
        <w:t>See</w:t>
      </w:r>
      <w:r>
        <w:t xml:space="preserve"> </w:t>
      </w:r>
      <w:r w:rsidRPr="00C5756D">
        <w:t>47 CFR §§ 61.50(j)(3), 69.803(c)(3)</w:t>
      </w:r>
      <w:r>
        <w:t>, 69.807(a)</w:t>
      </w:r>
      <w:r w:rsidRPr="00C5756D">
        <w:t xml:space="preserve">; </w:t>
      </w:r>
      <w:r w:rsidRPr="00C5756D">
        <w:rPr>
          <w:i/>
        </w:rPr>
        <w:t>Price Cap BDS Order</w:t>
      </w:r>
      <w:r w:rsidRPr="00C5756D">
        <w:t>, 32 FCC Rcd at 3528-29, para</w:t>
      </w:r>
      <w:r>
        <w:t>s</w:t>
      </w:r>
      <w:r w:rsidRPr="00C5756D">
        <w:t xml:space="preserve">. </w:t>
      </w:r>
      <w:r>
        <w:t>151-</w:t>
      </w:r>
      <w:r w:rsidRPr="00C5756D">
        <w:t xml:space="preserve">152; </w:t>
      </w:r>
      <w:r w:rsidRPr="00C5756D">
        <w:rPr>
          <w:i/>
        </w:rPr>
        <w:t>Rate-of-Return BDS Order</w:t>
      </w:r>
      <w:r w:rsidRPr="00C5756D">
        <w:t>, 33 FCC Rcd at 10439, para. 103.</w:t>
      </w:r>
    </w:p>
  </w:footnote>
  <w:footnote w:id="29">
    <w:p w:rsidR="00C41FEE" w:rsidP="00C41FEE" w14:paraId="1F0361D7" w14:textId="77777777">
      <w:pPr>
        <w:pStyle w:val="FootnoteText"/>
      </w:pPr>
      <w:r>
        <w:rPr>
          <w:rStyle w:val="FootnoteReference"/>
        </w:rPr>
        <w:footnoteRef/>
      </w:r>
      <w:r>
        <w:t xml:space="preserve"> </w:t>
      </w:r>
      <w:r w:rsidRPr="00292014">
        <w:rPr>
          <w:i/>
        </w:rPr>
        <w:t>See</w:t>
      </w:r>
      <w:r>
        <w:t xml:space="preserve"> 47 CFR § 69.803(c); </w:t>
      </w:r>
      <w:r w:rsidRPr="00292014">
        <w:rPr>
          <w:i/>
        </w:rPr>
        <w:t>Price Cap BDS Order</w:t>
      </w:r>
      <w:r w:rsidRPr="00292014">
        <w:t>, 3</w:t>
      </w:r>
      <w:r>
        <w:t>2</w:t>
      </w:r>
      <w:r w:rsidRPr="00292014">
        <w:t xml:space="preserve"> FCC Rcd at 3528-29, paras. 151-52.</w:t>
      </w:r>
    </w:p>
  </w:footnote>
  <w:footnote w:id="30">
    <w:p w:rsidR="00C41FEE" w:rsidP="00C41FEE" w14:paraId="5FCD2F8C" w14:textId="77777777">
      <w:pPr>
        <w:pStyle w:val="FootnoteText"/>
      </w:pPr>
      <w:r>
        <w:rPr>
          <w:rStyle w:val="FootnoteReference"/>
        </w:rPr>
        <w:footnoteRef/>
      </w:r>
      <w:r>
        <w:t xml:space="preserve"> </w:t>
      </w:r>
      <w:r w:rsidRPr="00BD04C1">
        <w:rPr>
          <w:i/>
        </w:rPr>
        <w:t xml:space="preserve">See </w:t>
      </w:r>
      <w:r>
        <w:t xml:space="preserve">47 CFR § 61.50(j)(1)-(2); </w:t>
      </w:r>
      <w:r w:rsidRPr="00AA0219">
        <w:rPr>
          <w:i/>
        </w:rPr>
        <w:t>Rate-of-Return BDS Order</w:t>
      </w:r>
      <w:r>
        <w:t>, 33 FCC Rcd at 10439-40, paras. 103-104.</w:t>
      </w:r>
    </w:p>
  </w:footnote>
  <w:footnote w:id="31">
    <w:p w:rsidR="00C41FEE" w:rsidRPr="00C5756D" w:rsidP="00C41FEE" w14:paraId="5DA601C6" w14:textId="77777777">
      <w:pPr>
        <w:pStyle w:val="FootnoteText"/>
      </w:pPr>
      <w:r w:rsidRPr="00C5756D">
        <w:rPr>
          <w:rStyle w:val="FootnoteReference"/>
          <w:sz w:val="20"/>
        </w:rPr>
        <w:footnoteRef/>
      </w:r>
      <w:r w:rsidRPr="00C5756D">
        <w:t xml:space="preserve"> </w:t>
      </w:r>
      <w:r w:rsidRPr="00C5756D">
        <w:rPr>
          <w:i/>
        </w:rPr>
        <w:t>See</w:t>
      </w:r>
      <w:r w:rsidRPr="00C5756D">
        <w:t xml:space="preserve"> </w:t>
      </w:r>
      <w:r w:rsidRPr="001A6F9D">
        <w:t xml:space="preserve">FCC, </w:t>
      </w:r>
      <w:r w:rsidRPr="001A6F9D">
        <w:rPr>
          <w:i/>
        </w:rPr>
        <w:t>BDS Competitive and Noncompetitive Lists</w:t>
      </w:r>
      <w:r>
        <w:rPr>
          <w:i/>
        </w:rPr>
        <w:t xml:space="preserve"> </w:t>
      </w:r>
      <w:r w:rsidRPr="00464FDC">
        <w:t>(Jan. 31, 2020),</w:t>
      </w:r>
      <w:r w:rsidRPr="001A6F9D">
        <w:t xml:space="preserve">  </w:t>
      </w:r>
      <w:hyperlink r:id="rId3" w:history="1">
        <w:r w:rsidRPr="00F55F31">
          <w:rPr>
            <w:rStyle w:val="Hyperlink"/>
          </w:rPr>
          <w:t>https://www.fcc.gov/general/</w:t>
        </w:r>
        <w:r w:rsidRPr="00F55F31">
          <w:rPr>
            <w:rStyle w:val="Hyperlink"/>
          </w:rPr>
          <w:br/>
          <w:t>bds-competitive-and-noncompetitive-lists</w:t>
        </w:r>
      </w:hyperlink>
      <w:r>
        <w:t>.</w:t>
      </w:r>
    </w:p>
  </w:footnote>
  <w:footnote w:id="32">
    <w:p w:rsidR="00C41FEE" w:rsidRPr="00C5756D" w:rsidP="00C41FEE" w14:paraId="449EE2B2" w14:textId="77777777">
      <w:pPr>
        <w:pStyle w:val="FootnoteText"/>
      </w:pPr>
      <w:r w:rsidRPr="00C5756D">
        <w:rPr>
          <w:rStyle w:val="FootnoteReference"/>
          <w:sz w:val="20"/>
        </w:rPr>
        <w:footnoteRef/>
      </w:r>
      <w:r w:rsidRPr="00C5756D">
        <w:t xml:space="preserve"> </w:t>
      </w:r>
      <w:r w:rsidRPr="00C5756D">
        <w:rPr>
          <w:i/>
        </w:rPr>
        <w:t>Price Cap BDS Order</w:t>
      </w:r>
      <w:r w:rsidRPr="00C5756D">
        <w:t xml:space="preserve">, 32 FCC Rcd at 3528, para. 151; </w:t>
      </w:r>
      <w:r w:rsidRPr="00C5756D">
        <w:rPr>
          <w:i/>
        </w:rPr>
        <w:t>Rate-of-Return BDS Order</w:t>
      </w:r>
      <w:r w:rsidRPr="00C5756D">
        <w:t xml:space="preserve">, 33 FCC Rcd at 10439-40, para. 104; 47 CFR §1.106 (petitions for reconsideration); 47 CFR § 1.115 (applications for review); </w:t>
      </w:r>
      <w:r w:rsidRPr="00C5756D">
        <w:rPr>
          <w:i/>
        </w:rPr>
        <w:t>see also</w:t>
      </w:r>
      <w:r w:rsidRPr="00C5756D">
        <w:t xml:space="preserve"> 47 CFR § 1.115(c) note (“Subject to the requirements of §1.106, new questions of fact or law may be presented to the designated authority in a petition for reconsideration.”). </w:t>
      </w:r>
    </w:p>
  </w:footnote>
  <w:footnote w:id="33">
    <w:p w:rsidR="00C41FEE" w:rsidP="00C41FEE" w14:paraId="1E6B915F" w14:textId="77777777">
      <w:pPr>
        <w:pStyle w:val="FootnoteText"/>
      </w:pPr>
      <w:r>
        <w:rPr>
          <w:rStyle w:val="FootnoteReference"/>
        </w:rPr>
        <w:footnoteRef/>
      </w:r>
      <w:r>
        <w:t xml:space="preserve"> </w:t>
      </w:r>
      <w:r w:rsidRPr="003C545D">
        <w:rPr>
          <w:i/>
        </w:rPr>
        <w:t>See</w:t>
      </w:r>
      <w:r>
        <w:t xml:space="preserve"> </w:t>
      </w:r>
      <w:r w:rsidRPr="00C5756D">
        <w:t>47 CFR §§ 61.50(j)(3), 69.803(c)(3)</w:t>
      </w:r>
      <w:r>
        <w:t>.</w:t>
      </w:r>
    </w:p>
  </w:footnote>
  <w:footnote w:id="34">
    <w:p w:rsidR="00C41FEE" w:rsidP="00C41FEE" w14:paraId="1FB4A0A9" w14:textId="77777777">
      <w:pPr>
        <w:pStyle w:val="FootnoteText"/>
      </w:pPr>
      <w:r>
        <w:rPr>
          <w:rStyle w:val="FootnoteReference"/>
        </w:rPr>
        <w:footnoteRef/>
      </w:r>
      <w:r>
        <w:t xml:space="preserve"> </w:t>
      </w:r>
      <w:r w:rsidRPr="00C5756D">
        <w:rPr>
          <w:i/>
        </w:rPr>
        <w:t>See</w:t>
      </w:r>
      <w:r w:rsidRPr="00C5756D">
        <w:t xml:space="preserve"> </w:t>
      </w:r>
      <w:r w:rsidRPr="001A6F9D">
        <w:t xml:space="preserve">FCC, </w:t>
      </w:r>
      <w:r w:rsidRPr="001A6F9D">
        <w:rPr>
          <w:i/>
        </w:rPr>
        <w:t xml:space="preserve">BDS Competitive and Noncompetitive </w:t>
      </w:r>
      <w:r w:rsidRPr="00464FDC">
        <w:rPr>
          <w:i/>
        </w:rPr>
        <w:t xml:space="preserve">Lists </w:t>
      </w:r>
      <w:r w:rsidRPr="00464FDC">
        <w:t>(Jan. 31, 2020),</w:t>
      </w:r>
      <w:r w:rsidRPr="001A6F9D">
        <w:t xml:space="preserve">  </w:t>
      </w:r>
      <w:hyperlink r:id="rId3" w:history="1">
        <w:r w:rsidRPr="003722F2">
          <w:rPr>
            <w:rStyle w:val="Hyperlink"/>
          </w:rPr>
          <w:t>https://www.fcc.gov/general/</w:t>
        </w:r>
        <w:r w:rsidRPr="003722F2">
          <w:rPr>
            <w:rStyle w:val="Hyperlink"/>
          </w:rPr>
          <w:br/>
          <w:t>bds-competitive-and-noncompetitive-lists</w:t>
        </w:r>
      </w:hyperlink>
      <w:r>
        <w:t xml:space="preserve">; </w:t>
      </w:r>
      <w:r w:rsidRPr="00030D78">
        <w:rPr>
          <w:i/>
        </w:rPr>
        <w:t>County List Public Notice</w:t>
      </w:r>
      <w:r>
        <w:t xml:space="preserve">; </w:t>
      </w:r>
      <w:r w:rsidRPr="00030D78">
        <w:rPr>
          <w:i/>
        </w:rPr>
        <w:t>Study Area List Public Notice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2AB9515" w14:textId="5A0F925E">
    <w:pPr>
      <w:tabs>
        <w:tab w:val="center" w:pos="4680"/>
        <w:tab w:val="right" w:pos="9360"/>
      </w:tabs>
    </w:pPr>
    <w:r w:rsidRPr="009838BC">
      <w:rPr>
        <w:b/>
      </w:rPr>
      <w:tab/>
      <w:t>Federal Communications Commission</w:t>
    </w:r>
    <w:r w:rsidRPr="009838BC">
      <w:rPr>
        <w:b/>
      </w:rPr>
      <w:tab/>
    </w:r>
    <w:r w:rsidR="00C41FEE">
      <w:rPr>
        <w:b/>
      </w:rPr>
      <w:t>DA 20-114</w:t>
    </w:r>
  </w:p>
  <w:p w:rsidR="009838BC" w:rsidRPr="009838BC" w:rsidP="009838BC" w14:paraId="5B82F8F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A96916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7A8CA5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68A28279" w14:textId="77777777">
                <w:pPr>
                  <w:rPr>
                    <w:rFonts w:ascii="Arial" w:hAnsi="Arial"/>
                    <w:b/>
                  </w:rPr>
                </w:pPr>
                <w:r>
                  <w:rPr>
                    <w:rFonts w:ascii="Arial" w:hAnsi="Arial"/>
                    <w:b/>
                  </w:rPr>
                  <w:t>Federal Communications Commission</w:t>
                </w:r>
              </w:p>
              <w:p w:rsidR="009838BC" w:rsidP="009838BC" w14:paraId="3D744C2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1993E3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166D0EE"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1730503" w14:textId="77777777">
                <w:pPr>
                  <w:spacing w:before="40"/>
                  <w:jc w:val="right"/>
                  <w:rPr>
                    <w:rFonts w:ascii="Arial" w:hAnsi="Arial"/>
                    <w:b/>
                    <w:sz w:val="16"/>
                  </w:rPr>
                </w:pPr>
                <w:r>
                  <w:rPr>
                    <w:rFonts w:ascii="Arial" w:hAnsi="Arial"/>
                    <w:b/>
                    <w:sz w:val="16"/>
                  </w:rPr>
                  <w:t>News Media Information 202 / 418-0500</w:t>
                </w:r>
              </w:p>
              <w:p w:rsidR="009838BC" w:rsidP="009838BC" w14:paraId="04940236" w14:textId="77777777">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9838BC" w:rsidP="009838BC" w14:paraId="3D2574FC" w14:textId="77777777">
                <w:pPr>
                  <w:jc w:val="right"/>
                </w:pPr>
                <w:r>
                  <w:rPr>
                    <w:rFonts w:ascii="Arial" w:hAnsi="Arial"/>
                    <w:b/>
                    <w:sz w:val="16"/>
                  </w:rPr>
                  <w:t>TTY: 1-888-835-5322</w:t>
                </w:r>
              </w:p>
            </w:txbxContent>
          </v:textbox>
        </v:shape>
      </w:pict>
    </w:r>
  </w:p>
  <w:p w:rsidR="006F7393" w:rsidRPr="009838BC" w:rsidP="009838BC" w14:paraId="406A213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EE"/>
    <w:rsid w:val="000072CE"/>
    <w:rsid w:val="00013A8B"/>
    <w:rsid w:val="00021445"/>
    <w:rsid w:val="00030D78"/>
    <w:rsid w:val="00036039"/>
    <w:rsid w:val="00037F90"/>
    <w:rsid w:val="000875BF"/>
    <w:rsid w:val="00096D8C"/>
    <w:rsid w:val="000C0B65"/>
    <w:rsid w:val="000E3D42"/>
    <w:rsid w:val="000E5884"/>
    <w:rsid w:val="00122BD5"/>
    <w:rsid w:val="00126B80"/>
    <w:rsid w:val="00175260"/>
    <w:rsid w:val="001979D9"/>
    <w:rsid w:val="001A6F9D"/>
    <w:rsid w:val="001D6BCF"/>
    <w:rsid w:val="001E01CA"/>
    <w:rsid w:val="001F7C0D"/>
    <w:rsid w:val="002060D9"/>
    <w:rsid w:val="002234AB"/>
    <w:rsid w:val="00226822"/>
    <w:rsid w:val="00232678"/>
    <w:rsid w:val="00260594"/>
    <w:rsid w:val="0027055D"/>
    <w:rsid w:val="002706B2"/>
    <w:rsid w:val="00285017"/>
    <w:rsid w:val="00292014"/>
    <w:rsid w:val="002A2D2E"/>
    <w:rsid w:val="002E6BF9"/>
    <w:rsid w:val="003056E4"/>
    <w:rsid w:val="00322FB2"/>
    <w:rsid w:val="00343749"/>
    <w:rsid w:val="00357D50"/>
    <w:rsid w:val="0037136B"/>
    <w:rsid w:val="003722F2"/>
    <w:rsid w:val="003925DC"/>
    <w:rsid w:val="003B0550"/>
    <w:rsid w:val="003B694F"/>
    <w:rsid w:val="003C32E3"/>
    <w:rsid w:val="003C545D"/>
    <w:rsid w:val="003F171C"/>
    <w:rsid w:val="00406566"/>
    <w:rsid w:val="00412FC5"/>
    <w:rsid w:val="00415D63"/>
    <w:rsid w:val="00422276"/>
    <w:rsid w:val="004242F1"/>
    <w:rsid w:val="00433A87"/>
    <w:rsid w:val="00445A00"/>
    <w:rsid w:val="00451B0F"/>
    <w:rsid w:val="0046125F"/>
    <w:rsid w:val="00461E8A"/>
    <w:rsid w:val="00464FDC"/>
    <w:rsid w:val="00487524"/>
    <w:rsid w:val="004951E0"/>
    <w:rsid w:val="00496106"/>
    <w:rsid w:val="004C12D0"/>
    <w:rsid w:val="004C2EE3"/>
    <w:rsid w:val="004E4A22"/>
    <w:rsid w:val="004E58C1"/>
    <w:rsid w:val="004F785B"/>
    <w:rsid w:val="00511968"/>
    <w:rsid w:val="00524338"/>
    <w:rsid w:val="00543577"/>
    <w:rsid w:val="0055614C"/>
    <w:rsid w:val="00566FA0"/>
    <w:rsid w:val="005B52A9"/>
    <w:rsid w:val="005B67A6"/>
    <w:rsid w:val="005C00AC"/>
    <w:rsid w:val="005F16B6"/>
    <w:rsid w:val="00607BA5"/>
    <w:rsid w:val="00626EB6"/>
    <w:rsid w:val="006353A3"/>
    <w:rsid w:val="00655D03"/>
    <w:rsid w:val="00660795"/>
    <w:rsid w:val="00683F84"/>
    <w:rsid w:val="006A6A81"/>
    <w:rsid w:val="006E26AF"/>
    <w:rsid w:val="006F59B1"/>
    <w:rsid w:val="006F7393"/>
    <w:rsid w:val="0070224F"/>
    <w:rsid w:val="007115F7"/>
    <w:rsid w:val="007117B9"/>
    <w:rsid w:val="00724EA4"/>
    <w:rsid w:val="00736F68"/>
    <w:rsid w:val="007420CE"/>
    <w:rsid w:val="00785689"/>
    <w:rsid w:val="0079754B"/>
    <w:rsid w:val="007A1E6D"/>
    <w:rsid w:val="00822CE0"/>
    <w:rsid w:val="00837C62"/>
    <w:rsid w:val="00841AB1"/>
    <w:rsid w:val="008616C5"/>
    <w:rsid w:val="00866B41"/>
    <w:rsid w:val="008C22FD"/>
    <w:rsid w:val="008C3DAF"/>
    <w:rsid w:val="008F6730"/>
    <w:rsid w:val="00910F12"/>
    <w:rsid w:val="0092032F"/>
    <w:rsid w:val="00926503"/>
    <w:rsid w:val="00930ECF"/>
    <w:rsid w:val="00942107"/>
    <w:rsid w:val="00951C76"/>
    <w:rsid w:val="009838BC"/>
    <w:rsid w:val="00A45F4F"/>
    <w:rsid w:val="00A600A9"/>
    <w:rsid w:val="00A866AC"/>
    <w:rsid w:val="00A96DB0"/>
    <w:rsid w:val="00AA0219"/>
    <w:rsid w:val="00AA55B7"/>
    <w:rsid w:val="00AA5B9E"/>
    <w:rsid w:val="00AB2407"/>
    <w:rsid w:val="00AB53DF"/>
    <w:rsid w:val="00AD45A4"/>
    <w:rsid w:val="00B07E5C"/>
    <w:rsid w:val="00B20363"/>
    <w:rsid w:val="00B25744"/>
    <w:rsid w:val="00B326E3"/>
    <w:rsid w:val="00B57EEE"/>
    <w:rsid w:val="00B70B9B"/>
    <w:rsid w:val="00B74389"/>
    <w:rsid w:val="00B811F7"/>
    <w:rsid w:val="00BA5DC6"/>
    <w:rsid w:val="00BA6196"/>
    <w:rsid w:val="00BC6D8C"/>
    <w:rsid w:val="00BD04C1"/>
    <w:rsid w:val="00BD7E16"/>
    <w:rsid w:val="00C16AF2"/>
    <w:rsid w:val="00C34006"/>
    <w:rsid w:val="00C41FEE"/>
    <w:rsid w:val="00C426B1"/>
    <w:rsid w:val="00C5756D"/>
    <w:rsid w:val="00C82B6B"/>
    <w:rsid w:val="00C90D6A"/>
    <w:rsid w:val="00CC72B6"/>
    <w:rsid w:val="00D0218D"/>
    <w:rsid w:val="00D15839"/>
    <w:rsid w:val="00D1799F"/>
    <w:rsid w:val="00D216CD"/>
    <w:rsid w:val="00DA2529"/>
    <w:rsid w:val="00DB130A"/>
    <w:rsid w:val="00DC10A1"/>
    <w:rsid w:val="00DC655F"/>
    <w:rsid w:val="00DD7EBD"/>
    <w:rsid w:val="00DF62B6"/>
    <w:rsid w:val="00DF7073"/>
    <w:rsid w:val="00E07225"/>
    <w:rsid w:val="00E155B7"/>
    <w:rsid w:val="00E5409F"/>
    <w:rsid w:val="00E80093"/>
    <w:rsid w:val="00EB7A3C"/>
    <w:rsid w:val="00EC0185"/>
    <w:rsid w:val="00EE1986"/>
    <w:rsid w:val="00EF0700"/>
    <w:rsid w:val="00F021FA"/>
    <w:rsid w:val="00F20869"/>
    <w:rsid w:val="00F25F27"/>
    <w:rsid w:val="00F55F31"/>
    <w:rsid w:val="00F57ACA"/>
    <w:rsid w:val="00F62E97"/>
    <w:rsid w:val="00F64209"/>
    <w:rsid w:val="00F73977"/>
    <w:rsid w:val="00F80ACB"/>
    <w:rsid w:val="00F9296F"/>
    <w:rsid w:val="00F93BF5"/>
    <w:rsid w:val="00F96839"/>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C044D91-99FB-4D64-AD98-4DFDCC2D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C41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bds-competitive-and-noncompetitive-lists" TargetMode="External" /><Relationship Id="rId6" Type="http://schemas.openxmlformats.org/officeDocument/2006/relationships/hyperlink" Target="mailto:Christopher.Kove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bds-county-lists" TargetMode="External" /><Relationship Id="rId2" Type="http://schemas.openxmlformats.org/officeDocument/2006/relationships/hyperlink" Target="https://www.fcc.gov/bds-competitive-and-noncompetitive-lists" TargetMode="External" /><Relationship Id="rId3" Type="http://schemas.openxmlformats.org/officeDocument/2006/relationships/hyperlink" Target="https://www.fcc.gov/general/bds-competitive-and-noncompetitive-list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